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037A4">
      <w:pPr>
        <w:adjustRightInd w:val="0"/>
        <w:snapToGrid w:val="0"/>
        <w:ind w:firstLine="0" w:firstLineChars="0"/>
        <w:jc w:val="center"/>
        <w:outlineLvl w:val="0"/>
        <w:rPr>
          <w:rFonts w:eastAsia="方正小标宋_GBK"/>
          <w:bCs/>
          <w:color w:val="000000" w:themeColor="text1"/>
          <w:sz w:val="72"/>
          <w:szCs w:val="72"/>
          <w14:textFill>
            <w14:solidFill>
              <w14:schemeClr w14:val="tx1"/>
            </w14:solidFill>
          </w14:textFill>
        </w:rPr>
      </w:pPr>
      <w:r>
        <w:rPr>
          <w:rFonts w:hint="eastAsia" w:eastAsia="方正小标宋_GBK"/>
          <w:bCs/>
          <w:color w:val="000000" w:themeColor="text1"/>
          <w:sz w:val="72"/>
          <w:szCs w:val="72"/>
          <w14:textFill>
            <w14:solidFill>
              <w14:schemeClr w14:val="tx1"/>
            </w14:solidFill>
          </w14:textFill>
        </w:rPr>
        <w:tab/>
      </w:r>
    </w:p>
    <w:p w14:paraId="55C34EE4">
      <w:pPr>
        <w:adjustRightInd w:val="0"/>
        <w:snapToGrid w:val="0"/>
        <w:ind w:firstLine="0" w:firstLineChars="0"/>
        <w:jc w:val="center"/>
        <w:outlineLvl w:val="0"/>
        <w:rPr>
          <w:rFonts w:ascii="宋体" w:hAnsi="宋体"/>
          <w:bCs/>
          <w:color w:val="000000" w:themeColor="text1"/>
          <w:sz w:val="72"/>
          <w:szCs w:val="72"/>
          <w14:textFill>
            <w14:solidFill>
              <w14:schemeClr w14:val="tx1"/>
            </w14:solidFill>
          </w14:textFill>
        </w:rPr>
      </w:pPr>
    </w:p>
    <w:p w14:paraId="432D8A1E">
      <w:pPr>
        <w:adjustRightInd w:val="0"/>
        <w:snapToGrid w:val="0"/>
        <w:ind w:firstLine="0" w:firstLineChars="0"/>
        <w:jc w:val="center"/>
        <w:outlineLvl w:val="0"/>
        <w:rPr>
          <w:rFonts w:ascii="宋体" w:hAnsi="宋体"/>
          <w:bCs/>
          <w:color w:val="000000" w:themeColor="text1"/>
          <w:sz w:val="72"/>
          <w:szCs w:val="72"/>
          <w14:textFill>
            <w14:solidFill>
              <w14:schemeClr w14:val="tx1"/>
            </w14:solidFill>
          </w14:textFill>
        </w:rPr>
      </w:pPr>
      <w:r>
        <w:rPr>
          <w:rFonts w:ascii="宋体" w:hAnsi="宋体"/>
          <w:bCs/>
          <w:color w:val="000000" w:themeColor="text1"/>
          <w:sz w:val="72"/>
          <w:szCs w:val="72"/>
          <w14:textFill>
            <w14:solidFill>
              <w14:schemeClr w14:val="tx1"/>
            </w14:solidFill>
          </w14:textFill>
        </w:rPr>
        <w:t>建设项目环境影响报告表</w:t>
      </w:r>
    </w:p>
    <w:p w14:paraId="74E6B931">
      <w:pPr>
        <w:tabs>
          <w:tab w:val="center" w:pos="4535"/>
          <w:tab w:val="left" w:pos="7477"/>
        </w:tabs>
        <w:adjustRightInd w:val="0"/>
        <w:snapToGrid w:val="0"/>
        <w:spacing w:before="192" w:beforeLines="80"/>
        <w:ind w:firstLine="0" w:firstLineChars="0"/>
        <w:jc w:val="left"/>
        <w:rPr>
          <w:rFonts w:ascii="宋体" w:hAnsi="宋体"/>
          <w:bCs/>
          <w:color w:val="000000" w:themeColor="text1"/>
          <w:sz w:val="48"/>
          <w:szCs w:val="48"/>
          <w14:textFill>
            <w14:solidFill>
              <w14:schemeClr w14:val="tx1"/>
            </w14:solidFill>
          </w14:textFill>
        </w:rPr>
      </w:pPr>
      <w:r>
        <w:rPr>
          <w:rFonts w:ascii="宋体" w:hAnsi="宋体"/>
          <w:bCs/>
          <w:color w:val="000000" w:themeColor="text1"/>
          <w:sz w:val="48"/>
          <w:szCs w:val="48"/>
          <w14:textFill>
            <w14:solidFill>
              <w14:schemeClr w14:val="tx1"/>
            </w14:solidFill>
          </w14:textFill>
        </w:rPr>
        <w:tab/>
      </w:r>
      <w:r>
        <w:rPr>
          <w:rFonts w:ascii="宋体" w:hAnsi="宋体"/>
          <w:bCs/>
          <w:color w:val="000000" w:themeColor="text1"/>
          <w:sz w:val="48"/>
          <w:szCs w:val="48"/>
          <w14:textFill>
            <w14:solidFill>
              <w14:schemeClr w14:val="tx1"/>
            </w14:solidFill>
          </w14:textFill>
        </w:rPr>
        <w:t>（污染影响类）</w:t>
      </w:r>
      <w:r>
        <w:rPr>
          <w:rFonts w:ascii="宋体" w:hAnsi="宋体"/>
          <w:bCs/>
          <w:color w:val="000000" w:themeColor="text1"/>
          <w:sz w:val="48"/>
          <w:szCs w:val="48"/>
          <w14:textFill>
            <w14:solidFill>
              <w14:schemeClr w14:val="tx1"/>
            </w14:solidFill>
          </w14:textFill>
        </w:rPr>
        <w:tab/>
      </w:r>
      <w: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558405" cy="10691495"/>
            <wp:effectExtent l="0" t="0" r="4445" b="0"/>
            <wp:wrapNone/>
            <wp:docPr id="22070" name="图片 2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 name="图片 2207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anchor>
        </w:drawing>
      </w:r>
    </w:p>
    <w:p w14:paraId="769B06B9">
      <w:pPr>
        <w:ind w:firstLine="0" w:firstLineChars="0"/>
        <w:jc w:val="center"/>
        <w:rPr>
          <w:rFonts w:eastAsia="仿宋"/>
          <w:color w:val="000000" w:themeColor="text1"/>
          <w:sz w:val="52"/>
          <w:szCs w:val="52"/>
          <w14:textFill>
            <w14:solidFill>
              <w14:schemeClr w14:val="tx1"/>
            </w14:solidFill>
          </w14:textFill>
        </w:rPr>
      </w:pPr>
    </w:p>
    <w:p w14:paraId="56EE11F1">
      <w:pPr>
        <w:pStyle w:val="2"/>
        <w:ind w:firstLine="480"/>
        <w:rPr>
          <w:color w:val="000000" w:themeColor="text1"/>
          <w14:textFill>
            <w14:solidFill>
              <w14:schemeClr w14:val="tx1"/>
            </w14:solidFill>
          </w14:textFill>
        </w:rPr>
      </w:pPr>
    </w:p>
    <w:p w14:paraId="1BFBE1D4">
      <w:pPr>
        <w:pStyle w:val="2"/>
        <w:ind w:firstLine="480"/>
        <w:rPr>
          <w:color w:val="000000" w:themeColor="text1"/>
          <w14:textFill>
            <w14:solidFill>
              <w14:schemeClr w14:val="tx1"/>
            </w14:solidFill>
          </w14:textFill>
        </w:rPr>
      </w:pPr>
    </w:p>
    <w:p w14:paraId="6AF7B5F7">
      <w:pPr>
        <w:pStyle w:val="2"/>
        <w:ind w:firstLine="480"/>
        <w:rPr>
          <w:color w:val="000000" w:themeColor="text1"/>
          <w14:textFill>
            <w14:solidFill>
              <w14:schemeClr w14:val="tx1"/>
            </w14:solidFill>
          </w14:textFill>
        </w:rPr>
      </w:pPr>
    </w:p>
    <w:tbl>
      <w:tblPr>
        <w:tblStyle w:val="30"/>
        <w:tblW w:w="7163" w:type="dxa"/>
        <w:jc w:val="center"/>
        <w:tblLayout w:type="autofit"/>
        <w:tblCellMar>
          <w:top w:w="0" w:type="dxa"/>
          <w:left w:w="108" w:type="dxa"/>
          <w:bottom w:w="0" w:type="dxa"/>
          <w:right w:w="108" w:type="dxa"/>
        </w:tblCellMar>
      </w:tblPr>
      <w:tblGrid>
        <w:gridCol w:w="1878"/>
        <w:gridCol w:w="5285"/>
      </w:tblGrid>
      <w:tr w14:paraId="2FAD22C4">
        <w:tblPrEx>
          <w:tblCellMar>
            <w:top w:w="0" w:type="dxa"/>
            <w:left w:w="108" w:type="dxa"/>
            <w:bottom w:w="0" w:type="dxa"/>
            <w:right w:w="108" w:type="dxa"/>
          </w:tblCellMar>
        </w:tblPrEx>
        <w:trPr>
          <w:jc w:val="center"/>
        </w:trPr>
        <w:tc>
          <w:tcPr>
            <w:tcW w:w="1878" w:type="dxa"/>
            <w:vAlign w:val="center"/>
          </w:tcPr>
          <w:p w14:paraId="10E17836">
            <w:pPr>
              <w:adjustRightInd w:val="0"/>
              <w:snapToGrid w:val="0"/>
              <w:spacing w:line="240" w:lineRule="auto"/>
              <w:ind w:firstLine="0" w:firstLineChars="0"/>
              <w:jc w:val="center"/>
              <w:rPr>
                <w:rFonts w:eastAsia="仿宋"/>
                <w:color w:val="000000" w:themeColor="text1"/>
                <w:sz w:val="44"/>
                <w:szCs w:val="44"/>
                <w14:textFill>
                  <w14:solidFill>
                    <w14:schemeClr w14:val="tx1"/>
                  </w14:solidFill>
                </w14:textFill>
              </w:rPr>
            </w:pPr>
            <w:r>
              <w:rPr>
                <w:rFonts w:hAnsi="仿宋" w:eastAsia="仿宋"/>
                <w:color w:val="000000" w:themeColor="text1"/>
                <w:sz w:val="36"/>
                <w:szCs w:val="36"/>
                <w14:textFill>
                  <w14:solidFill>
                    <w14:schemeClr w14:val="tx1"/>
                  </w14:solidFill>
                </w14:textFill>
              </w:rPr>
              <w:t>项目名称：</w:t>
            </w:r>
          </w:p>
        </w:tc>
        <w:tc>
          <w:tcPr>
            <w:tcW w:w="5285" w:type="dxa"/>
            <w:vAlign w:val="center"/>
          </w:tcPr>
          <w:p w14:paraId="1E23A53A">
            <w:pPr>
              <w:adjustRightInd w:val="0"/>
              <w:snapToGrid w:val="0"/>
              <w:spacing w:line="240" w:lineRule="auto"/>
              <w:ind w:firstLine="0" w:firstLineChars="0"/>
              <w:jc w:val="left"/>
              <w:rPr>
                <w:rFonts w:eastAsia="仿宋"/>
                <w:color w:val="000000" w:themeColor="text1"/>
                <w:sz w:val="44"/>
                <w:szCs w:val="44"/>
                <w:u w:val="single"/>
                <w14:textFill>
                  <w14:solidFill>
                    <w14:schemeClr w14:val="tx1"/>
                  </w14:solidFill>
                </w14:textFill>
              </w:rPr>
            </w:pPr>
            <w:r>
              <w:rPr>
                <w:rFonts w:hAnsi="仿宋" w:eastAsia="仿宋"/>
                <w:color w:val="000000" w:themeColor="text1"/>
                <w:sz w:val="36"/>
                <w:szCs w:val="36"/>
                <w:u w:val="single"/>
                <w14:textFill>
                  <w14:solidFill>
                    <w14:schemeClr w14:val="tx1"/>
                  </w14:solidFill>
                </w14:textFill>
              </w:rPr>
              <w:t>福州中江化工码头罐区扩建项目</w:t>
            </w:r>
          </w:p>
        </w:tc>
      </w:tr>
      <w:tr w14:paraId="46618640">
        <w:tblPrEx>
          <w:tblCellMar>
            <w:top w:w="0" w:type="dxa"/>
            <w:left w:w="108" w:type="dxa"/>
            <w:bottom w:w="0" w:type="dxa"/>
            <w:right w:w="108" w:type="dxa"/>
          </w:tblCellMar>
        </w:tblPrEx>
        <w:trPr>
          <w:jc w:val="center"/>
        </w:trPr>
        <w:tc>
          <w:tcPr>
            <w:tcW w:w="1878" w:type="dxa"/>
            <w:vAlign w:val="center"/>
          </w:tcPr>
          <w:p w14:paraId="2E7CA85F">
            <w:pPr>
              <w:adjustRightInd w:val="0"/>
              <w:snapToGrid w:val="0"/>
              <w:spacing w:line="240" w:lineRule="auto"/>
              <w:ind w:firstLine="0" w:firstLineChars="0"/>
              <w:jc w:val="center"/>
              <w:rPr>
                <w:rFonts w:eastAsia="仿宋"/>
                <w:color w:val="000000" w:themeColor="text1"/>
                <w:sz w:val="36"/>
                <w:szCs w:val="36"/>
                <w14:textFill>
                  <w14:solidFill>
                    <w14:schemeClr w14:val="tx1"/>
                  </w14:solidFill>
                </w14:textFill>
              </w:rPr>
            </w:pPr>
            <w:r>
              <w:rPr>
                <w:rFonts w:hAnsi="仿宋" w:eastAsia="仿宋"/>
                <w:color w:val="000000" w:themeColor="text1"/>
                <w:sz w:val="36"/>
                <w:szCs w:val="36"/>
                <w14:textFill>
                  <w14:solidFill>
                    <w14:schemeClr w14:val="tx1"/>
                  </w14:solidFill>
                </w14:textFill>
              </w:rPr>
              <w:t>建设单位</w:t>
            </w:r>
          </w:p>
          <w:p w14:paraId="3556B69D">
            <w:pPr>
              <w:adjustRightInd w:val="0"/>
              <w:snapToGrid w:val="0"/>
              <w:spacing w:line="240" w:lineRule="auto"/>
              <w:ind w:firstLine="0" w:firstLineChars="0"/>
              <w:jc w:val="center"/>
              <w:rPr>
                <w:rFonts w:eastAsia="仿宋"/>
                <w:color w:val="000000" w:themeColor="text1"/>
                <w:sz w:val="44"/>
                <w:szCs w:val="44"/>
                <w14:textFill>
                  <w14:solidFill>
                    <w14:schemeClr w14:val="tx1"/>
                  </w14:solidFill>
                </w14:textFill>
              </w:rPr>
            </w:pPr>
            <w:r>
              <w:rPr>
                <w:rFonts w:hAnsi="仿宋" w:eastAsia="仿宋"/>
                <w:color w:val="000000" w:themeColor="text1"/>
                <w:sz w:val="36"/>
                <w:szCs w:val="36"/>
                <w14:textFill>
                  <w14:solidFill>
                    <w14:schemeClr w14:val="tx1"/>
                  </w14:solidFill>
                </w14:textFill>
              </w:rPr>
              <w:t>（盖章）：</w:t>
            </w:r>
          </w:p>
        </w:tc>
        <w:tc>
          <w:tcPr>
            <w:tcW w:w="5285" w:type="dxa"/>
            <w:vAlign w:val="center"/>
          </w:tcPr>
          <w:p w14:paraId="157DA26E">
            <w:pPr>
              <w:adjustRightInd w:val="0"/>
              <w:snapToGrid w:val="0"/>
              <w:spacing w:line="240" w:lineRule="auto"/>
              <w:ind w:firstLine="0" w:firstLineChars="0"/>
              <w:jc w:val="left"/>
              <w:rPr>
                <w:rFonts w:eastAsia="仿宋"/>
                <w:color w:val="000000" w:themeColor="text1"/>
                <w:sz w:val="44"/>
                <w:szCs w:val="44"/>
                <w:u w:val="single"/>
                <w14:textFill>
                  <w14:solidFill>
                    <w14:schemeClr w14:val="tx1"/>
                  </w14:solidFill>
                </w14:textFill>
              </w:rPr>
            </w:pPr>
            <w:r>
              <w:rPr>
                <w:rFonts w:hAnsi="仿宋" w:eastAsia="仿宋"/>
                <w:color w:val="000000" w:themeColor="text1"/>
                <w:sz w:val="36"/>
                <w:szCs w:val="36"/>
                <w:u w:val="single"/>
                <w14:textFill>
                  <w14:solidFill>
                    <w14:schemeClr w14:val="tx1"/>
                  </w14:solidFill>
                </w14:textFill>
              </w:rPr>
              <w:t>福州中江化工码头有限公司</w:t>
            </w:r>
          </w:p>
        </w:tc>
      </w:tr>
      <w:tr w14:paraId="4DF6B57A">
        <w:tblPrEx>
          <w:tblCellMar>
            <w:top w:w="0" w:type="dxa"/>
            <w:left w:w="108" w:type="dxa"/>
            <w:bottom w:w="0" w:type="dxa"/>
            <w:right w:w="108" w:type="dxa"/>
          </w:tblCellMar>
        </w:tblPrEx>
        <w:trPr>
          <w:trHeight w:val="505" w:hRule="atLeast"/>
          <w:jc w:val="center"/>
        </w:trPr>
        <w:tc>
          <w:tcPr>
            <w:tcW w:w="1878" w:type="dxa"/>
            <w:vAlign w:val="center"/>
          </w:tcPr>
          <w:p w14:paraId="787A836F">
            <w:pPr>
              <w:adjustRightInd w:val="0"/>
              <w:snapToGrid w:val="0"/>
              <w:spacing w:line="240" w:lineRule="auto"/>
              <w:ind w:firstLine="0" w:firstLineChars="0"/>
              <w:jc w:val="center"/>
              <w:rPr>
                <w:rFonts w:eastAsia="仿宋"/>
                <w:color w:val="000000" w:themeColor="text1"/>
                <w:sz w:val="44"/>
                <w:szCs w:val="44"/>
                <w14:textFill>
                  <w14:solidFill>
                    <w14:schemeClr w14:val="tx1"/>
                  </w14:solidFill>
                </w14:textFill>
              </w:rPr>
            </w:pPr>
            <w:r>
              <w:rPr>
                <w:rFonts w:hAnsi="仿宋" w:eastAsia="仿宋"/>
                <w:color w:val="000000" w:themeColor="text1"/>
                <w:sz w:val="36"/>
                <w:szCs w:val="36"/>
                <w14:textFill>
                  <w14:solidFill>
                    <w14:schemeClr w14:val="tx1"/>
                  </w14:solidFill>
                </w14:textFill>
              </w:rPr>
              <w:t>编制日期：</w:t>
            </w:r>
          </w:p>
        </w:tc>
        <w:tc>
          <w:tcPr>
            <w:tcW w:w="5285" w:type="dxa"/>
            <w:vAlign w:val="center"/>
          </w:tcPr>
          <w:p w14:paraId="6DD63FC3">
            <w:pPr>
              <w:adjustRightInd w:val="0"/>
              <w:snapToGrid w:val="0"/>
              <w:spacing w:line="240" w:lineRule="auto"/>
              <w:ind w:firstLine="0" w:firstLineChars="0"/>
              <w:jc w:val="left"/>
              <w:rPr>
                <w:rFonts w:eastAsia="仿宋"/>
                <w:color w:val="000000" w:themeColor="text1"/>
                <w:sz w:val="44"/>
                <w:szCs w:val="44"/>
                <w:u w:val="single"/>
                <w14:textFill>
                  <w14:solidFill>
                    <w14:schemeClr w14:val="tx1"/>
                  </w14:solidFill>
                </w14:textFill>
              </w:rPr>
            </w:pPr>
            <w:r>
              <w:rPr>
                <w:rFonts w:eastAsia="仿宋"/>
                <w:color w:val="000000" w:themeColor="text1"/>
                <w:sz w:val="36"/>
                <w:szCs w:val="36"/>
                <w:u w:val="single"/>
                <w14:textFill>
                  <w14:solidFill>
                    <w14:schemeClr w14:val="tx1"/>
                  </w14:solidFill>
                </w14:textFill>
              </w:rPr>
              <w:t>202</w:t>
            </w:r>
            <w:r>
              <w:rPr>
                <w:rFonts w:hint="eastAsia" w:eastAsia="仿宋"/>
                <w:color w:val="000000" w:themeColor="text1"/>
                <w:sz w:val="36"/>
                <w:szCs w:val="36"/>
                <w:u w:val="single"/>
                <w14:textFill>
                  <w14:solidFill>
                    <w14:schemeClr w14:val="tx1"/>
                  </w14:solidFill>
                </w14:textFill>
              </w:rPr>
              <w:t>6</w:t>
            </w:r>
            <w:r>
              <w:rPr>
                <w:rFonts w:hAnsi="仿宋" w:eastAsia="仿宋"/>
                <w:color w:val="000000" w:themeColor="text1"/>
                <w:sz w:val="36"/>
                <w:szCs w:val="36"/>
                <w:u w:val="single"/>
                <w14:textFill>
                  <w14:solidFill>
                    <w14:schemeClr w14:val="tx1"/>
                  </w14:solidFill>
                </w14:textFill>
              </w:rPr>
              <w:t>年</w:t>
            </w:r>
            <w:r>
              <w:rPr>
                <w:rFonts w:hint="eastAsia" w:eastAsia="仿宋"/>
                <w:color w:val="000000" w:themeColor="text1"/>
                <w:sz w:val="36"/>
                <w:szCs w:val="36"/>
                <w:u w:val="single"/>
                <w14:textFill>
                  <w14:solidFill>
                    <w14:schemeClr w14:val="tx1"/>
                  </w14:solidFill>
                </w14:textFill>
              </w:rPr>
              <w:t>3</w:t>
            </w:r>
            <w:r>
              <w:rPr>
                <w:rFonts w:hAnsi="仿宋" w:eastAsia="仿宋"/>
                <w:color w:val="000000" w:themeColor="text1"/>
                <w:sz w:val="36"/>
                <w:szCs w:val="36"/>
                <w:u w:val="single"/>
                <w14:textFill>
                  <w14:solidFill>
                    <w14:schemeClr w14:val="tx1"/>
                  </w14:solidFill>
                </w14:textFill>
              </w:rPr>
              <w:t>月</w:t>
            </w:r>
          </w:p>
        </w:tc>
      </w:tr>
    </w:tbl>
    <w:p w14:paraId="56C01E7D">
      <w:pPr>
        <w:adjustRightInd w:val="0"/>
        <w:snapToGrid w:val="0"/>
        <w:spacing w:line="288" w:lineRule="auto"/>
        <w:ind w:left="1188" w:leftChars="495" w:firstLine="0" w:firstLineChars="0"/>
        <w:rPr>
          <w:rFonts w:eastAsia="仿宋_GB2312"/>
          <w:color w:val="000000" w:themeColor="text1"/>
          <w:sz w:val="36"/>
          <w:szCs w:val="36"/>
          <w14:textFill>
            <w14:solidFill>
              <w14:schemeClr w14:val="tx1"/>
            </w14:solidFill>
          </w14:textFill>
        </w:rPr>
      </w:pPr>
    </w:p>
    <w:p w14:paraId="4BF46D90">
      <w:pPr>
        <w:adjustRightInd w:val="0"/>
        <w:snapToGrid w:val="0"/>
        <w:spacing w:line="288" w:lineRule="auto"/>
        <w:ind w:firstLine="0" w:firstLineChars="0"/>
        <w:rPr>
          <w:rFonts w:eastAsia="仿宋_GB2312"/>
          <w:color w:val="000000" w:themeColor="text1"/>
          <w:sz w:val="36"/>
          <w:szCs w:val="36"/>
          <w14:textFill>
            <w14:solidFill>
              <w14:schemeClr w14:val="tx1"/>
            </w14:solidFill>
          </w14:textFill>
        </w:rPr>
      </w:pPr>
      <w:bookmarkStart w:id="0" w:name="_Hlk57884087"/>
    </w:p>
    <w:bookmarkEnd w:id="0"/>
    <w:p w14:paraId="5BB95673">
      <w:pPr>
        <w:spacing w:line="240" w:lineRule="auto"/>
        <w:ind w:firstLine="0" w:firstLineChars="0"/>
        <w:jc w:val="center"/>
        <w:rPr>
          <w:rFonts w:eastAsia="楷体_GB2312"/>
          <w:color w:val="000000" w:themeColor="text1"/>
          <w:sz w:val="36"/>
          <w:szCs w:val="36"/>
          <w14:textFill>
            <w14:solidFill>
              <w14:schemeClr w14:val="tx1"/>
            </w14:solidFill>
          </w14:textFill>
        </w:rPr>
      </w:pPr>
    </w:p>
    <w:p w14:paraId="73630E6F">
      <w:pPr>
        <w:spacing w:line="240" w:lineRule="auto"/>
        <w:ind w:firstLine="0" w:firstLineChars="0"/>
        <w:jc w:val="center"/>
        <w:rPr>
          <w:rFonts w:ascii="宋体" w:hAnsi="宋体"/>
          <w:color w:val="000000" w:themeColor="text1"/>
          <w:sz w:val="36"/>
          <w:szCs w:val="36"/>
          <w14:textFill>
            <w14:solidFill>
              <w14:schemeClr w14:val="tx1"/>
            </w14:solidFill>
          </w14:textFill>
        </w:rPr>
      </w:pPr>
    </w:p>
    <w:p w14:paraId="37301091">
      <w:pPr>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ascii="宋体" w:hAnsi="宋体"/>
          <w:color w:val="000000" w:themeColor="text1"/>
          <w:sz w:val="36"/>
          <w:szCs w:val="36"/>
          <w14:textFill>
            <w14:solidFill>
              <w14:schemeClr w14:val="tx1"/>
            </w14:solidFill>
          </w14:textFill>
        </w:rPr>
        <w:t>中华人民共和国生态环境部制</w:t>
      </w:r>
    </w:p>
    <w:p w14:paraId="1B33ED98">
      <w:pPr>
        <w:spacing w:line="240" w:lineRule="auto"/>
        <w:ind w:firstLine="0" w:firstLineChars="0"/>
        <w:rPr>
          <w:color w:val="000000" w:themeColor="text1"/>
          <w:sz w:val="21"/>
          <w:szCs w:val="2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5" w:h="16838"/>
          <w:pgMar w:top="1417" w:right="1417" w:bottom="1417" w:left="1417" w:header="851" w:footer="850" w:gutter="0"/>
          <w:pgNumType w:start="1"/>
          <w:cols w:space="720" w:num="1"/>
          <w:docGrid w:linePitch="312" w:charSpace="0"/>
        </w:sectPr>
      </w:pPr>
    </w:p>
    <w:p w14:paraId="088A102F">
      <w:pPr>
        <w:pStyle w:val="6"/>
        <w:spacing w:beforeLines="0" w:beforeAutospacing="0" w:after="0" w:afterAutospacing="0"/>
      </w:pPr>
      <w:r>
        <w:t>一、建设项目基本情况</w:t>
      </w:r>
    </w:p>
    <w:tbl>
      <w:tblPr>
        <w:tblStyle w:val="30"/>
        <w:tblW w:w="51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3"/>
        <w:gridCol w:w="2556"/>
        <w:gridCol w:w="2152"/>
        <w:gridCol w:w="3825"/>
      </w:tblGrid>
      <w:tr w14:paraId="5027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61DED24B">
            <w:pPr>
              <w:pStyle w:val="71"/>
              <w:rPr>
                <w:kern w:val="2"/>
                <w:szCs w:val="24"/>
                <w:lang w:val="en-US" w:eastAsia="zh-CN"/>
              </w:rPr>
            </w:pPr>
            <w:r>
              <w:rPr>
                <w:kern w:val="2"/>
                <w:szCs w:val="24"/>
                <w:lang w:val="en-US" w:eastAsia="zh-CN"/>
              </w:rPr>
              <w:t>建设项目名称</w:t>
            </w:r>
          </w:p>
        </w:tc>
        <w:tc>
          <w:tcPr>
            <w:tcW w:w="4531" w:type="pct"/>
            <w:gridSpan w:val="3"/>
            <w:vAlign w:val="center"/>
          </w:tcPr>
          <w:p w14:paraId="455C9933">
            <w:pPr>
              <w:pStyle w:val="71"/>
              <w:rPr>
                <w:kern w:val="2"/>
                <w:szCs w:val="24"/>
                <w:lang w:val="en-US" w:eastAsia="zh-CN"/>
              </w:rPr>
            </w:pPr>
            <w:r>
              <w:rPr>
                <w:kern w:val="2"/>
                <w:szCs w:val="24"/>
                <w:lang w:val="en-US" w:eastAsia="zh-CN"/>
              </w:rPr>
              <w:t>福州中江化工码头罐区扩建项目</w:t>
            </w:r>
          </w:p>
        </w:tc>
      </w:tr>
      <w:tr w14:paraId="52F8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7AEE4747">
            <w:pPr>
              <w:pStyle w:val="71"/>
              <w:rPr>
                <w:kern w:val="2"/>
                <w:szCs w:val="24"/>
                <w:lang w:val="en-US" w:eastAsia="zh-CN"/>
              </w:rPr>
            </w:pPr>
            <w:r>
              <w:rPr>
                <w:kern w:val="2"/>
                <w:szCs w:val="24"/>
                <w:lang w:val="en-US" w:eastAsia="zh-CN"/>
              </w:rPr>
              <w:t>项目代码</w:t>
            </w:r>
          </w:p>
        </w:tc>
        <w:tc>
          <w:tcPr>
            <w:tcW w:w="4531" w:type="pct"/>
            <w:gridSpan w:val="3"/>
            <w:vAlign w:val="center"/>
          </w:tcPr>
          <w:p w14:paraId="116D350B">
            <w:pPr>
              <w:pStyle w:val="71"/>
              <w:rPr>
                <w:kern w:val="2"/>
                <w:szCs w:val="24"/>
                <w:lang w:val="en-US" w:eastAsia="zh-CN"/>
              </w:rPr>
            </w:pPr>
            <w:r>
              <w:t>2505-350181-04-01-203136</w:t>
            </w:r>
          </w:p>
        </w:tc>
      </w:tr>
      <w:tr w14:paraId="3F29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26684453">
            <w:pPr>
              <w:pStyle w:val="71"/>
              <w:rPr>
                <w:kern w:val="2"/>
                <w:szCs w:val="24"/>
                <w:lang w:val="en-US" w:eastAsia="zh-CN"/>
              </w:rPr>
            </w:pPr>
            <w:r>
              <w:rPr>
                <w:kern w:val="2"/>
                <w:szCs w:val="24"/>
                <w:lang w:val="en-US" w:eastAsia="zh-CN"/>
              </w:rPr>
              <w:t>建设单位联系人</w:t>
            </w:r>
          </w:p>
        </w:tc>
        <w:tc>
          <w:tcPr>
            <w:tcW w:w="1357" w:type="pct"/>
            <w:vAlign w:val="center"/>
          </w:tcPr>
          <w:p w14:paraId="289B5124">
            <w:pPr>
              <w:pStyle w:val="71"/>
              <w:rPr>
                <w:kern w:val="2"/>
                <w:szCs w:val="24"/>
                <w:lang w:val="en-US" w:eastAsia="zh-CN"/>
              </w:rPr>
            </w:pPr>
            <w:r>
              <w:rPr>
                <w:rFonts w:hint="eastAsia"/>
                <w:kern w:val="2"/>
                <w:szCs w:val="24"/>
                <w:lang w:val="en-US" w:eastAsia="zh-CN"/>
              </w:rPr>
              <w:t>***</w:t>
            </w:r>
          </w:p>
        </w:tc>
        <w:tc>
          <w:tcPr>
            <w:tcW w:w="1143" w:type="pct"/>
            <w:vAlign w:val="center"/>
          </w:tcPr>
          <w:p w14:paraId="022C718C">
            <w:pPr>
              <w:pStyle w:val="71"/>
              <w:rPr>
                <w:kern w:val="2"/>
                <w:szCs w:val="24"/>
                <w:lang w:val="en-US" w:eastAsia="zh-CN"/>
              </w:rPr>
            </w:pPr>
            <w:r>
              <w:rPr>
                <w:kern w:val="2"/>
                <w:szCs w:val="24"/>
                <w:lang w:val="en-US" w:eastAsia="zh-CN"/>
              </w:rPr>
              <w:t>联系方式</w:t>
            </w:r>
          </w:p>
        </w:tc>
        <w:tc>
          <w:tcPr>
            <w:tcW w:w="2031" w:type="pct"/>
            <w:vAlign w:val="center"/>
          </w:tcPr>
          <w:p w14:paraId="0FBB790D">
            <w:pPr>
              <w:pStyle w:val="71"/>
              <w:rPr>
                <w:kern w:val="2"/>
                <w:szCs w:val="24"/>
                <w:lang w:val="en-US" w:eastAsia="zh-CN"/>
              </w:rPr>
            </w:pPr>
            <w:r>
              <w:rPr>
                <w:rFonts w:hint="eastAsia"/>
                <w:kern w:val="2"/>
                <w:szCs w:val="24"/>
                <w:lang w:val="en-US" w:eastAsia="zh-CN"/>
              </w:rPr>
              <w:t>***</w:t>
            </w:r>
          </w:p>
        </w:tc>
      </w:tr>
      <w:tr w14:paraId="4381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455C9769">
            <w:pPr>
              <w:pStyle w:val="71"/>
              <w:rPr>
                <w:kern w:val="2"/>
                <w:szCs w:val="24"/>
                <w:lang w:val="en-US" w:eastAsia="zh-CN"/>
              </w:rPr>
            </w:pPr>
            <w:r>
              <w:rPr>
                <w:kern w:val="2"/>
                <w:szCs w:val="24"/>
                <w:lang w:val="en-US" w:eastAsia="zh-CN"/>
              </w:rPr>
              <w:t>建设地点</w:t>
            </w:r>
          </w:p>
        </w:tc>
        <w:tc>
          <w:tcPr>
            <w:tcW w:w="4531" w:type="pct"/>
            <w:gridSpan w:val="3"/>
            <w:vAlign w:val="center"/>
          </w:tcPr>
          <w:p w14:paraId="4A0B0C30">
            <w:pPr>
              <w:pStyle w:val="71"/>
              <w:rPr>
                <w:kern w:val="2"/>
                <w:szCs w:val="24"/>
                <w:lang w:val="en-US" w:eastAsia="zh-CN"/>
              </w:rPr>
            </w:pPr>
            <w:r>
              <w:rPr>
                <w:kern w:val="2"/>
                <w:szCs w:val="24"/>
                <w:lang w:val="en-US" w:eastAsia="zh-CN"/>
              </w:rPr>
              <w:t>福建省福州市福清市江阴港城经济区</w:t>
            </w:r>
          </w:p>
        </w:tc>
      </w:tr>
      <w:tr w14:paraId="59F7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9" w:type="pct"/>
            <w:tcMar>
              <w:top w:w="16" w:type="dxa"/>
              <w:left w:w="16" w:type="dxa"/>
              <w:right w:w="16" w:type="dxa"/>
            </w:tcMar>
            <w:vAlign w:val="center"/>
          </w:tcPr>
          <w:p w14:paraId="77EB941A">
            <w:pPr>
              <w:pStyle w:val="71"/>
              <w:rPr>
                <w:kern w:val="2"/>
                <w:szCs w:val="24"/>
                <w:lang w:val="en-US" w:eastAsia="zh-CN"/>
              </w:rPr>
            </w:pPr>
            <w:r>
              <w:rPr>
                <w:kern w:val="2"/>
                <w:szCs w:val="24"/>
                <w:lang w:val="en-US" w:eastAsia="zh-CN"/>
              </w:rPr>
              <w:t>地理坐标</w:t>
            </w:r>
          </w:p>
        </w:tc>
        <w:tc>
          <w:tcPr>
            <w:tcW w:w="4531" w:type="pct"/>
            <w:gridSpan w:val="3"/>
            <w:vAlign w:val="center"/>
          </w:tcPr>
          <w:p w14:paraId="4FBC7C12">
            <w:pPr>
              <w:pStyle w:val="71"/>
              <w:rPr>
                <w:kern w:val="2"/>
                <w:szCs w:val="24"/>
                <w:lang w:val="en-US" w:eastAsia="zh-CN"/>
              </w:rPr>
            </w:pPr>
            <w:r>
              <w:rPr>
                <w:kern w:val="2"/>
                <w:szCs w:val="21"/>
                <w:lang w:val="en-US" w:eastAsia="zh-CN"/>
              </w:rPr>
              <w:t>25度26分</w:t>
            </w:r>
            <w:r>
              <w:rPr>
                <w:rFonts w:hint="eastAsia"/>
                <w:kern w:val="2"/>
                <w:szCs w:val="21"/>
                <w:lang w:val="en-US" w:eastAsia="zh-CN"/>
              </w:rPr>
              <w:t>9.55</w:t>
            </w:r>
            <w:r>
              <w:rPr>
                <w:kern w:val="2"/>
                <w:szCs w:val="21"/>
                <w:lang w:val="en-US" w:eastAsia="zh-CN"/>
              </w:rPr>
              <w:t>秒，119度15分</w:t>
            </w:r>
            <w:r>
              <w:rPr>
                <w:rFonts w:hint="eastAsia"/>
                <w:kern w:val="2"/>
                <w:szCs w:val="21"/>
                <w:lang w:val="en-US" w:eastAsia="zh-CN"/>
              </w:rPr>
              <w:t>45.19</w:t>
            </w:r>
            <w:r>
              <w:rPr>
                <w:kern w:val="2"/>
                <w:szCs w:val="21"/>
                <w:lang w:val="en-US" w:eastAsia="zh-CN"/>
              </w:rPr>
              <w:t>秒</w:t>
            </w:r>
          </w:p>
        </w:tc>
      </w:tr>
      <w:tr w14:paraId="7241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7EA87715">
            <w:pPr>
              <w:pStyle w:val="71"/>
              <w:rPr>
                <w:kern w:val="2"/>
                <w:szCs w:val="24"/>
                <w:lang w:val="en-US" w:eastAsia="zh-CN"/>
              </w:rPr>
            </w:pPr>
            <w:r>
              <w:rPr>
                <w:kern w:val="2"/>
                <w:szCs w:val="24"/>
                <w:lang w:val="en-US" w:eastAsia="zh-CN"/>
              </w:rPr>
              <w:t>国民经济</w:t>
            </w:r>
          </w:p>
          <w:p w14:paraId="0963E875">
            <w:pPr>
              <w:pStyle w:val="71"/>
              <w:rPr>
                <w:kern w:val="2"/>
                <w:szCs w:val="24"/>
                <w:lang w:val="en-US" w:eastAsia="zh-CN"/>
              </w:rPr>
            </w:pPr>
            <w:r>
              <w:rPr>
                <w:kern w:val="2"/>
                <w:szCs w:val="24"/>
                <w:lang w:val="en-US" w:eastAsia="zh-CN"/>
              </w:rPr>
              <w:t>行业类别</w:t>
            </w:r>
          </w:p>
        </w:tc>
        <w:tc>
          <w:tcPr>
            <w:tcW w:w="1357" w:type="pct"/>
            <w:vAlign w:val="center"/>
          </w:tcPr>
          <w:p w14:paraId="0D23FC2B">
            <w:pPr>
              <w:pStyle w:val="71"/>
              <w:rPr>
                <w:kern w:val="2"/>
                <w:szCs w:val="24"/>
                <w:lang w:val="en-US" w:eastAsia="zh-CN"/>
              </w:rPr>
            </w:pPr>
            <w:r>
              <w:rPr>
                <w:rFonts w:hint="eastAsia"/>
                <w:kern w:val="2"/>
                <w:szCs w:val="21"/>
                <w:lang w:val="en-US" w:eastAsia="zh-CN"/>
              </w:rPr>
              <w:t>G</w:t>
            </w:r>
            <w:r>
              <w:rPr>
                <w:kern w:val="2"/>
                <w:szCs w:val="21"/>
                <w:lang w:val="en-US" w:eastAsia="zh-CN"/>
              </w:rPr>
              <w:t>5942危险化学品仓储</w:t>
            </w:r>
          </w:p>
        </w:tc>
        <w:tc>
          <w:tcPr>
            <w:tcW w:w="1143" w:type="pct"/>
            <w:vAlign w:val="center"/>
          </w:tcPr>
          <w:p w14:paraId="43593CBC">
            <w:pPr>
              <w:pStyle w:val="71"/>
              <w:rPr>
                <w:kern w:val="2"/>
                <w:szCs w:val="24"/>
                <w:lang w:val="en-US" w:eastAsia="zh-CN"/>
              </w:rPr>
            </w:pPr>
            <w:bookmarkStart w:id="1" w:name="_Hlk49843745"/>
            <w:r>
              <w:rPr>
                <w:kern w:val="2"/>
                <w:szCs w:val="24"/>
                <w:lang w:val="en-US" w:eastAsia="zh-CN"/>
              </w:rPr>
              <w:t>建设项目</w:t>
            </w:r>
          </w:p>
          <w:p w14:paraId="74C3A5A5">
            <w:pPr>
              <w:pStyle w:val="71"/>
              <w:rPr>
                <w:kern w:val="2"/>
                <w:szCs w:val="24"/>
                <w:lang w:val="en-US" w:eastAsia="zh-CN"/>
              </w:rPr>
            </w:pPr>
            <w:r>
              <w:rPr>
                <w:kern w:val="2"/>
                <w:szCs w:val="24"/>
                <w:lang w:val="en-US" w:eastAsia="zh-CN"/>
              </w:rPr>
              <w:t>行业类别</w:t>
            </w:r>
            <w:bookmarkEnd w:id="1"/>
          </w:p>
        </w:tc>
        <w:tc>
          <w:tcPr>
            <w:tcW w:w="2031" w:type="pct"/>
            <w:vAlign w:val="center"/>
          </w:tcPr>
          <w:p w14:paraId="567C571B">
            <w:pPr>
              <w:pStyle w:val="71"/>
              <w:rPr>
                <w:kern w:val="2"/>
                <w:szCs w:val="24"/>
                <w:lang w:val="en-US" w:eastAsia="zh-CN"/>
              </w:rPr>
            </w:pPr>
            <w:r>
              <w:rPr>
                <w:rFonts w:hint="eastAsia"/>
                <w:lang w:val="en-US" w:eastAsia="zh-CN"/>
              </w:rPr>
              <w:t>五十三、装卸搬运和仓储业59-</w:t>
            </w:r>
            <w:r>
              <w:rPr>
                <w:kern w:val="2"/>
                <w:szCs w:val="21"/>
                <w:lang w:val="en-US" w:eastAsia="zh-CN"/>
              </w:rPr>
              <w:t>149危险品仓储594（不含加油站的油库；不含加气站的气库）-其他（含有毒、有害、危险品的仓储；含液化天然气库）</w:t>
            </w:r>
          </w:p>
        </w:tc>
      </w:tr>
      <w:tr w14:paraId="6BFC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4D2BB54C">
            <w:pPr>
              <w:pStyle w:val="71"/>
              <w:rPr>
                <w:kern w:val="2"/>
                <w:szCs w:val="24"/>
                <w:lang w:val="en-US" w:eastAsia="zh-CN"/>
              </w:rPr>
            </w:pPr>
            <w:r>
              <w:rPr>
                <w:kern w:val="2"/>
                <w:szCs w:val="24"/>
                <w:lang w:val="en-US" w:eastAsia="zh-CN"/>
              </w:rPr>
              <w:t>建设</w:t>
            </w:r>
          </w:p>
          <w:p w14:paraId="43566A45">
            <w:pPr>
              <w:pStyle w:val="71"/>
              <w:rPr>
                <w:kern w:val="2"/>
                <w:szCs w:val="24"/>
                <w:lang w:val="en-US" w:eastAsia="zh-CN"/>
              </w:rPr>
            </w:pPr>
            <w:r>
              <w:rPr>
                <w:kern w:val="2"/>
                <w:szCs w:val="24"/>
                <w:lang w:val="en-US" w:eastAsia="zh-CN"/>
              </w:rPr>
              <w:t>性质</w:t>
            </w:r>
          </w:p>
        </w:tc>
        <w:tc>
          <w:tcPr>
            <w:tcW w:w="1357" w:type="pct"/>
            <w:vAlign w:val="center"/>
          </w:tcPr>
          <w:p w14:paraId="4002C220">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新建（迁建）</w:t>
            </w:r>
          </w:p>
          <w:p w14:paraId="240E1C78">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改建</w:t>
            </w:r>
          </w:p>
          <w:p w14:paraId="39677AB4">
            <w:pPr>
              <w:pStyle w:val="71"/>
              <w:jc w:val="left"/>
              <w:rPr>
                <w:kern w:val="2"/>
                <w:szCs w:val="24"/>
                <w:lang w:val="en-US" w:eastAsia="zh-CN"/>
              </w:rPr>
            </w:pPr>
            <w:r>
              <w:rPr>
                <w:kern w:val="2"/>
                <w:szCs w:val="24"/>
                <w:lang w:val="en-US" w:eastAsia="zh-CN"/>
              </w:rPr>
              <w:sym w:font="Wingdings" w:char="F0FE"/>
            </w:r>
            <w:r>
              <w:rPr>
                <w:kern w:val="2"/>
                <w:szCs w:val="24"/>
                <w:lang w:val="en-US" w:eastAsia="zh-CN"/>
              </w:rPr>
              <w:t>扩建</w:t>
            </w:r>
          </w:p>
          <w:p w14:paraId="7FDD7623">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技术改造</w:t>
            </w:r>
          </w:p>
        </w:tc>
        <w:tc>
          <w:tcPr>
            <w:tcW w:w="1143" w:type="pct"/>
            <w:vAlign w:val="center"/>
          </w:tcPr>
          <w:p w14:paraId="42E2461A">
            <w:pPr>
              <w:pStyle w:val="71"/>
              <w:rPr>
                <w:kern w:val="2"/>
                <w:szCs w:val="24"/>
                <w:lang w:val="en-US" w:eastAsia="zh-CN"/>
              </w:rPr>
            </w:pPr>
            <w:r>
              <w:rPr>
                <w:kern w:val="2"/>
                <w:szCs w:val="24"/>
                <w:lang w:val="en-US" w:eastAsia="zh-CN"/>
              </w:rPr>
              <w:t>建设项目</w:t>
            </w:r>
          </w:p>
          <w:p w14:paraId="51810E92">
            <w:pPr>
              <w:pStyle w:val="71"/>
              <w:rPr>
                <w:kern w:val="2"/>
                <w:szCs w:val="24"/>
                <w:lang w:val="en-US" w:eastAsia="zh-CN"/>
              </w:rPr>
            </w:pPr>
            <w:r>
              <w:rPr>
                <w:kern w:val="2"/>
                <w:szCs w:val="24"/>
                <w:lang w:val="en-US" w:eastAsia="zh-CN"/>
              </w:rPr>
              <w:t>申报情形</w:t>
            </w:r>
          </w:p>
        </w:tc>
        <w:tc>
          <w:tcPr>
            <w:tcW w:w="2031" w:type="pct"/>
            <w:vAlign w:val="center"/>
          </w:tcPr>
          <w:p w14:paraId="34E42CBD">
            <w:pPr>
              <w:pStyle w:val="71"/>
              <w:jc w:val="left"/>
              <w:rPr>
                <w:kern w:val="2"/>
                <w:szCs w:val="24"/>
                <w:lang w:val="en-US" w:eastAsia="zh-CN"/>
              </w:rPr>
            </w:pPr>
            <w:r>
              <w:rPr>
                <w:kern w:val="2"/>
                <w:szCs w:val="24"/>
                <w:lang w:val="en-US" w:eastAsia="zh-CN"/>
              </w:rPr>
              <w:sym w:font="Wingdings" w:char="F0FE"/>
            </w:r>
            <w:r>
              <w:rPr>
                <w:kern w:val="2"/>
                <w:szCs w:val="24"/>
                <w:lang w:val="en-US" w:eastAsia="zh-CN"/>
              </w:rPr>
              <w:t>首次申报项目</w:t>
            </w:r>
          </w:p>
          <w:p w14:paraId="0439E65C">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不予批准后再次申报项目</w:t>
            </w:r>
          </w:p>
          <w:p w14:paraId="540B27C6">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超五年重新审核项目</w:t>
            </w:r>
          </w:p>
          <w:p w14:paraId="548CD63A">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重大变动重新报批项目</w:t>
            </w:r>
          </w:p>
        </w:tc>
      </w:tr>
      <w:tr w14:paraId="3523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020F673C">
            <w:pPr>
              <w:pStyle w:val="71"/>
              <w:rPr>
                <w:kern w:val="2"/>
                <w:szCs w:val="24"/>
                <w:lang w:val="en-US" w:eastAsia="zh-CN"/>
              </w:rPr>
            </w:pPr>
            <w:r>
              <w:rPr>
                <w:kern w:val="2"/>
                <w:szCs w:val="24"/>
                <w:lang w:val="en-US" w:eastAsia="zh-CN"/>
              </w:rPr>
              <w:t>项目审批备案部门</w:t>
            </w:r>
          </w:p>
        </w:tc>
        <w:tc>
          <w:tcPr>
            <w:tcW w:w="1357" w:type="pct"/>
            <w:vAlign w:val="center"/>
          </w:tcPr>
          <w:p w14:paraId="0B2CD041">
            <w:pPr>
              <w:pStyle w:val="71"/>
              <w:rPr>
                <w:kern w:val="2"/>
                <w:szCs w:val="24"/>
                <w:lang w:val="en-US" w:eastAsia="zh-CN"/>
              </w:rPr>
            </w:pPr>
            <w:r>
              <w:rPr>
                <w:kern w:val="2"/>
                <w:szCs w:val="24"/>
                <w:lang w:val="en-US" w:eastAsia="zh-CN"/>
              </w:rPr>
              <w:t>福清</w:t>
            </w:r>
            <w:r>
              <w:rPr>
                <w:rFonts w:hint="eastAsia"/>
                <w:kern w:val="2"/>
                <w:szCs w:val="24"/>
                <w:lang w:val="en-US" w:eastAsia="zh-CN"/>
              </w:rPr>
              <w:t>市</w:t>
            </w:r>
            <w:r>
              <w:rPr>
                <w:kern w:val="2"/>
                <w:szCs w:val="24"/>
                <w:lang w:val="en-US" w:eastAsia="zh-CN"/>
              </w:rPr>
              <w:t>发展和改革局</w:t>
            </w:r>
          </w:p>
        </w:tc>
        <w:tc>
          <w:tcPr>
            <w:tcW w:w="1143" w:type="pct"/>
            <w:vAlign w:val="center"/>
          </w:tcPr>
          <w:p w14:paraId="42FF3046">
            <w:pPr>
              <w:pStyle w:val="71"/>
              <w:rPr>
                <w:kern w:val="2"/>
                <w:szCs w:val="24"/>
                <w:lang w:val="en-US" w:eastAsia="zh-CN"/>
              </w:rPr>
            </w:pPr>
            <w:r>
              <w:rPr>
                <w:kern w:val="2"/>
                <w:szCs w:val="24"/>
                <w:lang w:val="en-US" w:eastAsia="zh-CN"/>
              </w:rPr>
              <w:t>项目审批备案文号</w:t>
            </w:r>
          </w:p>
        </w:tc>
        <w:tc>
          <w:tcPr>
            <w:tcW w:w="2031" w:type="pct"/>
            <w:vAlign w:val="center"/>
          </w:tcPr>
          <w:p w14:paraId="597BBD16">
            <w:pPr>
              <w:pStyle w:val="71"/>
              <w:rPr>
                <w:kern w:val="2"/>
                <w:szCs w:val="24"/>
                <w:lang w:val="en-US" w:eastAsia="zh-CN"/>
              </w:rPr>
            </w:pPr>
            <w:r>
              <w:rPr>
                <w:kern w:val="2"/>
                <w:szCs w:val="24"/>
                <w:lang w:val="en-US" w:eastAsia="zh-CN"/>
              </w:rPr>
              <w:t>闽发改备[2025]A060183号</w:t>
            </w:r>
          </w:p>
        </w:tc>
      </w:tr>
      <w:tr w14:paraId="52B8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01290248">
            <w:pPr>
              <w:pStyle w:val="71"/>
              <w:rPr>
                <w:kern w:val="2"/>
                <w:szCs w:val="24"/>
                <w:lang w:val="en-US" w:eastAsia="zh-CN"/>
              </w:rPr>
            </w:pPr>
            <w:r>
              <w:rPr>
                <w:kern w:val="2"/>
                <w:szCs w:val="24"/>
                <w:lang w:val="en-US" w:eastAsia="zh-CN"/>
              </w:rPr>
              <w:t>总投资（万元）</w:t>
            </w:r>
          </w:p>
        </w:tc>
        <w:tc>
          <w:tcPr>
            <w:tcW w:w="1357" w:type="pct"/>
            <w:vAlign w:val="center"/>
          </w:tcPr>
          <w:p w14:paraId="581F4368">
            <w:pPr>
              <w:pStyle w:val="71"/>
              <w:rPr>
                <w:kern w:val="2"/>
                <w:szCs w:val="24"/>
                <w:lang w:val="en-US" w:eastAsia="zh-CN"/>
              </w:rPr>
            </w:pPr>
            <w:r>
              <w:rPr>
                <w:rFonts w:hint="eastAsia"/>
                <w:kern w:val="2"/>
                <w:szCs w:val="24"/>
                <w:lang w:val="en-US" w:eastAsia="zh-CN"/>
              </w:rPr>
              <w:t>20500</w:t>
            </w:r>
          </w:p>
        </w:tc>
        <w:tc>
          <w:tcPr>
            <w:tcW w:w="1143" w:type="pct"/>
            <w:tcMar>
              <w:top w:w="16" w:type="dxa"/>
              <w:left w:w="16" w:type="dxa"/>
              <w:right w:w="16" w:type="dxa"/>
            </w:tcMar>
            <w:vAlign w:val="center"/>
          </w:tcPr>
          <w:p w14:paraId="6511726B">
            <w:pPr>
              <w:pStyle w:val="71"/>
              <w:rPr>
                <w:kern w:val="2"/>
                <w:szCs w:val="24"/>
                <w:lang w:val="en-US" w:eastAsia="zh-CN"/>
              </w:rPr>
            </w:pPr>
            <w:r>
              <w:rPr>
                <w:kern w:val="2"/>
                <w:szCs w:val="24"/>
                <w:lang w:val="en-US" w:eastAsia="zh-CN"/>
              </w:rPr>
              <w:t>环保投资（万元）</w:t>
            </w:r>
          </w:p>
        </w:tc>
        <w:tc>
          <w:tcPr>
            <w:tcW w:w="2031" w:type="pct"/>
            <w:vAlign w:val="center"/>
          </w:tcPr>
          <w:p w14:paraId="76DF07FF">
            <w:pPr>
              <w:pStyle w:val="71"/>
              <w:rPr>
                <w:kern w:val="2"/>
                <w:szCs w:val="24"/>
                <w:lang w:val="en-US" w:eastAsia="zh-CN"/>
              </w:rPr>
            </w:pPr>
            <w:r>
              <w:rPr>
                <w:rFonts w:hint="eastAsia"/>
                <w:kern w:val="2"/>
                <w:szCs w:val="24"/>
                <w:lang w:val="en-US" w:eastAsia="zh-CN"/>
              </w:rPr>
              <w:t>1025</w:t>
            </w:r>
          </w:p>
        </w:tc>
      </w:tr>
      <w:tr w14:paraId="00E5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7F59AC3A">
            <w:pPr>
              <w:pStyle w:val="71"/>
              <w:rPr>
                <w:kern w:val="2"/>
                <w:szCs w:val="24"/>
                <w:lang w:val="en-US" w:eastAsia="zh-CN"/>
              </w:rPr>
            </w:pPr>
            <w:r>
              <w:rPr>
                <w:kern w:val="2"/>
                <w:szCs w:val="24"/>
                <w:lang w:val="en-US" w:eastAsia="zh-CN"/>
              </w:rPr>
              <w:t>环保投资占比（%）</w:t>
            </w:r>
          </w:p>
        </w:tc>
        <w:tc>
          <w:tcPr>
            <w:tcW w:w="1357" w:type="pct"/>
            <w:vAlign w:val="center"/>
          </w:tcPr>
          <w:p w14:paraId="383A9DA4">
            <w:pPr>
              <w:pStyle w:val="71"/>
              <w:rPr>
                <w:kern w:val="2"/>
                <w:szCs w:val="24"/>
                <w:lang w:val="en-US" w:eastAsia="zh-CN"/>
              </w:rPr>
            </w:pPr>
            <w:r>
              <w:rPr>
                <w:rFonts w:hint="eastAsia"/>
                <w:kern w:val="2"/>
                <w:szCs w:val="24"/>
                <w:lang w:val="en-US" w:eastAsia="zh-CN"/>
              </w:rPr>
              <w:t>5</w:t>
            </w:r>
            <w:r>
              <w:rPr>
                <w:kern w:val="2"/>
                <w:szCs w:val="24"/>
                <w:lang w:val="en-US" w:eastAsia="zh-CN"/>
              </w:rPr>
              <w:t>%</w:t>
            </w:r>
          </w:p>
        </w:tc>
        <w:tc>
          <w:tcPr>
            <w:tcW w:w="1143" w:type="pct"/>
            <w:tcMar>
              <w:top w:w="16" w:type="dxa"/>
              <w:left w:w="16" w:type="dxa"/>
              <w:right w:w="16" w:type="dxa"/>
            </w:tcMar>
            <w:vAlign w:val="center"/>
          </w:tcPr>
          <w:p w14:paraId="2007C4E6">
            <w:pPr>
              <w:pStyle w:val="71"/>
              <w:rPr>
                <w:kern w:val="2"/>
                <w:szCs w:val="24"/>
                <w:lang w:val="en-US" w:eastAsia="zh-CN"/>
              </w:rPr>
            </w:pPr>
            <w:r>
              <w:rPr>
                <w:kern w:val="2"/>
                <w:szCs w:val="24"/>
                <w:lang w:val="en-US" w:eastAsia="zh-CN"/>
              </w:rPr>
              <w:t>施工工期</w:t>
            </w:r>
          </w:p>
        </w:tc>
        <w:tc>
          <w:tcPr>
            <w:tcW w:w="2031" w:type="pct"/>
            <w:vAlign w:val="center"/>
          </w:tcPr>
          <w:p w14:paraId="3E66EC00">
            <w:pPr>
              <w:pStyle w:val="71"/>
              <w:rPr>
                <w:kern w:val="2"/>
                <w:szCs w:val="24"/>
                <w:lang w:val="en-US" w:eastAsia="zh-CN"/>
              </w:rPr>
            </w:pPr>
            <w:r>
              <w:rPr>
                <w:kern w:val="2"/>
                <w:szCs w:val="24"/>
                <w:lang w:val="en-US" w:eastAsia="zh-CN"/>
              </w:rPr>
              <w:t>202</w:t>
            </w:r>
            <w:r>
              <w:rPr>
                <w:rFonts w:hint="eastAsia"/>
                <w:kern w:val="2"/>
                <w:szCs w:val="24"/>
                <w:lang w:val="en-US" w:eastAsia="zh-CN"/>
              </w:rPr>
              <w:t>6</w:t>
            </w:r>
            <w:r>
              <w:rPr>
                <w:kern w:val="2"/>
                <w:szCs w:val="24"/>
                <w:lang w:val="en-US" w:eastAsia="zh-CN"/>
              </w:rPr>
              <w:t>年</w:t>
            </w:r>
            <w:r>
              <w:rPr>
                <w:rFonts w:hint="eastAsia"/>
                <w:kern w:val="2"/>
                <w:szCs w:val="24"/>
                <w:lang w:val="en-US" w:eastAsia="zh-CN"/>
              </w:rPr>
              <w:t>3</w:t>
            </w:r>
            <w:r>
              <w:rPr>
                <w:kern w:val="2"/>
                <w:szCs w:val="24"/>
                <w:lang w:val="en-US" w:eastAsia="zh-CN"/>
              </w:rPr>
              <w:t>月至202</w:t>
            </w:r>
            <w:r>
              <w:rPr>
                <w:rFonts w:hint="eastAsia"/>
                <w:kern w:val="2"/>
                <w:szCs w:val="24"/>
                <w:lang w:val="en-US" w:eastAsia="zh-CN"/>
              </w:rPr>
              <w:t>6</w:t>
            </w:r>
            <w:r>
              <w:rPr>
                <w:kern w:val="2"/>
                <w:szCs w:val="24"/>
                <w:lang w:val="en-US" w:eastAsia="zh-CN"/>
              </w:rPr>
              <w:t>年</w:t>
            </w:r>
            <w:r>
              <w:rPr>
                <w:rFonts w:hint="eastAsia"/>
                <w:kern w:val="2"/>
                <w:szCs w:val="24"/>
                <w:lang w:val="en-US" w:eastAsia="zh-CN"/>
              </w:rPr>
              <w:t>12</w:t>
            </w:r>
            <w:r>
              <w:rPr>
                <w:kern w:val="2"/>
                <w:szCs w:val="24"/>
                <w:lang w:val="en-US" w:eastAsia="zh-CN"/>
              </w:rPr>
              <w:t>月</w:t>
            </w:r>
          </w:p>
        </w:tc>
      </w:tr>
      <w:tr w14:paraId="4E2C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tcMar>
              <w:top w:w="16" w:type="dxa"/>
              <w:left w:w="16" w:type="dxa"/>
              <w:right w:w="16" w:type="dxa"/>
            </w:tcMar>
            <w:vAlign w:val="center"/>
          </w:tcPr>
          <w:p w14:paraId="396F17C4">
            <w:pPr>
              <w:pStyle w:val="71"/>
              <w:rPr>
                <w:kern w:val="2"/>
                <w:szCs w:val="24"/>
                <w:lang w:val="en-US" w:eastAsia="zh-CN"/>
              </w:rPr>
            </w:pPr>
            <w:r>
              <w:rPr>
                <w:kern w:val="2"/>
                <w:szCs w:val="24"/>
                <w:lang w:val="en-US" w:eastAsia="zh-CN"/>
              </w:rPr>
              <w:t>是否开工建设</w:t>
            </w:r>
          </w:p>
        </w:tc>
        <w:tc>
          <w:tcPr>
            <w:tcW w:w="1357" w:type="pct"/>
            <w:vAlign w:val="center"/>
          </w:tcPr>
          <w:p w14:paraId="05144967">
            <w:pPr>
              <w:pStyle w:val="71"/>
              <w:jc w:val="left"/>
              <w:rPr>
                <w:kern w:val="2"/>
                <w:szCs w:val="24"/>
                <w:lang w:val="en-US" w:eastAsia="zh-CN"/>
              </w:rPr>
            </w:pPr>
            <w:r>
              <w:rPr>
                <w:kern w:val="2"/>
                <w:szCs w:val="24"/>
                <w:lang w:val="en-US" w:eastAsia="zh-CN"/>
              </w:rPr>
              <w:sym w:font="Wingdings" w:char="F0FE"/>
            </w:r>
            <w:r>
              <w:rPr>
                <w:kern w:val="2"/>
                <w:szCs w:val="24"/>
                <w:lang w:val="en-US" w:eastAsia="zh-CN"/>
              </w:rPr>
              <w:t>否</w:t>
            </w:r>
          </w:p>
          <w:p w14:paraId="0368767B">
            <w:pPr>
              <w:pStyle w:val="71"/>
              <w:jc w:val="left"/>
              <w:rPr>
                <w:kern w:val="2"/>
                <w:szCs w:val="24"/>
                <w:lang w:val="en-US" w:eastAsia="zh-CN"/>
              </w:rPr>
            </w:pPr>
            <w:r>
              <w:rPr>
                <w:rFonts w:hint="eastAsia" w:ascii="宋体" w:hAnsi="宋体"/>
                <w:kern w:val="2"/>
                <w:szCs w:val="24"/>
                <w:lang w:val="en-US" w:eastAsia="zh-CN"/>
              </w:rPr>
              <w:t>□</w:t>
            </w:r>
            <w:r>
              <w:rPr>
                <w:kern w:val="2"/>
                <w:szCs w:val="24"/>
                <w:lang w:val="en-US" w:eastAsia="zh-CN"/>
              </w:rPr>
              <w:t>是：</w:t>
            </w:r>
          </w:p>
        </w:tc>
        <w:tc>
          <w:tcPr>
            <w:tcW w:w="1143" w:type="pct"/>
            <w:tcMar>
              <w:top w:w="16" w:type="dxa"/>
              <w:left w:w="16" w:type="dxa"/>
              <w:right w:w="16" w:type="dxa"/>
            </w:tcMar>
            <w:vAlign w:val="center"/>
          </w:tcPr>
          <w:p w14:paraId="43522704">
            <w:pPr>
              <w:pStyle w:val="71"/>
              <w:rPr>
                <w:kern w:val="2"/>
                <w:szCs w:val="24"/>
                <w:lang w:val="en-US" w:eastAsia="zh-CN"/>
              </w:rPr>
            </w:pPr>
            <w:r>
              <w:rPr>
                <w:kern w:val="2"/>
                <w:szCs w:val="24"/>
                <w:lang w:val="en-US" w:eastAsia="zh-CN"/>
              </w:rPr>
              <w:t>用地面积（m²）</w:t>
            </w:r>
          </w:p>
        </w:tc>
        <w:tc>
          <w:tcPr>
            <w:tcW w:w="2031" w:type="pct"/>
            <w:vAlign w:val="center"/>
          </w:tcPr>
          <w:p w14:paraId="16629D71">
            <w:pPr>
              <w:pStyle w:val="71"/>
              <w:rPr>
                <w:kern w:val="2"/>
                <w:szCs w:val="24"/>
                <w:lang w:val="en-US" w:eastAsia="zh-CN"/>
              </w:rPr>
            </w:pPr>
            <w:r>
              <w:rPr>
                <w:rFonts w:hint="eastAsia"/>
                <w:lang w:val="en-US"/>
              </w:rPr>
              <w:t>34160.68</w:t>
            </w:r>
          </w:p>
        </w:tc>
      </w:tr>
      <w:tr w14:paraId="4E0E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vAlign w:val="center"/>
          </w:tcPr>
          <w:p w14:paraId="74A31C9F">
            <w:pPr>
              <w:pStyle w:val="71"/>
              <w:rPr>
                <w:kern w:val="2"/>
                <w:szCs w:val="24"/>
                <w:lang w:val="en-US" w:eastAsia="zh-CN"/>
              </w:rPr>
            </w:pPr>
            <w:r>
              <w:rPr>
                <w:kern w:val="2"/>
                <w:szCs w:val="24"/>
                <w:lang w:val="en-US" w:eastAsia="zh-CN"/>
              </w:rPr>
              <w:t>专项评价设置情况</w:t>
            </w:r>
          </w:p>
        </w:tc>
        <w:tc>
          <w:tcPr>
            <w:tcW w:w="4531" w:type="pct"/>
            <w:gridSpan w:val="3"/>
            <w:vAlign w:val="center"/>
          </w:tcPr>
          <w:p w14:paraId="193A480E">
            <w:pPr>
              <w:pStyle w:val="71"/>
              <w:jc w:val="left"/>
              <w:rPr>
                <w:kern w:val="2"/>
                <w:szCs w:val="24"/>
                <w:lang w:val="en-US" w:eastAsia="zh-CN"/>
              </w:rPr>
            </w:pPr>
            <w:r>
              <w:rPr>
                <w:rFonts w:hint="eastAsia"/>
                <w:kern w:val="2"/>
                <w:szCs w:val="24"/>
                <w:lang w:val="en-US" w:eastAsia="zh-CN"/>
              </w:rPr>
              <w:t>根据《建设项目环境影响报告表编制技术指南</w:t>
            </w:r>
            <w:r>
              <w:rPr>
                <w:rFonts w:hint="eastAsia"/>
              </w:rPr>
              <w:t>（污染影响类）（试行）</w:t>
            </w:r>
            <w:r>
              <w:rPr>
                <w:rFonts w:hint="eastAsia"/>
                <w:kern w:val="2"/>
                <w:szCs w:val="24"/>
                <w:lang w:val="en-US" w:eastAsia="zh-CN"/>
              </w:rPr>
              <w:t>》（</w:t>
            </w:r>
            <w:r>
              <w:rPr>
                <w:kern w:val="2"/>
                <w:szCs w:val="24"/>
                <w:lang w:val="en-US" w:eastAsia="zh-CN"/>
              </w:rPr>
              <w:t>环办环评〔2020〕33号</w:t>
            </w:r>
            <w:r>
              <w:rPr>
                <w:rFonts w:hint="eastAsia"/>
                <w:kern w:val="2"/>
                <w:szCs w:val="24"/>
                <w:lang w:val="en-US" w:eastAsia="zh-CN"/>
              </w:rPr>
              <w:t>），土壤、声不开展专项评价，地下水原则不开展专项评价。项目专项评价设置原则情况具体见表1-1。</w:t>
            </w:r>
          </w:p>
          <w:p w14:paraId="0408A01E">
            <w:pPr>
              <w:pStyle w:val="68"/>
              <w:rPr>
                <w:kern w:val="2"/>
                <w:sz w:val="21"/>
                <w:szCs w:val="21"/>
                <w:lang w:val="en-US" w:eastAsia="zh-CN"/>
              </w:rPr>
            </w:pPr>
            <w:r>
              <w:rPr>
                <w:rFonts w:hint="eastAsia"/>
                <w:kern w:val="2"/>
                <w:sz w:val="21"/>
                <w:szCs w:val="21"/>
                <w:lang w:val="en-US" w:eastAsia="zh-CN"/>
              </w:rPr>
              <w:t>表1.1-1 专项评价设置原则表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975"/>
              <w:gridCol w:w="2406"/>
              <w:gridCol w:w="4389"/>
              <w:gridCol w:w="707"/>
            </w:tblGrid>
            <w:tr w14:paraId="7322F1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Align w:val="center"/>
                </w:tcPr>
                <w:p w14:paraId="46903C71">
                  <w:pPr>
                    <w:adjustRightInd w:val="0"/>
                    <w:snapToGrid w:val="0"/>
                    <w:spacing w:line="240" w:lineRule="auto"/>
                    <w:ind w:firstLine="0" w:firstLineChars="0"/>
                    <w:jc w:val="center"/>
                    <w:rPr>
                      <w:sz w:val="21"/>
                      <w:szCs w:val="21"/>
                    </w:rPr>
                  </w:pPr>
                  <w:r>
                    <w:rPr>
                      <w:sz w:val="21"/>
                      <w:szCs w:val="21"/>
                    </w:rPr>
                    <w:t>专项评价类别</w:t>
                  </w:r>
                </w:p>
              </w:tc>
              <w:tc>
                <w:tcPr>
                  <w:tcW w:w="1419" w:type="pct"/>
                  <w:vAlign w:val="center"/>
                </w:tcPr>
                <w:p w14:paraId="3D87623E">
                  <w:pPr>
                    <w:adjustRightInd w:val="0"/>
                    <w:snapToGrid w:val="0"/>
                    <w:spacing w:line="240" w:lineRule="auto"/>
                    <w:ind w:firstLine="0" w:firstLineChars="0"/>
                    <w:jc w:val="center"/>
                    <w:rPr>
                      <w:sz w:val="21"/>
                      <w:szCs w:val="21"/>
                    </w:rPr>
                  </w:pPr>
                  <w:r>
                    <w:rPr>
                      <w:sz w:val="21"/>
                      <w:szCs w:val="21"/>
                    </w:rPr>
                    <w:t>设置原则</w:t>
                  </w:r>
                </w:p>
              </w:tc>
              <w:tc>
                <w:tcPr>
                  <w:tcW w:w="2589" w:type="pct"/>
                  <w:vAlign w:val="center"/>
                </w:tcPr>
                <w:p w14:paraId="74458D96">
                  <w:pPr>
                    <w:adjustRightInd w:val="0"/>
                    <w:snapToGrid w:val="0"/>
                    <w:spacing w:line="240" w:lineRule="auto"/>
                    <w:ind w:firstLine="0" w:firstLineChars="0"/>
                    <w:jc w:val="center"/>
                    <w:rPr>
                      <w:sz w:val="21"/>
                      <w:szCs w:val="21"/>
                    </w:rPr>
                  </w:pPr>
                  <w:r>
                    <w:rPr>
                      <w:rFonts w:hint="eastAsia"/>
                      <w:sz w:val="21"/>
                      <w:szCs w:val="21"/>
                    </w:rPr>
                    <w:t>扩建</w:t>
                  </w:r>
                  <w:r>
                    <w:rPr>
                      <w:sz w:val="21"/>
                      <w:szCs w:val="21"/>
                    </w:rPr>
                    <w:t>项目情况</w:t>
                  </w:r>
                </w:p>
              </w:tc>
              <w:tc>
                <w:tcPr>
                  <w:tcW w:w="417" w:type="pct"/>
                  <w:vAlign w:val="center"/>
                </w:tcPr>
                <w:p w14:paraId="426A5A5D">
                  <w:pPr>
                    <w:adjustRightInd w:val="0"/>
                    <w:snapToGrid w:val="0"/>
                    <w:spacing w:line="240" w:lineRule="auto"/>
                    <w:ind w:firstLine="0" w:firstLineChars="0"/>
                    <w:jc w:val="center"/>
                    <w:rPr>
                      <w:sz w:val="21"/>
                      <w:szCs w:val="21"/>
                    </w:rPr>
                  </w:pPr>
                  <w:r>
                    <w:rPr>
                      <w:sz w:val="21"/>
                      <w:szCs w:val="21"/>
                    </w:rPr>
                    <w:t>是否设置</w:t>
                  </w:r>
                </w:p>
              </w:tc>
            </w:tr>
            <w:tr w14:paraId="310ED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Align w:val="center"/>
                </w:tcPr>
                <w:p w14:paraId="137D2533">
                  <w:pPr>
                    <w:adjustRightInd w:val="0"/>
                    <w:snapToGrid w:val="0"/>
                    <w:spacing w:line="240" w:lineRule="auto"/>
                    <w:ind w:firstLine="0" w:firstLineChars="0"/>
                    <w:jc w:val="center"/>
                    <w:rPr>
                      <w:sz w:val="21"/>
                      <w:szCs w:val="21"/>
                    </w:rPr>
                  </w:pPr>
                  <w:r>
                    <w:rPr>
                      <w:sz w:val="21"/>
                      <w:szCs w:val="21"/>
                    </w:rPr>
                    <w:t>大气</w:t>
                  </w:r>
                </w:p>
              </w:tc>
              <w:tc>
                <w:tcPr>
                  <w:tcW w:w="1419" w:type="pct"/>
                  <w:vAlign w:val="center"/>
                </w:tcPr>
                <w:p w14:paraId="47B72BA3">
                  <w:pPr>
                    <w:adjustRightInd w:val="0"/>
                    <w:snapToGrid w:val="0"/>
                    <w:spacing w:line="240" w:lineRule="auto"/>
                    <w:ind w:firstLine="0" w:firstLineChars="0"/>
                    <w:jc w:val="center"/>
                    <w:rPr>
                      <w:sz w:val="21"/>
                      <w:szCs w:val="21"/>
                    </w:rPr>
                  </w:pPr>
                  <w:r>
                    <w:rPr>
                      <w:sz w:val="21"/>
                      <w:szCs w:val="21"/>
                    </w:rPr>
                    <w:t>排放废气含有毒有害污染物、二噁英、苯并[a]芘、氰化物、氯气且厂界外500米范围内有环境空气保护目标的建设项目。</w:t>
                  </w:r>
                </w:p>
              </w:tc>
              <w:tc>
                <w:tcPr>
                  <w:tcW w:w="2589" w:type="pct"/>
                  <w:vAlign w:val="center"/>
                </w:tcPr>
                <w:p w14:paraId="4F24553A">
                  <w:pPr>
                    <w:adjustRightInd w:val="0"/>
                    <w:snapToGrid w:val="0"/>
                    <w:spacing w:line="240" w:lineRule="auto"/>
                    <w:ind w:firstLine="0" w:firstLineChars="0"/>
                    <w:jc w:val="center"/>
                    <w:rPr>
                      <w:sz w:val="21"/>
                      <w:szCs w:val="21"/>
                    </w:rPr>
                  </w:pPr>
                  <w:r>
                    <w:rPr>
                      <w:rFonts w:hint="eastAsia"/>
                      <w:sz w:val="21"/>
                      <w:szCs w:val="21"/>
                    </w:rPr>
                    <w:t>扩建</w:t>
                  </w:r>
                  <w:r>
                    <w:rPr>
                      <w:sz w:val="21"/>
                      <w:szCs w:val="21"/>
                    </w:rPr>
                    <w:t>项目</w:t>
                  </w:r>
                  <w:r>
                    <w:rPr>
                      <w:rFonts w:hint="eastAsia"/>
                      <w:sz w:val="21"/>
                      <w:szCs w:val="21"/>
                    </w:rPr>
                    <w:t>排放废气污染物主要为非甲烷总烃、顺酐（MA）、</w:t>
                  </w:r>
                  <w:r>
                    <w:rPr>
                      <w:sz w:val="21"/>
                      <w:szCs w:val="21"/>
                    </w:rPr>
                    <w:t>四氢呋喃（THF）</w:t>
                  </w:r>
                  <w:r>
                    <w:rPr>
                      <w:rFonts w:hint="eastAsia"/>
                      <w:sz w:val="21"/>
                      <w:szCs w:val="21"/>
                    </w:rPr>
                    <w:t>，不涉及有毒有害污染物、二噁英、苯并[a]芘、氰化物、氯气</w:t>
                  </w:r>
                  <w:r>
                    <w:rPr>
                      <w:sz w:val="21"/>
                      <w:szCs w:val="21"/>
                    </w:rPr>
                    <w:t>大气污染物且厂界外500米范围内</w:t>
                  </w:r>
                  <w:r>
                    <w:rPr>
                      <w:rFonts w:hint="eastAsia"/>
                      <w:sz w:val="21"/>
                      <w:szCs w:val="21"/>
                    </w:rPr>
                    <w:t>无</w:t>
                  </w:r>
                  <w:r>
                    <w:rPr>
                      <w:sz w:val="21"/>
                      <w:szCs w:val="21"/>
                    </w:rPr>
                    <w:t>环境空气保护目标的建设项目。</w:t>
                  </w:r>
                </w:p>
              </w:tc>
              <w:tc>
                <w:tcPr>
                  <w:tcW w:w="417" w:type="pct"/>
                  <w:vAlign w:val="center"/>
                </w:tcPr>
                <w:p w14:paraId="1D4E89F4">
                  <w:pPr>
                    <w:adjustRightInd w:val="0"/>
                    <w:snapToGrid w:val="0"/>
                    <w:spacing w:line="240" w:lineRule="auto"/>
                    <w:ind w:firstLine="0" w:firstLineChars="0"/>
                    <w:jc w:val="center"/>
                    <w:rPr>
                      <w:sz w:val="21"/>
                      <w:szCs w:val="21"/>
                    </w:rPr>
                  </w:pPr>
                  <w:r>
                    <w:rPr>
                      <w:sz w:val="21"/>
                      <w:szCs w:val="21"/>
                    </w:rPr>
                    <w:t>否</w:t>
                  </w:r>
                </w:p>
              </w:tc>
            </w:tr>
            <w:tr w14:paraId="4C215F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Align w:val="center"/>
                </w:tcPr>
                <w:p w14:paraId="5F65668A">
                  <w:pPr>
                    <w:adjustRightInd w:val="0"/>
                    <w:snapToGrid w:val="0"/>
                    <w:spacing w:line="240" w:lineRule="auto"/>
                    <w:ind w:firstLine="0" w:firstLineChars="0"/>
                    <w:jc w:val="center"/>
                    <w:rPr>
                      <w:sz w:val="21"/>
                      <w:szCs w:val="21"/>
                    </w:rPr>
                  </w:pPr>
                  <w:r>
                    <w:rPr>
                      <w:sz w:val="21"/>
                      <w:szCs w:val="21"/>
                    </w:rPr>
                    <w:t>地表水</w:t>
                  </w:r>
                </w:p>
              </w:tc>
              <w:tc>
                <w:tcPr>
                  <w:tcW w:w="1419" w:type="pct"/>
                  <w:vAlign w:val="center"/>
                </w:tcPr>
                <w:p w14:paraId="2DFA0C7E">
                  <w:pPr>
                    <w:adjustRightInd w:val="0"/>
                    <w:snapToGrid w:val="0"/>
                    <w:spacing w:line="240" w:lineRule="auto"/>
                    <w:ind w:firstLine="0" w:firstLineChars="0"/>
                    <w:jc w:val="center"/>
                    <w:rPr>
                      <w:sz w:val="21"/>
                      <w:szCs w:val="21"/>
                    </w:rPr>
                  </w:pPr>
                  <w:r>
                    <w:rPr>
                      <w:sz w:val="21"/>
                      <w:szCs w:val="21"/>
                    </w:rPr>
                    <w:t>新增工业废水直排建设项目</w:t>
                  </w:r>
                  <w:r>
                    <w:rPr>
                      <w:rFonts w:hint="eastAsia"/>
                      <w:sz w:val="21"/>
                      <w:szCs w:val="21"/>
                    </w:rPr>
                    <w:t>（</w:t>
                  </w:r>
                  <w:r>
                    <w:rPr>
                      <w:sz w:val="21"/>
                      <w:szCs w:val="21"/>
                    </w:rPr>
                    <w:t>槽罐车外送污水处理厂的除外</w:t>
                  </w:r>
                  <w:r>
                    <w:rPr>
                      <w:rFonts w:hint="eastAsia"/>
                      <w:sz w:val="21"/>
                      <w:szCs w:val="21"/>
                    </w:rPr>
                    <w:t>）</w:t>
                  </w:r>
                  <w:r>
                    <w:rPr>
                      <w:sz w:val="21"/>
                      <w:szCs w:val="21"/>
                    </w:rPr>
                    <w:t>；新增废水直排的污水集中处理厂。</w:t>
                  </w:r>
                </w:p>
              </w:tc>
              <w:tc>
                <w:tcPr>
                  <w:tcW w:w="2589" w:type="pct"/>
                  <w:vAlign w:val="center"/>
                </w:tcPr>
                <w:p w14:paraId="63AD4962">
                  <w:pPr>
                    <w:adjustRightInd w:val="0"/>
                    <w:snapToGrid w:val="0"/>
                    <w:spacing w:line="240" w:lineRule="auto"/>
                    <w:ind w:firstLine="0" w:firstLineChars="0"/>
                    <w:jc w:val="center"/>
                    <w:rPr>
                      <w:sz w:val="21"/>
                      <w:szCs w:val="21"/>
                    </w:rPr>
                  </w:pPr>
                  <w:r>
                    <w:rPr>
                      <w:rFonts w:hint="eastAsia"/>
                      <w:sz w:val="21"/>
                      <w:szCs w:val="21"/>
                    </w:rPr>
                    <w:t>扩建</w:t>
                  </w:r>
                  <w:r>
                    <w:rPr>
                      <w:sz w:val="21"/>
                      <w:szCs w:val="21"/>
                    </w:rPr>
                    <w:t>项目</w:t>
                  </w:r>
                  <w:r>
                    <w:rPr>
                      <w:rFonts w:hint="eastAsia"/>
                      <w:sz w:val="21"/>
                      <w:szCs w:val="21"/>
                    </w:rPr>
                    <w:t>不涉及工业废水直排。项目</w:t>
                  </w:r>
                  <w:r>
                    <w:rPr>
                      <w:sz w:val="21"/>
                      <w:szCs w:val="21"/>
                    </w:rPr>
                    <w:t>生活污水经预处理后与BDO/MA储罐废气水洗/碱洗废水、初期雨水、地面冲洗废水</w:t>
                  </w:r>
                  <w:r>
                    <w:rPr>
                      <w:rFonts w:hint="eastAsia"/>
                      <w:sz w:val="21"/>
                      <w:szCs w:val="21"/>
                    </w:rPr>
                    <w:t>送至</w:t>
                  </w:r>
                  <w:r>
                    <w:rPr>
                      <w:sz w:val="21"/>
                      <w:szCs w:val="21"/>
                    </w:rPr>
                    <w:t>福州万景石化有限公司污水处理站低浓度废水处理段</w:t>
                  </w:r>
                  <w:r>
                    <w:rPr>
                      <w:rFonts w:hint="eastAsia"/>
                      <w:sz w:val="21"/>
                      <w:szCs w:val="21"/>
                    </w:rPr>
                    <w:t>，</w:t>
                  </w:r>
                  <w:r>
                    <w:rPr>
                      <w:sz w:val="21"/>
                      <w:szCs w:val="21"/>
                    </w:rPr>
                    <w:t>处理达到江阴工业集中区污水处理厂纳管标准后，排入江阴工业集中区污水处理厂进一步处理</w:t>
                  </w:r>
                  <w:r>
                    <w:rPr>
                      <w:rFonts w:hint="eastAsia"/>
                      <w:sz w:val="21"/>
                      <w:szCs w:val="21"/>
                    </w:rPr>
                    <w:t>。</w:t>
                  </w:r>
                </w:p>
              </w:tc>
              <w:tc>
                <w:tcPr>
                  <w:tcW w:w="417" w:type="pct"/>
                  <w:vAlign w:val="center"/>
                </w:tcPr>
                <w:p w14:paraId="55F6681C">
                  <w:pPr>
                    <w:adjustRightInd w:val="0"/>
                    <w:snapToGrid w:val="0"/>
                    <w:spacing w:line="240" w:lineRule="auto"/>
                    <w:ind w:firstLine="0" w:firstLineChars="0"/>
                    <w:jc w:val="center"/>
                    <w:rPr>
                      <w:sz w:val="21"/>
                      <w:szCs w:val="21"/>
                    </w:rPr>
                  </w:pPr>
                  <w:r>
                    <w:rPr>
                      <w:sz w:val="21"/>
                      <w:szCs w:val="21"/>
                    </w:rPr>
                    <w:t>否</w:t>
                  </w:r>
                </w:p>
              </w:tc>
            </w:tr>
            <w:tr w14:paraId="459745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Align w:val="center"/>
                </w:tcPr>
                <w:p w14:paraId="2BC9A2F0">
                  <w:pPr>
                    <w:adjustRightInd w:val="0"/>
                    <w:snapToGrid w:val="0"/>
                    <w:spacing w:line="240" w:lineRule="auto"/>
                    <w:ind w:firstLine="0" w:firstLineChars="0"/>
                    <w:jc w:val="center"/>
                    <w:rPr>
                      <w:sz w:val="21"/>
                      <w:szCs w:val="21"/>
                    </w:rPr>
                  </w:pPr>
                  <w:r>
                    <w:rPr>
                      <w:sz w:val="21"/>
                      <w:szCs w:val="21"/>
                    </w:rPr>
                    <w:t>环境</w:t>
                  </w:r>
                </w:p>
                <w:p w14:paraId="39469148">
                  <w:pPr>
                    <w:adjustRightInd w:val="0"/>
                    <w:snapToGrid w:val="0"/>
                    <w:spacing w:line="240" w:lineRule="auto"/>
                    <w:ind w:firstLine="0" w:firstLineChars="0"/>
                    <w:jc w:val="center"/>
                    <w:rPr>
                      <w:sz w:val="21"/>
                      <w:szCs w:val="21"/>
                    </w:rPr>
                  </w:pPr>
                  <w:r>
                    <w:rPr>
                      <w:sz w:val="21"/>
                      <w:szCs w:val="21"/>
                    </w:rPr>
                    <w:t>风险</w:t>
                  </w:r>
                </w:p>
              </w:tc>
              <w:tc>
                <w:tcPr>
                  <w:tcW w:w="1419" w:type="pct"/>
                  <w:vAlign w:val="center"/>
                </w:tcPr>
                <w:p w14:paraId="45BABA83">
                  <w:pPr>
                    <w:adjustRightInd w:val="0"/>
                    <w:snapToGrid w:val="0"/>
                    <w:spacing w:line="240" w:lineRule="auto"/>
                    <w:ind w:firstLine="0" w:firstLineChars="0"/>
                    <w:jc w:val="center"/>
                    <w:rPr>
                      <w:sz w:val="21"/>
                      <w:szCs w:val="21"/>
                    </w:rPr>
                  </w:pPr>
                  <w:r>
                    <w:rPr>
                      <w:sz w:val="21"/>
                      <w:szCs w:val="21"/>
                    </w:rPr>
                    <w:t>有毒有害和易燃易爆危险物质存储量超过临界量的建设项目。</w:t>
                  </w:r>
                </w:p>
              </w:tc>
              <w:tc>
                <w:tcPr>
                  <w:tcW w:w="2589" w:type="pct"/>
                  <w:vAlign w:val="center"/>
                </w:tcPr>
                <w:p w14:paraId="7D4985DD">
                  <w:pPr>
                    <w:pStyle w:val="71"/>
                    <w:rPr>
                      <w:kern w:val="2"/>
                      <w:szCs w:val="21"/>
                    </w:rPr>
                  </w:pPr>
                  <w:r>
                    <w:rPr>
                      <w:rFonts w:hint="eastAsia"/>
                      <w:kern w:val="2"/>
                      <w:szCs w:val="24"/>
                      <w:lang w:val="en-US" w:eastAsia="zh-CN"/>
                    </w:rPr>
                    <w:t>扩建</w:t>
                  </w:r>
                  <w:r>
                    <w:rPr>
                      <w:kern w:val="2"/>
                      <w:szCs w:val="24"/>
                      <w:lang w:val="en-US" w:eastAsia="zh-CN"/>
                    </w:rPr>
                    <w:t>项目</w:t>
                  </w:r>
                  <w:r>
                    <w:rPr>
                      <w:rFonts w:hint="eastAsia"/>
                      <w:kern w:val="2"/>
                      <w:szCs w:val="24"/>
                      <w:lang w:val="en-US" w:eastAsia="zh-CN"/>
                    </w:rPr>
                    <w:t>主要货种为顺酐（MA）、</w:t>
                  </w:r>
                  <w:r>
                    <w:rPr>
                      <w:kern w:val="2"/>
                      <w:szCs w:val="24"/>
                      <w:lang w:val="en-US" w:eastAsia="zh-CN"/>
                    </w:rPr>
                    <w:t>1，4-丁二醇（BDO）</w:t>
                  </w:r>
                  <w:r>
                    <w:rPr>
                      <w:rFonts w:hint="eastAsia"/>
                      <w:kern w:val="2"/>
                      <w:szCs w:val="24"/>
                      <w:lang w:val="en-US" w:eastAsia="zh-CN"/>
                    </w:rPr>
                    <w:t>、</w:t>
                  </w:r>
                  <w:r>
                    <w:rPr>
                      <w:kern w:val="2"/>
                      <w:szCs w:val="24"/>
                      <w:lang w:val="en-US" w:eastAsia="zh-CN"/>
                    </w:rPr>
                    <w:t>四氢呋喃（THF）</w:t>
                  </w:r>
                  <w:r>
                    <w:rPr>
                      <w:rFonts w:hint="eastAsia"/>
                      <w:kern w:val="2"/>
                      <w:szCs w:val="24"/>
                      <w:lang w:val="en-US" w:eastAsia="zh-CN"/>
                    </w:rPr>
                    <w:t>未列入</w:t>
                  </w:r>
                  <w:r>
                    <w:rPr>
                      <w:kern w:val="2"/>
                      <w:szCs w:val="24"/>
                      <w:lang w:val="en-US" w:eastAsia="zh-CN"/>
                    </w:rPr>
                    <w:t>《建设项目环境风险评价技术导则》（HJ169-2018）的附录B和《企业突发环境事件风险分级方法》（HJ941-2018）</w:t>
                  </w:r>
                  <w:r>
                    <w:rPr>
                      <w:rFonts w:hint="eastAsia"/>
                      <w:kern w:val="2"/>
                      <w:szCs w:val="24"/>
                      <w:lang w:val="en-US" w:eastAsia="zh-CN"/>
                    </w:rPr>
                    <w:t>附录A。其中扩建项目涉及风险的物质为废机油，环境风险物质数量与临界量比值Q=0.0012&lt;1，</w:t>
                  </w:r>
                  <w:r>
                    <w:rPr>
                      <w:kern w:val="2"/>
                      <w:szCs w:val="24"/>
                      <w:lang w:val="en-US" w:eastAsia="zh-CN"/>
                    </w:rPr>
                    <w:t>故扩建项目</w:t>
                  </w:r>
                  <w:r>
                    <w:rPr>
                      <w:rFonts w:hint="eastAsia"/>
                      <w:kern w:val="2"/>
                      <w:szCs w:val="24"/>
                      <w:lang w:val="en-US" w:eastAsia="zh-CN"/>
                    </w:rPr>
                    <w:t>不</w:t>
                  </w:r>
                  <w:r>
                    <w:rPr>
                      <w:kern w:val="2"/>
                      <w:szCs w:val="24"/>
                      <w:lang w:val="en-US" w:eastAsia="zh-CN"/>
                    </w:rPr>
                    <w:t>设置环境风险专项评价</w:t>
                  </w:r>
                  <w:r>
                    <w:rPr>
                      <w:rFonts w:hint="eastAsia"/>
                      <w:kern w:val="2"/>
                      <w:szCs w:val="24"/>
                      <w:lang w:val="en-US" w:eastAsia="zh-CN"/>
                    </w:rPr>
                    <w:t>，仅做简单分析，具体内容详见报告七</w:t>
                  </w:r>
                  <w:r>
                    <w:rPr>
                      <w:kern w:val="2"/>
                      <w:szCs w:val="24"/>
                      <w:lang w:val="en-US" w:eastAsia="zh-CN"/>
                    </w:rPr>
                    <w:t>、</w:t>
                  </w:r>
                  <w:r>
                    <w:rPr>
                      <w:rFonts w:hint="eastAsia"/>
                      <w:kern w:val="2"/>
                      <w:szCs w:val="24"/>
                      <w:lang w:val="en-US" w:eastAsia="zh-CN"/>
                    </w:rPr>
                    <w:t>建设项目环境风险简单分析内容表</w:t>
                  </w:r>
                </w:p>
              </w:tc>
              <w:tc>
                <w:tcPr>
                  <w:tcW w:w="417" w:type="pct"/>
                  <w:vAlign w:val="center"/>
                </w:tcPr>
                <w:p w14:paraId="54E8E06C">
                  <w:pPr>
                    <w:adjustRightInd w:val="0"/>
                    <w:snapToGrid w:val="0"/>
                    <w:spacing w:line="240" w:lineRule="auto"/>
                    <w:ind w:firstLine="0" w:firstLineChars="0"/>
                    <w:jc w:val="center"/>
                    <w:rPr>
                      <w:sz w:val="21"/>
                      <w:szCs w:val="21"/>
                    </w:rPr>
                  </w:pPr>
                  <w:r>
                    <w:rPr>
                      <w:sz w:val="21"/>
                      <w:szCs w:val="21"/>
                    </w:rPr>
                    <w:t>否</w:t>
                  </w:r>
                </w:p>
              </w:tc>
            </w:tr>
            <w:tr w14:paraId="1CF30E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Align w:val="center"/>
                </w:tcPr>
                <w:p w14:paraId="3347C882">
                  <w:pPr>
                    <w:adjustRightInd w:val="0"/>
                    <w:snapToGrid w:val="0"/>
                    <w:spacing w:line="240" w:lineRule="auto"/>
                    <w:ind w:firstLine="0" w:firstLineChars="0"/>
                    <w:jc w:val="center"/>
                    <w:rPr>
                      <w:sz w:val="21"/>
                      <w:szCs w:val="21"/>
                    </w:rPr>
                  </w:pPr>
                  <w:r>
                    <w:rPr>
                      <w:sz w:val="21"/>
                      <w:szCs w:val="21"/>
                    </w:rPr>
                    <w:t>生态</w:t>
                  </w:r>
                </w:p>
              </w:tc>
              <w:tc>
                <w:tcPr>
                  <w:tcW w:w="1419" w:type="pct"/>
                  <w:vAlign w:val="center"/>
                </w:tcPr>
                <w:p w14:paraId="67C79C9D">
                  <w:pPr>
                    <w:adjustRightInd w:val="0"/>
                    <w:snapToGrid w:val="0"/>
                    <w:spacing w:line="240" w:lineRule="auto"/>
                    <w:ind w:firstLine="0" w:firstLineChars="0"/>
                    <w:jc w:val="center"/>
                    <w:rPr>
                      <w:sz w:val="21"/>
                      <w:szCs w:val="21"/>
                    </w:rPr>
                  </w:pPr>
                  <w:r>
                    <w:rPr>
                      <w:sz w:val="21"/>
                      <w:szCs w:val="21"/>
                    </w:rPr>
                    <w:t>取水口下游500米范围内有重要水生生物的自然产卵场、索饵场、越冬场和洄游通道的新增河道取水的污染类建设项目。</w:t>
                  </w:r>
                </w:p>
              </w:tc>
              <w:tc>
                <w:tcPr>
                  <w:tcW w:w="2589" w:type="pct"/>
                  <w:vAlign w:val="center"/>
                </w:tcPr>
                <w:p w14:paraId="5C738094">
                  <w:pPr>
                    <w:adjustRightInd w:val="0"/>
                    <w:snapToGrid w:val="0"/>
                    <w:spacing w:line="240" w:lineRule="auto"/>
                    <w:ind w:firstLine="0" w:firstLineChars="0"/>
                    <w:jc w:val="center"/>
                    <w:rPr>
                      <w:sz w:val="21"/>
                      <w:szCs w:val="21"/>
                    </w:rPr>
                  </w:pPr>
                  <w:r>
                    <w:rPr>
                      <w:rFonts w:hint="eastAsia"/>
                      <w:sz w:val="21"/>
                      <w:szCs w:val="21"/>
                    </w:rPr>
                    <w:t>扩建</w:t>
                  </w:r>
                  <w:r>
                    <w:rPr>
                      <w:sz w:val="21"/>
                      <w:szCs w:val="21"/>
                    </w:rPr>
                    <w:t>项目生产用水由中景园区净化水场提供，不设置取水口。</w:t>
                  </w:r>
                </w:p>
              </w:tc>
              <w:tc>
                <w:tcPr>
                  <w:tcW w:w="417" w:type="pct"/>
                  <w:vAlign w:val="center"/>
                </w:tcPr>
                <w:p w14:paraId="11D25847">
                  <w:pPr>
                    <w:adjustRightInd w:val="0"/>
                    <w:snapToGrid w:val="0"/>
                    <w:spacing w:line="240" w:lineRule="auto"/>
                    <w:ind w:firstLine="0" w:firstLineChars="0"/>
                    <w:jc w:val="center"/>
                    <w:rPr>
                      <w:sz w:val="21"/>
                      <w:szCs w:val="21"/>
                    </w:rPr>
                  </w:pPr>
                  <w:r>
                    <w:rPr>
                      <w:sz w:val="21"/>
                      <w:szCs w:val="21"/>
                    </w:rPr>
                    <w:t>否</w:t>
                  </w:r>
                </w:p>
              </w:tc>
            </w:tr>
            <w:tr w14:paraId="790348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Align w:val="center"/>
                </w:tcPr>
                <w:p w14:paraId="4D144281">
                  <w:pPr>
                    <w:adjustRightInd w:val="0"/>
                    <w:snapToGrid w:val="0"/>
                    <w:spacing w:line="240" w:lineRule="auto"/>
                    <w:ind w:firstLine="0" w:firstLineChars="0"/>
                    <w:jc w:val="center"/>
                    <w:rPr>
                      <w:sz w:val="21"/>
                      <w:szCs w:val="21"/>
                    </w:rPr>
                  </w:pPr>
                  <w:r>
                    <w:rPr>
                      <w:sz w:val="21"/>
                      <w:szCs w:val="21"/>
                    </w:rPr>
                    <w:t>海洋</w:t>
                  </w:r>
                </w:p>
              </w:tc>
              <w:tc>
                <w:tcPr>
                  <w:tcW w:w="1419" w:type="pct"/>
                  <w:vAlign w:val="center"/>
                </w:tcPr>
                <w:p w14:paraId="2798511F">
                  <w:pPr>
                    <w:adjustRightInd w:val="0"/>
                    <w:snapToGrid w:val="0"/>
                    <w:spacing w:line="240" w:lineRule="auto"/>
                    <w:ind w:firstLine="0" w:firstLineChars="0"/>
                    <w:jc w:val="center"/>
                    <w:rPr>
                      <w:sz w:val="21"/>
                      <w:szCs w:val="21"/>
                    </w:rPr>
                  </w:pPr>
                  <w:r>
                    <w:rPr>
                      <w:sz w:val="21"/>
                      <w:szCs w:val="21"/>
                    </w:rPr>
                    <w:t>直接向海排放污染物的海洋工程建设项目。</w:t>
                  </w:r>
                </w:p>
              </w:tc>
              <w:tc>
                <w:tcPr>
                  <w:tcW w:w="2589" w:type="pct"/>
                  <w:vAlign w:val="center"/>
                </w:tcPr>
                <w:p w14:paraId="55CF768B">
                  <w:pPr>
                    <w:adjustRightInd w:val="0"/>
                    <w:snapToGrid w:val="0"/>
                    <w:spacing w:line="240" w:lineRule="auto"/>
                    <w:ind w:firstLine="0" w:firstLineChars="0"/>
                    <w:jc w:val="center"/>
                    <w:rPr>
                      <w:sz w:val="21"/>
                      <w:szCs w:val="21"/>
                    </w:rPr>
                  </w:pPr>
                  <w:r>
                    <w:rPr>
                      <w:sz w:val="21"/>
                      <w:szCs w:val="21"/>
                    </w:rPr>
                    <w:t>扩建项目不属于海洋工程建设项目。</w:t>
                  </w:r>
                </w:p>
              </w:tc>
              <w:tc>
                <w:tcPr>
                  <w:tcW w:w="417" w:type="pct"/>
                  <w:vAlign w:val="center"/>
                </w:tcPr>
                <w:p w14:paraId="010B0098">
                  <w:pPr>
                    <w:adjustRightInd w:val="0"/>
                    <w:snapToGrid w:val="0"/>
                    <w:spacing w:line="240" w:lineRule="auto"/>
                    <w:ind w:firstLine="0" w:firstLineChars="0"/>
                    <w:jc w:val="center"/>
                    <w:rPr>
                      <w:sz w:val="21"/>
                      <w:szCs w:val="21"/>
                    </w:rPr>
                  </w:pPr>
                  <w:r>
                    <w:rPr>
                      <w:sz w:val="21"/>
                      <w:szCs w:val="21"/>
                    </w:rPr>
                    <w:t>否</w:t>
                  </w:r>
                </w:p>
              </w:tc>
            </w:tr>
            <w:tr w14:paraId="1B750C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vAlign w:val="center"/>
                </w:tcPr>
                <w:p w14:paraId="75D755E9">
                  <w:pPr>
                    <w:adjustRightInd w:val="0"/>
                    <w:snapToGrid w:val="0"/>
                    <w:spacing w:line="240" w:lineRule="auto"/>
                    <w:ind w:firstLine="0" w:firstLineChars="0"/>
                    <w:jc w:val="left"/>
                    <w:rPr>
                      <w:sz w:val="21"/>
                      <w:szCs w:val="21"/>
                    </w:rPr>
                  </w:pPr>
                  <w:r>
                    <w:rPr>
                      <w:sz w:val="21"/>
                      <w:szCs w:val="21"/>
                    </w:rPr>
                    <w:t>注：</w:t>
                  </w:r>
                  <w:r>
                    <w:rPr>
                      <w:rFonts w:hint="eastAsia" w:ascii="宋体" w:hAnsi="宋体" w:cs="宋体"/>
                      <w:sz w:val="21"/>
                      <w:szCs w:val="21"/>
                    </w:rPr>
                    <w:t>①</w:t>
                  </w:r>
                  <w:r>
                    <w:rPr>
                      <w:sz w:val="21"/>
                      <w:szCs w:val="21"/>
                    </w:rPr>
                    <w:t>废气中有毒有害污染物指纳入《有毒有害大气污染物名录》的污染物</w:t>
                  </w:r>
                  <w:r>
                    <w:rPr>
                      <w:rFonts w:hint="eastAsia"/>
                      <w:sz w:val="21"/>
                      <w:szCs w:val="21"/>
                    </w:rPr>
                    <w:t>（</w:t>
                  </w:r>
                  <w:r>
                    <w:rPr>
                      <w:sz w:val="21"/>
                      <w:szCs w:val="21"/>
                    </w:rPr>
                    <w:t>不包括无排放标准的污染物</w:t>
                  </w:r>
                  <w:r>
                    <w:rPr>
                      <w:rFonts w:hint="eastAsia"/>
                      <w:sz w:val="21"/>
                      <w:szCs w:val="21"/>
                    </w:rPr>
                    <w:t>）</w:t>
                  </w:r>
                  <w:r>
                    <w:rPr>
                      <w:sz w:val="21"/>
                      <w:szCs w:val="21"/>
                    </w:rPr>
                    <w:t>。</w:t>
                  </w:r>
                  <w:r>
                    <w:rPr>
                      <w:rFonts w:hint="eastAsia" w:ascii="宋体" w:hAnsi="宋体" w:cs="宋体"/>
                      <w:sz w:val="21"/>
                      <w:szCs w:val="21"/>
                    </w:rPr>
                    <w:t>②</w:t>
                  </w:r>
                  <w:r>
                    <w:rPr>
                      <w:sz w:val="21"/>
                      <w:szCs w:val="21"/>
                    </w:rPr>
                    <w:t>环境空气保护目标指自然保护区、风景名胜区居住区、文化区和农村地区中人群较集中的区域。</w:t>
                  </w:r>
                  <w:r>
                    <w:rPr>
                      <w:rFonts w:hint="eastAsia" w:ascii="宋体" w:hAnsi="宋体" w:cs="宋体"/>
                      <w:sz w:val="21"/>
                      <w:szCs w:val="21"/>
                    </w:rPr>
                    <w:t>③</w:t>
                  </w:r>
                  <w:r>
                    <w:rPr>
                      <w:sz w:val="21"/>
                      <w:szCs w:val="21"/>
                    </w:rPr>
                    <w:t>临界量及其计算方法参考《建设项目环境风险评价技术导则》</w:t>
                  </w:r>
                  <w:r>
                    <w:rPr>
                      <w:rFonts w:hint="eastAsia"/>
                      <w:sz w:val="21"/>
                      <w:szCs w:val="21"/>
                    </w:rPr>
                    <w:t>（</w:t>
                  </w:r>
                  <w:r>
                    <w:rPr>
                      <w:sz w:val="21"/>
                      <w:szCs w:val="21"/>
                    </w:rPr>
                    <w:t>HJ 169</w:t>
                  </w:r>
                  <w:r>
                    <w:rPr>
                      <w:rFonts w:hint="eastAsia"/>
                      <w:sz w:val="21"/>
                      <w:szCs w:val="21"/>
                    </w:rPr>
                    <w:t>）</w:t>
                  </w:r>
                  <w:r>
                    <w:rPr>
                      <w:sz w:val="21"/>
                      <w:szCs w:val="21"/>
                    </w:rPr>
                    <w:t>附录B、附录C。</w:t>
                  </w:r>
                </w:p>
              </w:tc>
            </w:tr>
          </w:tbl>
          <w:p w14:paraId="3A942779">
            <w:pPr>
              <w:pStyle w:val="71"/>
              <w:jc w:val="both"/>
              <w:rPr>
                <w:kern w:val="2"/>
                <w:szCs w:val="24"/>
                <w:lang w:val="en-US" w:eastAsia="zh-CN"/>
              </w:rPr>
            </w:pPr>
            <w:r>
              <w:rPr>
                <w:rFonts w:hint="eastAsia"/>
                <w:kern w:val="2"/>
                <w:szCs w:val="24"/>
                <w:lang w:val="en-US" w:eastAsia="zh-CN"/>
              </w:rPr>
              <w:t>根据上表分析，扩建项目无须设置专项评价。</w:t>
            </w:r>
          </w:p>
        </w:tc>
      </w:tr>
      <w:tr w14:paraId="7D3F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vAlign w:val="center"/>
          </w:tcPr>
          <w:p w14:paraId="6F9D91F5">
            <w:pPr>
              <w:pStyle w:val="71"/>
              <w:rPr>
                <w:kern w:val="2"/>
                <w:szCs w:val="24"/>
                <w:lang w:val="en-US" w:eastAsia="zh-CN"/>
              </w:rPr>
            </w:pPr>
            <w:r>
              <w:rPr>
                <w:kern w:val="2"/>
                <w:szCs w:val="24"/>
                <w:lang w:val="en-US" w:eastAsia="zh-CN"/>
              </w:rPr>
              <w:t>规划情况</w:t>
            </w:r>
          </w:p>
        </w:tc>
        <w:tc>
          <w:tcPr>
            <w:tcW w:w="4531" w:type="pct"/>
            <w:gridSpan w:val="3"/>
            <w:vAlign w:val="center"/>
          </w:tcPr>
          <w:p w14:paraId="79A331FE">
            <w:pPr>
              <w:pStyle w:val="117"/>
              <w:adjustRightInd w:val="0"/>
              <w:snapToGrid w:val="0"/>
              <w:spacing w:line="240" w:lineRule="auto"/>
              <w:ind w:firstLine="0" w:firstLineChars="0"/>
              <w:rPr>
                <w:lang w:val="en-US" w:eastAsia="zh-CN"/>
              </w:rPr>
            </w:pPr>
            <w:r>
              <w:rPr>
                <w:lang w:val="en-US" w:eastAsia="zh-CN"/>
              </w:rPr>
              <w:t>1</w:t>
            </w:r>
            <w:r>
              <w:rPr>
                <w:rFonts w:hint="eastAsia"/>
                <w:lang w:val="en-US" w:eastAsia="zh-CN"/>
              </w:rPr>
              <w:t>）</w:t>
            </w:r>
            <w:r>
              <w:rPr>
                <w:lang w:val="en-US" w:eastAsia="zh-CN"/>
              </w:rPr>
              <w:t>规划名称：</w:t>
            </w:r>
            <w:bookmarkStart w:id="2" w:name="OLE_LINK8"/>
            <w:bookmarkStart w:id="3" w:name="OLE_LINK9"/>
            <w:r>
              <w:rPr>
                <w:lang w:val="en-US" w:eastAsia="zh-CN"/>
              </w:rPr>
              <w:t>《福州港总体规划（2035年）》</w:t>
            </w:r>
            <w:bookmarkEnd w:id="2"/>
            <w:bookmarkEnd w:id="3"/>
          </w:p>
          <w:p w14:paraId="1CCFEEFF">
            <w:pPr>
              <w:pStyle w:val="117"/>
              <w:adjustRightInd w:val="0"/>
              <w:snapToGrid w:val="0"/>
              <w:spacing w:line="240" w:lineRule="auto"/>
              <w:ind w:firstLine="0" w:firstLineChars="0"/>
              <w:rPr>
                <w:lang w:val="en-US" w:eastAsia="zh-CN"/>
              </w:rPr>
            </w:pPr>
            <w:r>
              <w:rPr>
                <w:lang w:val="en-US" w:eastAsia="zh-CN"/>
              </w:rPr>
              <w:t>审批机关：交通运输部办公厅福建省人民政府办公厅</w:t>
            </w:r>
          </w:p>
          <w:p w14:paraId="21406927">
            <w:pPr>
              <w:pStyle w:val="117"/>
              <w:adjustRightInd w:val="0"/>
              <w:snapToGrid w:val="0"/>
              <w:spacing w:line="240" w:lineRule="auto"/>
              <w:ind w:firstLine="0" w:firstLineChars="0"/>
              <w:rPr>
                <w:lang w:val="en-US" w:eastAsia="zh-CN"/>
              </w:rPr>
            </w:pPr>
            <w:r>
              <w:rPr>
                <w:lang w:val="en-US" w:eastAsia="zh-CN"/>
              </w:rPr>
              <w:t>审批文件名称及文号：《交通运输部福建省人民政府关于福州港总体规划（2035年）的批复》（交规划函[2021]394号）</w:t>
            </w:r>
          </w:p>
          <w:p w14:paraId="65A29093">
            <w:pPr>
              <w:pStyle w:val="117"/>
              <w:adjustRightInd w:val="0"/>
              <w:snapToGrid w:val="0"/>
              <w:spacing w:line="240" w:lineRule="auto"/>
              <w:ind w:firstLine="0" w:firstLineChars="0"/>
              <w:rPr>
                <w:lang w:val="en-US" w:eastAsia="zh-CN"/>
              </w:rPr>
            </w:pPr>
            <w:r>
              <w:rPr>
                <w:lang w:val="en-US" w:eastAsia="zh-CN"/>
              </w:rPr>
              <w:t>2</w:t>
            </w:r>
            <w:r>
              <w:rPr>
                <w:rFonts w:hint="eastAsia"/>
                <w:lang w:val="en-US" w:eastAsia="zh-CN"/>
              </w:rPr>
              <w:t>）</w:t>
            </w:r>
            <w:r>
              <w:rPr>
                <w:lang w:val="en-US" w:eastAsia="zh-CN"/>
              </w:rPr>
              <w:t>规划名称：《福州江阴港城总体规划（2018-2035年）》</w:t>
            </w:r>
          </w:p>
          <w:p w14:paraId="03D96A08">
            <w:pPr>
              <w:pStyle w:val="117"/>
              <w:adjustRightInd w:val="0"/>
              <w:snapToGrid w:val="0"/>
              <w:spacing w:line="240" w:lineRule="auto"/>
              <w:ind w:firstLine="0" w:firstLineChars="0"/>
              <w:rPr>
                <w:lang w:val="en-US" w:eastAsia="zh-CN"/>
              </w:rPr>
            </w:pPr>
            <w:r>
              <w:rPr>
                <w:lang w:val="en-US" w:eastAsia="zh-CN"/>
              </w:rPr>
              <w:t>审批机关：福州市人民政府</w:t>
            </w:r>
          </w:p>
          <w:p w14:paraId="0054B23F">
            <w:pPr>
              <w:pStyle w:val="117"/>
              <w:adjustRightInd w:val="0"/>
              <w:snapToGrid w:val="0"/>
              <w:spacing w:line="240" w:lineRule="auto"/>
              <w:ind w:firstLine="0" w:firstLineChars="0"/>
              <w:rPr>
                <w:lang w:val="en-US" w:eastAsia="zh-CN"/>
              </w:rPr>
            </w:pPr>
            <w:r>
              <w:rPr>
                <w:lang w:val="en-US" w:eastAsia="zh-CN"/>
              </w:rPr>
              <w:t>审批文件名称及文号：</w:t>
            </w:r>
            <w:r>
              <w:rPr>
                <w:rFonts w:hint="eastAsia"/>
                <w:lang w:val="en-US" w:eastAsia="zh-CN"/>
              </w:rPr>
              <w:t>/</w:t>
            </w:r>
          </w:p>
          <w:p w14:paraId="545639A0">
            <w:pPr>
              <w:pStyle w:val="117"/>
              <w:adjustRightInd w:val="0"/>
              <w:snapToGrid w:val="0"/>
              <w:spacing w:line="240" w:lineRule="auto"/>
              <w:ind w:firstLine="0" w:firstLineChars="0"/>
              <w:rPr>
                <w:szCs w:val="20"/>
                <w:lang w:val="en-US" w:eastAsia="zh-CN"/>
              </w:rPr>
            </w:pPr>
            <w:r>
              <w:rPr>
                <w:rFonts w:hint="eastAsia"/>
                <w:lang w:val="en-US" w:eastAsia="zh-CN"/>
              </w:rPr>
              <w:t>3）</w:t>
            </w:r>
            <w:r>
              <w:rPr>
                <w:lang w:val="en-US" w:eastAsia="zh-CN"/>
              </w:rPr>
              <w:t>规划名称：</w:t>
            </w:r>
            <w:r>
              <w:rPr>
                <w:rFonts w:hint="eastAsia"/>
                <w:lang w:val="en-US" w:eastAsia="zh-CN"/>
              </w:rPr>
              <w:t>《</w:t>
            </w:r>
            <w:r>
              <w:rPr>
                <w:rFonts w:hint="eastAsia"/>
                <w:szCs w:val="20"/>
                <w:lang w:val="en-US" w:eastAsia="zh-CN"/>
              </w:rPr>
              <w:t>福州江阴港城经济区产业发展规划》</w:t>
            </w:r>
          </w:p>
          <w:p w14:paraId="69F4D5CD">
            <w:pPr>
              <w:pStyle w:val="117"/>
              <w:adjustRightInd w:val="0"/>
              <w:snapToGrid w:val="0"/>
              <w:spacing w:line="240" w:lineRule="auto"/>
              <w:ind w:firstLine="0" w:firstLineChars="0"/>
              <w:rPr>
                <w:lang w:val="en-US" w:eastAsia="zh-CN"/>
              </w:rPr>
            </w:pPr>
            <w:r>
              <w:rPr>
                <w:lang w:val="en-US" w:eastAsia="zh-CN"/>
              </w:rPr>
              <w:t>审批机关：</w:t>
            </w:r>
            <w:r>
              <w:t>福清</w:t>
            </w:r>
            <w:r>
              <w:rPr>
                <w:rFonts w:hint="eastAsia"/>
                <w:lang w:eastAsia="zh-CN"/>
              </w:rPr>
              <w:t>市</w:t>
            </w:r>
            <w:r>
              <w:t>发展和改革局</w:t>
            </w:r>
          </w:p>
          <w:p w14:paraId="5D3AE870">
            <w:pPr>
              <w:pStyle w:val="117"/>
              <w:adjustRightInd w:val="0"/>
              <w:snapToGrid w:val="0"/>
              <w:spacing w:line="240" w:lineRule="auto"/>
              <w:ind w:firstLine="0" w:firstLineChars="0"/>
              <w:rPr>
                <w:lang w:val="en-US" w:eastAsia="zh-CN"/>
              </w:rPr>
            </w:pPr>
            <w:r>
              <w:rPr>
                <w:lang w:val="en-US" w:eastAsia="zh-CN"/>
              </w:rPr>
              <w:t>审批文件名称及文号：</w:t>
            </w:r>
            <w:r>
              <w:t>关于《福州江阴港城经济区化工产业发展规划》（修编）和《福州江阴港城经济区产业发展规划》的批复（融工信工〔2025〕6号）</w:t>
            </w:r>
          </w:p>
          <w:p w14:paraId="75D7E7AF">
            <w:pPr>
              <w:pStyle w:val="117"/>
              <w:adjustRightInd w:val="0"/>
              <w:snapToGrid w:val="0"/>
              <w:spacing w:line="240" w:lineRule="auto"/>
              <w:ind w:firstLine="0" w:firstLineChars="0"/>
              <w:rPr>
                <w:lang w:val="en-US" w:eastAsia="zh-CN"/>
              </w:rPr>
            </w:pPr>
            <w:r>
              <w:rPr>
                <w:rFonts w:hint="eastAsia"/>
                <w:lang w:val="en-US" w:eastAsia="zh-CN"/>
              </w:rPr>
              <w:t>4）</w:t>
            </w:r>
            <w:r>
              <w:rPr>
                <w:lang w:val="en-US" w:eastAsia="zh-CN"/>
              </w:rPr>
              <w:t>规划名称：</w:t>
            </w:r>
            <w:r>
              <w:rPr>
                <w:rFonts w:hint="eastAsia"/>
              </w:rPr>
              <w:t>《江阴港城经济区（暨江阴镇、新厝镇）国土空间总体规划（2021-2035年）》</w:t>
            </w:r>
          </w:p>
          <w:p w14:paraId="0070B7F4">
            <w:pPr>
              <w:pStyle w:val="117"/>
              <w:adjustRightInd w:val="0"/>
              <w:snapToGrid w:val="0"/>
              <w:spacing w:line="240" w:lineRule="auto"/>
              <w:ind w:firstLine="0" w:firstLineChars="0"/>
              <w:rPr>
                <w:lang w:val="en-US" w:eastAsia="zh-CN"/>
              </w:rPr>
            </w:pPr>
            <w:r>
              <w:rPr>
                <w:lang w:val="en-US" w:eastAsia="zh-CN"/>
              </w:rPr>
              <w:t>审批机关：</w:t>
            </w:r>
            <w:r>
              <w:rPr>
                <w:rFonts w:hint="eastAsia"/>
                <w:lang w:val="en-US" w:eastAsia="zh-CN"/>
              </w:rPr>
              <w:t>/</w:t>
            </w:r>
          </w:p>
          <w:p w14:paraId="4822866F">
            <w:pPr>
              <w:pStyle w:val="117"/>
              <w:adjustRightInd w:val="0"/>
              <w:snapToGrid w:val="0"/>
              <w:spacing w:line="240" w:lineRule="auto"/>
              <w:ind w:firstLine="0" w:firstLineChars="0"/>
              <w:rPr>
                <w:lang w:val="en-US" w:eastAsia="zh-CN"/>
              </w:rPr>
            </w:pPr>
            <w:r>
              <w:rPr>
                <w:lang w:val="en-US" w:eastAsia="zh-CN"/>
              </w:rPr>
              <w:t>审批文件名称及文号：</w:t>
            </w:r>
            <w:r>
              <w:rPr>
                <w:rFonts w:hint="eastAsia"/>
                <w:lang w:val="en-US" w:eastAsia="zh-CN"/>
              </w:rPr>
              <w:t>/</w:t>
            </w:r>
          </w:p>
        </w:tc>
      </w:tr>
      <w:tr w14:paraId="3238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vAlign w:val="center"/>
          </w:tcPr>
          <w:p w14:paraId="6B1DCE30">
            <w:pPr>
              <w:pStyle w:val="71"/>
              <w:rPr>
                <w:kern w:val="2"/>
                <w:szCs w:val="24"/>
                <w:lang w:val="en-US" w:eastAsia="zh-CN"/>
              </w:rPr>
            </w:pPr>
            <w:r>
              <w:rPr>
                <w:kern w:val="2"/>
                <w:szCs w:val="24"/>
                <w:lang w:val="en-US" w:eastAsia="zh-CN"/>
              </w:rPr>
              <w:t>规划环境影响</w:t>
            </w:r>
          </w:p>
          <w:p w14:paraId="609E14FA">
            <w:pPr>
              <w:pStyle w:val="71"/>
              <w:rPr>
                <w:kern w:val="2"/>
                <w:szCs w:val="24"/>
                <w:lang w:val="en-US" w:eastAsia="zh-CN"/>
              </w:rPr>
            </w:pPr>
            <w:r>
              <w:rPr>
                <w:kern w:val="2"/>
                <w:szCs w:val="24"/>
                <w:lang w:val="en-US" w:eastAsia="zh-CN"/>
              </w:rPr>
              <w:t>评价情况</w:t>
            </w:r>
          </w:p>
        </w:tc>
        <w:tc>
          <w:tcPr>
            <w:tcW w:w="4531" w:type="pct"/>
            <w:gridSpan w:val="3"/>
            <w:vAlign w:val="center"/>
          </w:tcPr>
          <w:p w14:paraId="7EAD683A">
            <w:pPr>
              <w:pStyle w:val="117"/>
              <w:adjustRightInd w:val="0"/>
              <w:snapToGrid w:val="0"/>
              <w:spacing w:line="240" w:lineRule="auto"/>
              <w:ind w:firstLine="0" w:firstLineChars="0"/>
              <w:rPr>
                <w:lang w:val="en-US" w:eastAsia="zh-CN"/>
              </w:rPr>
            </w:pPr>
            <w:r>
              <w:rPr>
                <w:lang w:val="en-US" w:eastAsia="zh-CN"/>
              </w:rPr>
              <w:t>1</w:t>
            </w:r>
            <w:r>
              <w:rPr>
                <w:rFonts w:hint="eastAsia"/>
                <w:lang w:val="en-US" w:eastAsia="zh-CN"/>
              </w:rPr>
              <w:t>）</w:t>
            </w:r>
            <w:r>
              <w:rPr>
                <w:lang w:val="en-US" w:eastAsia="zh-CN"/>
              </w:rPr>
              <w:t>规划环评名称：《福州港总体规划（修订）环境影响报告书》</w:t>
            </w:r>
          </w:p>
          <w:p w14:paraId="04A163EB">
            <w:pPr>
              <w:pStyle w:val="117"/>
              <w:adjustRightInd w:val="0"/>
              <w:snapToGrid w:val="0"/>
              <w:spacing w:line="240" w:lineRule="auto"/>
              <w:ind w:firstLine="0" w:firstLineChars="0"/>
              <w:rPr>
                <w:lang w:val="en-US" w:eastAsia="zh-CN"/>
              </w:rPr>
            </w:pPr>
            <w:r>
              <w:rPr>
                <w:lang w:val="en-US" w:eastAsia="zh-CN"/>
              </w:rPr>
              <w:t>审批机关：</w:t>
            </w:r>
            <w:r>
              <w:rPr>
                <w:rFonts w:hint="eastAsia"/>
                <w:lang w:val="en-US" w:eastAsia="zh-CN"/>
              </w:rPr>
              <w:t>生态环境部</w:t>
            </w:r>
          </w:p>
          <w:p w14:paraId="2EE8E7F2">
            <w:pPr>
              <w:pStyle w:val="117"/>
              <w:adjustRightInd w:val="0"/>
              <w:snapToGrid w:val="0"/>
              <w:spacing w:line="240" w:lineRule="auto"/>
              <w:ind w:firstLine="0" w:firstLineChars="0"/>
              <w:rPr>
                <w:lang w:val="en-US" w:eastAsia="zh-CN"/>
              </w:rPr>
            </w:pPr>
            <w:r>
              <w:rPr>
                <w:lang w:val="en-US" w:eastAsia="zh-CN"/>
              </w:rPr>
              <w:t>审批文件名称及文号：</w:t>
            </w:r>
            <w:r>
              <w:rPr>
                <w:rFonts w:hint="eastAsia"/>
                <w:lang w:val="en-US" w:eastAsia="zh-CN"/>
              </w:rPr>
              <w:t>关于《福州港总体规划（修订）环境影响报告书》的审查意见（环审[2021]10号）</w:t>
            </w:r>
          </w:p>
          <w:p w14:paraId="26F737FD">
            <w:pPr>
              <w:pStyle w:val="117"/>
              <w:adjustRightInd w:val="0"/>
              <w:snapToGrid w:val="0"/>
              <w:spacing w:line="240" w:lineRule="auto"/>
              <w:ind w:firstLine="0" w:firstLineChars="0"/>
              <w:rPr>
                <w:lang w:val="en-US" w:eastAsia="zh-CN"/>
              </w:rPr>
            </w:pPr>
            <w:r>
              <w:rPr>
                <w:rFonts w:hint="eastAsia"/>
                <w:lang w:val="en-US" w:eastAsia="zh-CN"/>
              </w:rPr>
              <w:t>2）</w:t>
            </w:r>
            <w:r>
              <w:rPr>
                <w:lang w:val="en-US" w:eastAsia="zh-CN"/>
              </w:rPr>
              <w:t>规划环评名称：《福州江阴港城总体规划（2018-2035年）环境影响报告书》</w:t>
            </w:r>
          </w:p>
          <w:p w14:paraId="2E59799F">
            <w:pPr>
              <w:pStyle w:val="117"/>
              <w:adjustRightInd w:val="0"/>
              <w:snapToGrid w:val="0"/>
              <w:spacing w:line="240" w:lineRule="auto"/>
              <w:ind w:firstLine="0" w:firstLineChars="0"/>
              <w:rPr>
                <w:lang w:val="en-US" w:eastAsia="zh-CN"/>
              </w:rPr>
            </w:pPr>
            <w:r>
              <w:rPr>
                <w:lang w:val="en-US" w:eastAsia="zh-CN"/>
              </w:rPr>
              <w:t>审批机关：福州市环保局</w:t>
            </w:r>
          </w:p>
          <w:p w14:paraId="4CF6B5CB">
            <w:pPr>
              <w:pStyle w:val="117"/>
              <w:adjustRightInd w:val="0"/>
              <w:snapToGrid w:val="0"/>
              <w:spacing w:line="240" w:lineRule="auto"/>
              <w:ind w:firstLine="0" w:firstLineChars="0"/>
              <w:rPr>
                <w:lang w:val="en-US" w:eastAsia="zh-CN"/>
              </w:rPr>
            </w:pPr>
            <w:r>
              <w:rPr>
                <w:lang w:val="en-US" w:eastAsia="zh-CN"/>
              </w:rPr>
              <w:t>审批文件名称及文号：关于《福州江阴港城总体规划（2018-2035）环境影响报告书》的审查意见（榕环保评[2018]55号）</w:t>
            </w:r>
          </w:p>
          <w:p w14:paraId="6243AB1D">
            <w:pPr>
              <w:pStyle w:val="117"/>
              <w:adjustRightInd w:val="0"/>
              <w:snapToGrid w:val="0"/>
              <w:spacing w:line="240" w:lineRule="auto"/>
              <w:ind w:firstLine="0" w:firstLineChars="0"/>
              <w:rPr>
                <w:lang w:val="en-US" w:eastAsia="zh-CN"/>
              </w:rPr>
            </w:pPr>
            <w:r>
              <w:rPr>
                <w:rFonts w:hint="eastAsia"/>
                <w:lang w:val="en-US" w:eastAsia="zh-CN"/>
              </w:rPr>
              <w:t>3）</w:t>
            </w:r>
            <w:r>
              <w:rPr>
                <w:lang w:val="en-US" w:eastAsia="zh-CN"/>
              </w:rPr>
              <w:t>规划环评名称：</w:t>
            </w:r>
            <w:r>
              <w:rPr>
                <w:rFonts w:hint="eastAsia"/>
                <w:lang w:val="en-US" w:eastAsia="zh-CN"/>
              </w:rPr>
              <w:t>《</w:t>
            </w:r>
            <w:r>
              <w:rPr>
                <w:rFonts w:hint="eastAsia"/>
                <w:szCs w:val="20"/>
                <w:lang w:val="en-US" w:eastAsia="zh-CN"/>
              </w:rPr>
              <w:t>福州江阴港城经济区产业发展规划环境影响报告书》</w:t>
            </w:r>
          </w:p>
          <w:p w14:paraId="7F995320">
            <w:pPr>
              <w:pStyle w:val="117"/>
              <w:adjustRightInd w:val="0"/>
              <w:snapToGrid w:val="0"/>
              <w:spacing w:line="240" w:lineRule="auto"/>
              <w:ind w:firstLine="0" w:firstLineChars="0"/>
              <w:rPr>
                <w:lang w:val="en-US" w:eastAsia="zh-CN"/>
              </w:rPr>
            </w:pPr>
            <w:r>
              <w:rPr>
                <w:lang w:val="en-US" w:eastAsia="zh-CN"/>
              </w:rPr>
              <w:t>审批机关：</w:t>
            </w:r>
            <w:r>
              <w:rPr>
                <w:rFonts w:hint="eastAsia"/>
                <w:lang w:val="en-US" w:eastAsia="zh-CN"/>
              </w:rPr>
              <w:t>福州市生态环境局</w:t>
            </w:r>
          </w:p>
          <w:p w14:paraId="267B4ED0">
            <w:pPr>
              <w:pStyle w:val="117"/>
              <w:adjustRightInd w:val="0"/>
              <w:snapToGrid w:val="0"/>
              <w:spacing w:line="240" w:lineRule="auto"/>
              <w:ind w:firstLine="0" w:firstLineChars="0"/>
              <w:rPr>
                <w:lang w:val="en-US" w:eastAsia="zh-CN"/>
              </w:rPr>
            </w:pPr>
            <w:r>
              <w:rPr>
                <w:lang w:val="en-US" w:eastAsia="zh-CN"/>
              </w:rPr>
              <w:t>审批文件名称及文号：</w:t>
            </w:r>
            <w:r>
              <w:rPr>
                <w:rFonts w:hint="eastAsia"/>
                <w:lang w:val="en-US" w:eastAsia="zh-CN"/>
              </w:rPr>
              <w:t>福州市生态环境局关于印发《福州江阴港城经济区产业发展规划环境影响报告书》审查小组意见的通知（榕环评</w:t>
            </w:r>
            <w:r>
              <w:rPr>
                <w:lang w:val="en-US" w:eastAsia="zh-CN"/>
              </w:rPr>
              <w:t>[</w:t>
            </w:r>
            <w:r>
              <w:rPr>
                <w:rFonts w:hint="eastAsia"/>
                <w:lang w:val="en-US" w:eastAsia="zh-CN"/>
              </w:rPr>
              <w:t>2024]33号）</w:t>
            </w:r>
          </w:p>
        </w:tc>
      </w:tr>
      <w:tr w14:paraId="0EDA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vAlign w:val="center"/>
          </w:tcPr>
          <w:p w14:paraId="3493AF0F">
            <w:pPr>
              <w:pStyle w:val="71"/>
              <w:rPr>
                <w:kern w:val="2"/>
                <w:szCs w:val="24"/>
                <w:lang w:val="en-US" w:eastAsia="zh-CN"/>
              </w:rPr>
            </w:pPr>
            <w:r>
              <w:rPr>
                <w:kern w:val="2"/>
                <w:szCs w:val="24"/>
                <w:lang w:val="en-US" w:eastAsia="zh-CN"/>
              </w:rPr>
              <w:t>规划及规划环境影响评价符合性分析</w:t>
            </w:r>
          </w:p>
        </w:tc>
        <w:tc>
          <w:tcPr>
            <w:tcW w:w="4531" w:type="pct"/>
            <w:gridSpan w:val="3"/>
            <w:vAlign w:val="center"/>
          </w:tcPr>
          <w:p w14:paraId="5BC9F8D7">
            <w:pPr>
              <w:ind w:firstLine="0" w:firstLineChars="0"/>
              <w:rPr>
                <w:b/>
                <w:bCs/>
              </w:rPr>
            </w:pPr>
            <w:r>
              <w:rPr>
                <w:b/>
                <w:bCs/>
              </w:rPr>
              <w:t>1.1规划符合性分析</w:t>
            </w:r>
          </w:p>
          <w:p w14:paraId="047D0BB5">
            <w:pPr>
              <w:pStyle w:val="121"/>
              <w:numPr>
                <w:ilvl w:val="3"/>
                <w:numId w:val="0"/>
              </w:numPr>
              <w:adjustRightInd w:val="0"/>
              <w:snapToGrid w:val="0"/>
              <w:ind w:firstLine="480"/>
            </w:pPr>
            <w:r>
              <w:rPr>
                <w:kern w:val="0"/>
                <w:szCs w:val="24"/>
              </w:rPr>
              <w:t>1、与</w:t>
            </w:r>
            <w:r>
              <w:t>《</w:t>
            </w:r>
            <w:r>
              <w:rPr>
                <w:szCs w:val="24"/>
              </w:rPr>
              <w:t>福州港总体规划</w:t>
            </w:r>
            <w:r>
              <w:t>》（2035年）》符合性分析</w:t>
            </w:r>
          </w:p>
          <w:p w14:paraId="2B680A38">
            <w:pPr>
              <w:pStyle w:val="117"/>
              <w:snapToGrid w:val="0"/>
              <w:ind w:firstLine="480"/>
              <w:rPr>
                <w:lang w:val="en-US" w:eastAsia="zh-CN"/>
              </w:rPr>
            </w:pPr>
            <w:r>
              <w:rPr>
                <w:rFonts w:hint="eastAsia"/>
                <w:lang w:val="en-US" w:eastAsia="zh-CN"/>
              </w:rPr>
              <w:t>（1）第一节港口总体布局：</w:t>
            </w:r>
          </w:p>
          <w:p w14:paraId="7C86326E">
            <w:pPr>
              <w:pStyle w:val="117"/>
              <w:snapToGrid w:val="0"/>
              <w:ind w:firstLine="480"/>
              <w:rPr>
                <w:lang w:val="en-US" w:eastAsia="zh-CN"/>
              </w:rPr>
            </w:pPr>
            <w:r>
              <w:rPr>
                <w:rFonts w:hint="eastAsia"/>
                <w:lang w:val="en-US" w:eastAsia="zh-CN"/>
              </w:rPr>
              <w:t>第21条主要运输系统布局：“油气化工品、LNG运输。油气化工品码头主要布局在江阴港区，罗源湾港区为补充；LNG码头布局在江阴港区”。</w:t>
            </w:r>
          </w:p>
          <w:p w14:paraId="69299EE4">
            <w:pPr>
              <w:pStyle w:val="117"/>
              <w:snapToGrid w:val="0"/>
              <w:ind w:firstLine="480"/>
              <w:rPr>
                <w:lang w:val="en-US" w:eastAsia="zh-CN"/>
              </w:rPr>
            </w:pPr>
            <w:r>
              <w:rPr>
                <w:rFonts w:hint="eastAsia"/>
                <w:lang w:val="en-US" w:eastAsia="zh-CN"/>
              </w:rPr>
              <w:t>第23条港区功能定位：“江阴港区：集装箱运输重点港区，适当兼顾汽车滚装、散杂货及液体化工品等货类运输的综合性港区”。</w:t>
            </w:r>
          </w:p>
          <w:p w14:paraId="332BAAC5">
            <w:pPr>
              <w:pStyle w:val="117"/>
              <w:snapToGrid w:val="0"/>
              <w:ind w:firstLine="480"/>
              <w:rPr>
                <w:lang w:val="en-US" w:eastAsia="zh-CN"/>
              </w:rPr>
            </w:pPr>
            <w:r>
              <w:rPr>
                <w:rFonts w:hint="eastAsia"/>
                <w:lang w:val="en-US" w:eastAsia="zh-CN"/>
              </w:rPr>
              <w:t>（</w:t>
            </w:r>
            <w:r>
              <w:rPr>
                <w:lang w:val="en-US" w:eastAsia="zh-CN"/>
              </w:rPr>
              <w:t>2</w:t>
            </w:r>
            <w:r>
              <w:rPr>
                <w:rFonts w:hint="eastAsia"/>
                <w:lang w:val="en-US" w:eastAsia="zh-CN"/>
              </w:rPr>
              <w:t>）第二节陆域布置规划中的（二）江阴港区：“1.壁头作业区：作业区自西向东依次布置西部产业配套码头区、集装箱码头区、集装箱及滚装码头区和东部产业配套码头区。西部产业配套码头区主要满足西部临港化工产业区的运输需求，规划采用栈桥式布置6个10万吨级及以下液体散货泊位，内档布置5000吨级及以下液体散货泊位。”</w:t>
            </w:r>
          </w:p>
          <w:p w14:paraId="18658841">
            <w:pPr>
              <w:pStyle w:val="117"/>
              <w:adjustRightInd w:val="0"/>
              <w:snapToGrid w:val="0"/>
              <w:ind w:firstLine="480"/>
              <w:rPr>
                <w:lang w:val="en-US" w:eastAsia="zh-CN"/>
              </w:rPr>
            </w:pPr>
            <w:r>
              <w:rPr>
                <w:rFonts w:hint="eastAsia"/>
                <w:lang w:val="en-US" w:eastAsia="zh-CN"/>
              </w:rPr>
              <w:t>扩建项目</w:t>
            </w:r>
            <w:r>
              <w:rPr>
                <w:lang w:val="en-US" w:eastAsia="zh-CN"/>
              </w:rPr>
              <w:t>位于江阴港区壁头作业区，属于福州港江阴港区壁头作业区</w:t>
            </w:r>
            <w:r>
              <w:rPr>
                <w:rFonts w:hint="eastAsia"/>
                <w:lang w:val="en-US" w:eastAsia="zh-CN"/>
              </w:rPr>
              <w:t>12#</w:t>
            </w:r>
            <w:r>
              <w:rPr>
                <w:lang w:val="en-US" w:eastAsia="zh-CN"/>
              </w:rPr>
              <w:t>泊位工程的配套</w:t>
            </w:r>
            <w:r>
              <w:rPr>
                <w:rFonts w:hint="eastAsia"/>
                <w:lang w:val="en-US" w:eastAsia="zh-CN"/>
              </w:rPr>
              <w:t>储罐项目</w:t>
            </w:r>
            <w:r>
              <w:rPr>
                <w:lang w:val="en-US" w:eastAsia="zh-CN"/>
              </w:rPr>
              <w:t>，在规划的港口岸线范围内（图</w:t>
            </w:r>
            <w:r>
              <w:rPr>
                <w:rFonts w:hint="eastAsia"/>
                <w:lang w:val="en-US" w:eastAsia="zh-CN"/>
              </w:rPr>
              <w:t>1.1-1</w:t>
            </w:r>
            <w:r>
              <w:rPr>
                <w:lang w:val="en-US" w:eastAsia="zh-CN"/>
              </w:rPr>
              <w:t>），</w:t>
            </w:r>
            <w:r>
              <w:rPr>
                <w:rFonts w:hint="eastAsia"/>
                <w:lang w:val="en-US" w:eastAsia="zh-CN"/>
              </w:rPr>
              <w:t>项目用途、功能定位与规划相符，</w:t>
            </w:r>
            <w:r>
              <w:rPr>
                <w:lang w:val="en-US" w:eastAsia="zh-CN"/>
              </w:rPr>
              <w:t>因此项目建设符合《福州港总体规划》（2035年）。</w:t>
            </w:r>
          </w:p>
          <w:p w14:paraId="5619A2E3">
            <w:pPr>
              <w:pStyle w:val="117"/>
              <w:adjustRightInd w:val="0"/>
              <w:snapToGrid w:val="0"/>
              <w:spacing w:line="240" w:lineRule="auto"/>
              <w:ind w:firstLine="0" w:firstLineChars="0"/>
              <w:jc w:val="center"/>
              <w:rPr>
                <w:b/>
                <w:lang w:val="en-US" w:eastAsia="zh-CN"/>
              </w:rPr>
            </w:pPr>
            <w:r>
              <w:rPr>
                <w:rFonts w:hint="eastAsia"/>
                <w:b/>
                <w:lang w:val="en-US" w:eastAsia="zh-CN"/>
              </w:rPr>
              <w:t>***（略，涉及商业秘密）</w:t>
            </w:r>
          </w:p>
          <w:p w14:paraId="7A2CD902">
            <w:pPr>
              <w:pStyle w:val="121"/>
              <w:numPr>
                <w:ilvl w:val="3"/>
                <w:numId w:val="0"/>
              </w:numPr>
              <w:adjustRightInd w:val="0"/>
              <w:snapToGrid w:val="0"/>
              <w:spacing w:line="240" w:lineRule="auto"/>
              <w:ind w:right="0"/>
              <w:jc w:val="center"/>
              <w:rPr>
                <w:kern w:val="0"/>
                <w:szCs w:val="24"/>
              </w:rPr>
            </w:pPr>
            <w:r>
              <w:rPr>
                <w:rFonts w:hint="eastAsia"/>
                <w:kern w:val="0"/>
                <w:szCs w:val="24"/>
              </w:rPr>
              <w:t>图1.1-1</w:t>
            </w:r>
            <w:r>
              <w:t>福州港总体布局规划图（江阴港区壁头作业区规划图）</w:t>
            </w:r>
          </w:p>
          <w:p w14:paraId="37BAD82F">
            <w:pPr>
              <w:pStyle w:val="121"/>
              <w:numPr>
                <w:ilvl w:val="3"/>
                <w:numId w:val="0"/>
              </w:numPr>
              <w:adjustRightInd w:val="0"/>
              <w:snapToGrid w:val="0"/>
              <w:ind w:firstLine="480"/>
              <w:rPr>
                <w:kern w:val="0"/>
                <w:szCs w:val="24"/>
              </w:rPr>
            </w:pPr>
            <w:r>
              <w:rPr>
                <w:kern w:val="0"/>
                <w:szCs w:val="24"/>
              </w:rPr>
              <w:t>2、与《福州江阴港城总体规划（2018-2035年）》符合性分析</w:t>
            </w:r>
          </w:p>
          <w:p w14:paraId="4E5DDE68">
            <w:pPr>
              <w:pStyle w:val="117"/>
              <w:adjustRightInd w:val="0"/>
              <w:snapToGrid w:val="0"/>
              <w:ind w:firstLine="480"/>
              <w:rPr>
                <w:lang w:val="en-US" w:eastAsia="zh-CN"/>
              </w:rPr>
            </w:pPr>
            <w:r>
              <w:rPr>
                <w:lang w:val="en-US" w:eastAsia="zh-CN"/>
              </w:rPr>
              <w:t>根据《福州江阴港城总体规划（2018-2035年）》，江阴港城港口发展对接《福州港总体规划》，重点建设江阴港。江阴港区作为福建</w:t>
            </w:r>
            <w:r>
              <w:rPr>
                <w:rFonts w:hint="eastAsia"/>
                <w:lang w:val="en-US" w:eastAsia="zh-CN"/>
              </w:rPr>
              <w:t>省委、省政府</w:t>
            </w:r>
            <w:r>
              <w:rPr>
                <w:lang w:val="en-US" w:eastAsia="zh-CN"/>
              </w:rPr>
              <w:t>确定的“二集二散”中重点集装箱港区之一，是福州港重点发展的综合性港区，“一带一路”核心区的重要陆海中转枢纽港。港区有1个作业区2个作业点：壁头作业区、下垄和万安作业点，是集装箱运输重点港区，兼顾散杂货、化工品和商品汽车等运输功能的综合性港区。江阴半岛是最具规模化、集约化发展潜力的外海深水港址，也是福州和宁德两市港口产业经济发展最具潜力的区域。江阴港区具备发展成为规模化集装箱港区的条件，随着远洋航线的加密和集疏运通道的建设，其在福州港集装箱运输中的地位将进一步提升，同时依托保税港区的政策优势，可逐步拓展保税、物流等相关功能。</w:t>
            </w:r>
          </w:p>
          <w:p w14:paraId="01D1B467">
            <w:pPr>
              <w:pStyle w:val="117"/>
              <w:adjustRightInd w:val="0"/>
              <w:snapToGrid w:val="0"/>
              <w:ind w:firstLine="480"/>
              <w:rPr>
                <w:lang w:val="en-US" w:eastAsia="zh-CN"/>
              </w:rPr>
            </w:pPr>
            <w:r>
              <w:rPr>
                <w:lang w:val="en-US" w:eastAsia="zh-CN"/>
              </w:rPr>
              <w:t>规划江阴港城范围内主要为壁头作业区，划分为液体散货码头区、集装箱码头区、集装箱及滚装码头区、支持系统区和通用散货码头区。规划岸线14.6公里，规划建设35个码头，55个泊位，其中集装箱码头区19个泊位，通用码头区22个泊位，化工码头区14个泊位，最大泊位为25万吨级，设计吞吐能力1.8亿吨，其中集装箱1000万标箱，是以集装箱运输为主，兼具化工和散杂货运输的多功能、综合性的港区。</w:t>
            </w:r>
          </w:p>
          <w:p w14:paraId="37D8960F">
            <w:pPr>
              <w:pStyle w:val="117"/>
              <w:adjustRightInd w:val="0"/>
              <w:snapToGrid w:val="0"/>
              <w:ind w:firstLine="480"/>
              <w:rPr>
                <w:lang w:val="en-US" w:eastAsia="zh-CN"/>
              </w:rPr>
            </w:pPr>
            <w:r>
              <w:rPr>
                <w:rFonts w:hint="eastAsia"/>
                <w:lang w:val="en-US" w:eastAsia="zh-CN"/>
              </w:rPr>
              <w:t>扩建项目</w:t>
            </w:r>
            <w:r>
              <w:rPr>
                <w:lang w:val="en-US" w:eastAsia="zh-CN"/>
              </w:rPr>
              <w:t>位于江阴港区壁头作业区，属于福州港江阴港区壁头作业区</w:t>
            </w:r>
            <w:r>
              <w:rPr>
                <w:rFonts w:hint="eastAsia"/>
                <w:lang w:val="en-US" w:eastAsia="zh-CN"/>
              </w:rPr>
              <w:t>12#</w:t>
            </w:r>
            <w:r>
              <w:rPr>
                <w:lang w:val="en-US" w:eastAsia="zh-CN"/>
              </w:rPr>
              <w:t>泊位工程的配套</w:t>
            </w:r>
            <w:r>
              <w:rPr>
                <w:rFonts w:hint="eastAsia"/>
                <w:lang w:val="en-US" w:eastAsia="zh-CN"/>
              </w:rPr>
              <w:t>罐区</w:t>
            </w:r>
            <w:r>
              <w:rPr>
                <w:lang w:val="en-US" w:eastAsia="zh-CN"/>
              </w:rPr>
              <w:t>项目，</w:t>
            </w:r>
            <w:r>
              <w:rPr>
                <w:rFonts w:hint="eastAsia"/>
                <w:lang w:val="en-US" w:eastAsia="zh-CN"/>
              </w:rPr>
              <w:t>与江阴港总体规划中城乡土地使用规划的用途相符。详见</w:t>
            </w:r>
            <w:r>
              <w:rPr>
                <w:lang w:val="en-US" w:eastAsia="zh-CN"/>
              </w:rPr>
              <w:t>城乡岸线利用规划图（图</w:t>
            </w:r>
            <w:r>
              <w:rPr>
                <w:rFonts w:hint="eastAsia"/>
                <w:lang w:val="en-US" w:eastAsia="zh-CN"/>
              </w:rPr>
              <w:t>1.1-2</w:t>
            </w:r>
            <w:r>
              <w:rPr>
                <w:lang w:val="en-US" w:eastAsia="zh-CN"/>
              </w:rPr>
              <w:t>）。因此，项目建设符合《福州江阴港城总体规划（2018-2035年）》。</w:t>
            </w:r>
          </w:p>
          <w:p w14:paraId="1132F422">
            <w:pPr>
              <w:pStyle w:val="117"/>
              <w:adjustRightInd w:val="0"/>
              <w:snapToGrid w:val="0"/>
              <w:ind w:firstLine="0" w:firstLineChars="0"/>
              <w:jc w:val="center"/>
              <w:rPr>
                <w:b/>
                <w:lang w:val="en-US" w:eastAsia="zh-CN"/>
              </w:rPr>
            </w:pPr>
            <w:r>
              <w:rPr>
                <w:rFonts w:hint="eastAsia"/>
                <w:b/>
                <w:lang w:val="en-US" w:eastAsia="zh-CN"/>
              </w:rPr>
              <w:t>***（略，涉及商业秘密）</w:t>
            </w:r>
          </w:p>
          <w:p w14:paraId="4684A29A">
            <w:pPr>
              <w:pStyle w:val="121"/>
              <w:numPr>
                <w:ilvl w:val="3"/>
                <w:numId w:val="0"/>
              </w:numPr>
              <w:adjustRightInd w:val="0"/>
              <w:snapToGrid w:val="0"/>
              <w:spacing w:line="240" w:lineRule="auto"/>
              <w:ind w:right="0"/>
              <w:jc w:val="center"/>
            </w:pPr>
            <w:r>
              <w:t>图</w:t>
            </w:r>
            <w:r>
              <w:rPr>
                <w:rFonts w:hint="eastAsia"/>
              </w:rPr>
              <w:t>1.1-2</w:t>
            </w:r>
            <w:r>
              <w:t>《福州江阴港城总体规划（2018-2035年）》城乡岸线利用规划图</w:t>
            </w:r>
          </w:p>
          <w:p w14:paraId="532D18AD">
            <w:pPr>
              <w:pStyle w:val="121"/>
              <w:numPr>
                <w:ilvl w:val="3"/>
                <w:numId w:val="0"/>
              </w:numPr>
              <w:adjustRightInd w:val="0"/>
              <w:snapToGrid w:val="0"/>
              <w:spacing w:line="240" w:lineRule="auto"/>
              <w:ind w:right="0"/>
              <w:jc w:val="center"/>
            </w:pPr>
          </w:p>
          <w:p w14:paraId="6A484CBB">
            <w:pPr>
              <w:pStyle w:val="121"/>
              <w:numPr>
                <w:ilvl w:val="3"/>
                <w:numId w:val="0"/>
              </w:numPr>
              <w:adjustRightInd w:val="0"/>
              <w:snapToGrid w:val="0"/>
              <w:ind w:right="0" w:firstLine="482"/>
              <w:rPr>
                <w:rFonts w:ascii="宋体" w:cs="宋体"/>
                <w:kern w:val="0"/>
              </w:rPr>
            </w:pPr>
            <w:r>
              <w:rPr>
                <w:rFonts w:hint="eastAsia"/>
              </w:rPr>
              <w:t>3、</w:t>
            </w:r>
            <w:r>
              <w:rPr>
                <w:rFonts w:hint="eastAsia" w:ascii="宋体" w:cs="宋体"/>
                <w:kern w:val="0"/>
              </w:rPr>
              <w:t>与《福州江阴港城经济区产业发展规划》符合性分析</w:t>
            </w:r>
          </w:p>
          <w:p w14:paraId="619DBADC">
            <w:pPr>
              <w:pStyle w:val="2"/>
              <w:ind w:firstLine="480"/>
              <w:rPr>
                <w:lang w:val="en-US" w:eastAsia="zh-CN"/>
              </w:rPr>
            </w:pPr>
            <w:r>
              <w:rPr>
                <w:rFonts w:hint="eastAsia"/>
                <w:lang w:val="en-US" w:eastAsia="zh-CN"/>
              </w:rPr>
              <w:t>依据《福州江阴港城经济区产业发展规划》，福州江阴港城经济区重点打造三大主导产业，即新材料、生物医药和装备制造。其中新材料产业包括化工新材料及其延伸发展的高端制品材料，化工新材料重点发展高端聚氨酯、尼龙新材料、氯循环发展、轻烃深加工、锂电新材料五大化工板块，高端制品材料则是化工新材料产业延伸发展的重要部分。扩建项目为危险化学品仓储项目，主要存储、周转MA/BDO、THF。项目建成后，</w:t>
            </w:r>
            <w:r>
              <w:rPr>
                <w:lang w:val="en-US" w:eastAsia="zh-CN"/>
              </w:rPr>
              <w:t>属于福州港江阴港区壁头作业区</w:t>
            </w:r>
            <w:r>
              <w:rPr>
                <w:rFonts w:hint="eastAsia"/>
                <w:lang w:val="en-US" w:eastAsia="zh-CN"/>
              </w:rPr>
              <w:t>12#</w:t>
            </w:r>
            <w:r>
              <w:rPr>
                <w:lang w:val="en-US" w:eastAsia="zh-CN"/>
              </w:rPr>
              <w:t>泊位工程的配套</w:t>
            </w:r>
            <w:r>
              <w:rPr>
                <w:rFonts w:hint="eastAsia"/>
                <w:lang w:val="en-US" w:eastAsia="zh-CN"/>
              </w:rPr>
              <w:t>储罐项目，属于规划中化工新材料重点发展的“轻烃深加工”板块配套设施，符合《福州江阴港城经济区产业发展规划》。</w:t>
            </w:r>
          </w:p>
          <w:p w14:paraId="7D65D848">
            <w:pPr>
              <w:pStyle w:val="121"/>
              <w:numPr>
                <w:ilvl w:val="3"/>
                <w:numId w:val="0"/>
              </w:numPr>
              <w:adjustRightInd w:val="0"/>
              <w:snapToGrid w:val="0"/>
              <w:ind w:right="0" w:firstLine="482"/>
            </w:pPr>
            <w:r>
              <w:rPr>
                <w:rFonts w:hint="eastAsia"/>
              </w:rPr>
              <w:t>4、与《江阴港城经济区（暨江阴镇、新厝镇）国土空间总体规划（2021-2035年）》符合性分析</w:t>
            </w:r>
          </w:p>
          <w:p w14:paraId="43E79855">
            <w:pPr>
              <w:pStyle w:val="2"/>
              <w:ind w:firstLine="480"/>
              <w:rPr>
                <w:lang w:val="en-US" w:eastAsia="zh-CN"/>
              </w:rPr>
            </w:pPr>
            <w:r>
              <w:rPr>
                <w:rFonts w:hint="eastAsia"/>
                <w:lang w:val="en-US" w:eastAsia="zh-CN"/>
              </w:rPr>
              <w:t>根据《江阴港城经济区（暨江阴镇、新厝镇）国土空间总体规划（</w:t>
            </w:r>
            <w:r>
              <w:rPr>
                <w:lang w:val="en-US" w:eastAsia="zh-CN"/>
              </w:rPr>
              <w:t>2021-2035</w:t>
            </w:r>
            <w:r>
              <w:rPr>
                <w:rFonts w:hint="eastAsia"/>
                <w:lang w:val="en-US" w:eastAsia="zh-CN"/>
              </w:rPr>
              <w:t>年）》，扩建项目用地红线范围内规划为物流仓储区，详见图</w:t>
            </w:r>
            <w:r>
              <w:rPr>
                <w:lang w:val="en-US" w:eastAsia="zh-CN"/>
              </w:rPr>
              <w:t>1.</w:t>
            </w:r>
            <w:r>
              <w:rPr>
                <w:rFonts w:hint="eastAsia"/>
                <w:lang w:val="en-US" w:eastAsia="zh-CN"/>
              </w:rPr>
              <w:t>1</w:t>
            </w:r>
            <w:r>
              <w:rPr>
                <w:lang w:val="en-US" w:eastAsia="zh-CN"/>
              </w:rPr>
              <w:t>-3</w:t>
            </w:r>
            <w:r>
              <w:rPr>
                <w:rFonts w:hint="eastAsia"/>
                <w:lang w:val="en-US" w:eastAsia="zh-CN"/>
              </w:rPr>
              <w:t>且项目用地已取得不动产权，用途为港口码头用地，详见附件6，本次项目在现有用地红线范围内未开发的预留地进行扩建，项目选址符合国土空间规划。</w:t>
            </w:r>
          </w:p>
          <w:p w14:paraId="189ADD78">
            <w:pPr>
              <w:pStyle w:val="117"/>
              <w:adjustRightInd w:val="0"/>
              <w:snapToGrid w:val="0"/>
              <w:spacing w:line="240" w:lineRule="auto"/>
              <w:ind w:firstLine="0" w:firstLineChars="0"/>
              <w:jc w:val="center"/>
              <w:rPr>
                <w:kern w:val="0"/>
              </w:rPr>
            </w:pPr>
            <w:r>
              <w:rPr>
                <w:rFonts w:hint="eastAsia"/>
                <w:b/>
                <w:lang w:val="en-US" w:eastAsia="zh-CN"/>
              </w:rPr>
              <w:t>***（略，涉及商业秘密）</w:t>
            </w:r>
          </w:p>
          <w:p w14:paraId="4C7FC3B5">
            <w:pPr>
              <w:pStyle w:val="121"/>
              <w:numPr>
                <w:ilvl w:val="3"/>
                <w:numId w:val="0"/>
              </w:numPr>
              <w:adjustRightInd w:val="0"/>
              <w:snapToGrid w:val="0"/>
              <w:spacing w:line="240" w:lineRule="auto"/>
              <w:ind w:right="0"/>
              <w:jc w:val="center"/>
            </w:pPr>
            <w:r>
              <w:t>图</w:t>
            </w:r>
            <w:r>
              <w:rPr>
                <w:rFonts w:hint="eastAsia"/>
              </w:rPr>
              <w:t>1.1-3江阴港城经济区（暨江阴镇、新厝镇）国土空间总体规划（</w:t>
            </w:r>
            <w:r>
              <w:t>2021-2035</w:t>
            </w:r>
            <w:r>
              <w:rPr>
                <w:rFonts w:hint="eastAsia"/>
              </w:rPr>
              <w:t>年）国土空间规划分区</w:t>
            </w:r>
            <w:r>
              <w:t>图</w:t>
            </w:r>
          </w:p>
          <w:p w14:paraId="714D6C08">
            <w:pPr>
              <w:ind w:firstLine="0" w:firstLineChars="0"/>
              <w:rPr>
                <w:b/>
                <w:bCs/>
              </w:rPr>
            </w:pPr>
          </w:p>
          <w:p w14:paraId="10597D54">
            <w:pPr>
              <w:ind w:firstLine="0" w:firstLineChars="0"/>
              <w:rPr>
                <w:b/>
                <w:bCs/>
              </w:rPr>
            </w:pPr>
            <w:r>
              <w:rPr>
                <w:b/>
                <w:bCs/>
              </w:rPr>
              <w:t>1.2规划环评及审查意见符合性分析</w:t>
            </w:r>
          </w:p>
          <w:p w14:paraId="6A82FB15">
            <w:pPr>
              <w:snapToGrid w:val="0"/>
              <w:ind w:firstLine="482"/>
              <w:rPr>
                <w:b/>
              </w:rPr>
            </w:pPr>
            <w:r>
              <w:rPr>
                <w:b/>
              </w:rPr>
              <w:t>（1）与规划环评的符合性</w:t>
            </w:r>
          </w:p>
          <w:p w14:paraId="32168CC0">
            <w:pPr>
              <w:snapToGrid w:val="0"/>
              <w:ind w:firstLine="482"/>
              <w:rPr>
                <w:b/>
              </w:rPr>
            </w:pPr>
            <w:r>
              <w:rPr>
                <w:b/>
              </w:rPr>
              <w:t>1、《福州港总体规划（修订）环境影响报告书》</w:t>
            </w:r>
            <w:r>
              <w:rPr>
                <w:rFonts w:hint="eastAsia"/>
                <w:b/>
              </w:rPr>
              <w:t>符合性分析</w:t>
            </w:r>
          </w:p>
          <w:p w14:paraId="46BF6E1A">
            <w:pPr>
              <w:pStyle w:val="2"/>
              <w:ind w:firstLine="480"/>
              <w:rPr>
                <w:lang w:val="en-US" w:eastAsia="zh-CN"/>
              </w:rPr>
            </w:pPr>
            <w:r>
              <w:rPr>
                <w:lang w:val="en-US" w:eastAsia="zh-CN"/>
              </w:rPr>
              <w:t>江阴港区是江阴港区重要的综合性作业区，以集装箱、煤炭、液体化工品和通用散杂货运输为主，兼顾汽车滚装运输。负面清单（限制发展货类）为油品。</w:t>
            </w:r>
          </w:p>
          <w:p w14:paraId="4CEF2F26">
            <w:pPr>
              <w:pStyle w:val="68"/>
              <w:rPr>
                <w:kern w:val="2"/>
                <w:sz w:val="21"/>
                <w:szCs w:val="21"/>
                <w:lang w:val="en-US" w:eastAsia="zh-CN"/>
              </w:rPr>
            </w:pPr>
          </w:p>
          <w:p w14:paraId="223CDC5F">
            <w:pPr>
              <w:pStyle w:val="68"/>
              <w:rPr>
                <w:kern w:val="2"/>
                <w:sz w:val="21"/>
                <w:szCs w:val="21"/>
                <w:lang w:val="en-US" w:eastAsia="zh-CN"/>
              </w:rPr>
            </w:pPr>
            <w:r>
              <w:rPr>
                <w:kern w:val="2"/>
                <w:sz w:val="21"/>
                <w:szCs w:val="21"/>
                <w:lang w:val="en-US" w:eastAsia="zh-CN"/>
              </w:rPr>
              <w:t>表</w:t>
            </w:r>
            <w:r>
              <w:rPr>
                <w:rFonts w:hint="eastAsia"/>
                <w:kern w:val="2"/>
                <w:sz w:val="21"/>
                <w:szCs w:val="21"/>
                <w:lang w:val="en-US" w:eastAsia="zh-CN"/>
              </w:rPr>
              <w:t>1.2-1</w:t>
            </w:r>
            <w:r>
              <w:rPr>
                <w:kern w:val="2"/>
                <w:sz w:val="21"/>
                <w:szCs w:val="21"/>
                <w:lang w:val="en-US" w:eastAsia="zh-CN"/>
              </w:rPr>
              <w:t>《福州港总体规划（修订）环境影响报告书》负面清单（摘录）</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67"/>
              <w:gridCol w:w="426"/>
              <w:gridCol w:w="563"/>
              <w:gridCol w:w="708"/>
              <w:gridCol w:w="709"/>
              <w:gridCol w:w="584"/>
              <w:gridCol w:w="1393"/>
              <w:gridCol w:w="843"/>
              <w:gridCol w:w="707"/>
              <w:gridCol w:w="707"/>
              <w:gridCol w:w="844"/>
            </w:tblGrid>
            <w:tr w14:paraId="182D4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6" w:type="dxa"/>
                  <w:vMerge w:val="restart"/>
                  <w:noWrap/>
                  <w:vAlign w:val="center"/>
                </w:tcPr>
                <w:p w14:paraId="05059997">
                  <w:pPr>
                    <w:adjustRightInd w:val="0"/>
                    <w:snapToGrid w:val="0"/>
                    <w:spacing w:line="240" w:lineRule="auto"/>
                    <w:ind w:firstLine="0" w:firstLineChars="0"/>
                    <w:jc w:val="center"/>
                    <w:rPr>
                      <w:sz w:val="21"/>
                      <w:szCs w:val="21"/>
                    </w:rPr>
                  </w:pPr>
                  <w:r>
                    <w:rPr>
                      <w:sz w:val="21"/>
                      <w:szCs w:val="21"/>
                    </w:rPr>
                    <w:t>序号</w:t>
                  </w:r>
                </w:p>
              </w:tc>
              <w:tc>
                <w:tcPr>
                  <w:tcW w:w="567" w:type="dxa"/>
                  <w:vMerge w:val="restart"/>
                  <w:noWrap/>
                  <w:vAlign w:val="center"/>
                </w:tcPr>
                <w:p w14:paraId="5616A378">
                  <w:pPr>
                    <w:adjustRightInd w:val="0"/>
                    <w:snapToGrid w:val="0"/>
                    <w:spacing w:line="240" w:lineRule="auto"/>
                    <w:ind w:firstLine="0" w:firstLineChars="0"/>
                    <w:jc w:val="center"/>
                    <w:rPr>
                      <w:sz w:val="21"/>
                      <w:szCs w:val="21"/>
                    </w:rPr>
                  </w:pPr>
                  <w:r>
                    <w:rPr>
                      <w:sz w:val="21"/>
                      <w:szCs w:val="21"/>
                    </w:rPr>
                    <w:t>归属港区</w:t>
                  </w:r>
                </w:p>
              </w:tc>
              <w:tc>
                <w:tcPr>
                  <w:tcW w:w="426" w:type="dxa"/>
                  <w:vMerge w:val="restart"/>
                  <w:noWrap/>
                  <w:vAlign w:val="center"/>
                </w:tcPr>
                <w:p w14:paraId="1886B0CE">
                  <w:pPr>
                    <w:adjustRightInd w:val="0"/>
                    <w:snapToGrid w:val="0"/>
                    <w:spacing w:line="240" w:lineRule="auto"/>
                    <w:ind w:firstLine="0" w:firstLineChars="0"/>
                    <w:jc w:val="center"/>
                    <w:rPr>
                      <w:sz w:val="21"/>
                      <w:szCs w:val="21"/>
                    </w:rPr>
                  </w:pPr>
                  <w:r>
                    <w:rPr>
                      <w:sz w:val="21"/>
                      <w:szCs w:val="21"/>
                    </w:rPr>
                    <w:t>岸段名称</w:t>
                  </w:r>
                </w:p>
              </w:tc>
              <w:tc>
                <w:tcPr>
                  <w:tcW w:w="567" w:type="dxa"/>
                  <w:vMerge w:val="restart"/>
                  <w:vAlign w:val="center"/>
                </w:tcPr>
                <w:p w14:paraId="4353A958">
                  <w:pPr>
                    <w:adjustRightInd w:val="0"/>
                    <w:snapToGrid w:val="0"/>
                    <w:spacing w:line="240" w:lineRule="auto"/>
                    <w:ind w:firstLine="0" w:firstLineChars="0"/>
                    <w:jc w:val="center"/>
                    <w:rPr>
                      <w:sz w:val="21"/>
                      <w:szCs w:val="21"/>
                    </w:rPr>
                  </w:pPr>
                  <w:r>
                    <w:rPr>
                      <w:sz w:val="21"/>
                      <w:szCs w:val="21"/>
                    </w:rPr>
                    <w:t>起止点</w:t>
                  </w:r>
                </w:p>
              </w:tc>
              <w:tc>
                <w:tcPr>
                  <w:tcW w:w="1984" w:type="dxa"/>
                  <w:gridSpan w:val="3"/>
                  <w:noWrap/>
                  <w:vAlign w:val="center"/>
                </w:tcPr>
                <w:p w14:paraId="78BE604E">
                  <w:pPr>
                    <w:adjustRightInd w:val="0"/>
                    <w:snapToGrid w:val="0"/>
                    <w:spacing w:line="240" w:lineRule="auto"/>
                    <w:ind w:firstLine="0" w:firstLineChars="0"/>
                    <w:jc w:val="center"/>
                    <w:rPr>
                      <w:sz w:val="21"/>
                      <w:szCs w:val="21"/>
                    </w:rPr>
                  </w:pPr>
                  <w:r>
                    <w:rPr>
                      <w:sz w:val="21"/>
                      <w:szCs w:val="21"/>
                    </w:rPr>
                    <w:t>港口岸线规模（km）</w:t>
                  </w:r>
                </w:p>
              </w:tc>
              <w:tc>
                <w:tcPr>
                  <w:tcW w:w="1418" w:type="dxa"/>
                  <w:vMerge w:val="restart"/>
                  <w:vAlign w:val="center"/>
                </w:tcPr>
                <w:p w14:paraId="38B9E036">
                  <w:pPr>
                    <w:adjustRightInd w:val="0"/>
                    <w:snapToGrid w:val="0"/>
                    <w:spacing w:line="240" w:lineRule="auto"/>
                    <w:ind w:firstLine="0" w:firstLineChars="0"/>
                    <w:jc w:val="center"/>
                    <w:rPr>
                      <w:sz w:val="21"/>
                      <w:szCs w:val="21"/>
                    </w:rPr>
                  </w:pPr>
                  <w:r>
                    <w:rPr>
                      <w:sz w:val="21"/>
                      <w:szCs w:val="21"/>
                    </w:rPr>
                    <w:t>利用现状</w:t>
                  </w:r>
                </w:p>
              </w:tc>
              <w:tc>
                <w:tcPr>
                  <w:tcW w:w="850" w:type="dxa"/>
                  <w:vMerge w:val="restart"/>
                  <w:vAlign w:val="center"/>
                </w:tcPr>
                <w:p w14:paraId="703B66D7">
                  <w:pPr>
                    <w:adjustRightInd w:val="0"/>
                    <w:snapToGrid w:val="0"/>
                    <w:spacing w:line="240" w:lineRule="auto"/>
                    <w:ind w:firstLine="0" w:firstLineChars="0"/>
                    <w:jc w:val="center"/>
                    <w:rPr>
                      <w:sz w:val="21"/>
                      <w:szCs w:val="21"/>
                    </w:rPr>
                  </w:pPr>
                  <w:r>
                    <w:rPr>
                      <w:sz w:val="21"/>
                      <w:szCs w:val="21"/>
                    </w:rPr>
                    <w:t>开发利用方向</w:t>
                  </w:r>
                </w:p>
              </w:tc>
              <w:tc>
                <w:tcPr>
                  <w:tcW w:w="709" w:type="dxa"/>
                  <w:vMerge w:val="restart"/>
                  <w:vAlign w:val="center"/>
                </w:tcPr>
                <w:p w14:paraId="1BE05D0E">
                  <w:pPr>
                    <w:adjustRightInd w:val="0"/>
                    <w:snapToGrid w:val="0"/>
                    <w:spacing w:line="240" w:lineRule="auto"/>
                    <w:ind w:firstLine="0" w:firstLineChars="0"/>
                    <w:jc w:val="center"/>
                    <w:rPr>
                      <w:sz w:val="21"/>
                      <w:szCs w:val="21"/>
                    </w:rPr>
                  </w:pPr>
                  <w:r>
                    <w:rPr>
                      <w:sz w:val="21"/>
                      <w:szCs w:val="21"/>
                    </w:rPr>
                    <w:t>海洋功能区划</w:t>
                  </w:r>
                </w:p>
              </w:tc>
              <w:tc>
                <w:tcPr>
                  <w:tcW w:w="709" w:type="dxa"/>
                  <w:vMerge w:val="restart"/>
                  <w:vAlign w:val="center"/>
                </w:tcPr>
                <w:p w14:paraId="2EF8E046">
                  <w:pPr>
                    <w:adjustRightInd w:val="0"/>
                    <w:snapToGrid w:val="0"/>
                    <w:spacing w:line="240" w:lineRule="auto"/>
                    <w:ind w:firstLine="0" w:firstLineChars="0"/>
                    <w:jc w:val="center"/>
                    <w:rPr>
                      <w:sz w:val="21"/>
                      <w:szCs w:val="21"/>
                    </w:rPr>
                  </w:pPr>
                  <w:r>
                    <w:rPr>
                      <w:sz w:val="21"/>
                      <w:szCs w:val="21"/>
                    </w:rPr>
                    <w:t>负面清单（限制发展货类）</w:t>
                  </w:r>
                </w:p>
              </w:tc>
              <w:tc>
                <w:tcPr>
                  <w:tcW w:w="851" w:type="dxa"/>
                  <w:vMerge w:val="restart"/>
                  <w:vAlign w:val="center"/>
                </w:tcPr>
                <w:p w14:paraId="1AFCDA8E">
                  <w:pPr>
                    <w:adjustRightInd w:val="0"/>
                    <w:snapToGrid w:val="0"/>
                    <w:spacing w:line="240" w:lineRule="auto"/>
                    <w:ind w:firstLine="0" w:firstLineChars="0"/>
                    <w:jc w:val="center"/>
                    <w:rPr>
                      <w:sz w:val="21"/>
                      <w:szCs w:val="21"/>
                    </w:rPr>
                  </w:pPr>
                  <w:r>
                    <w:rPr>
                      <w:sz w:val="21"/>
                      <w:szCs w:val="21"/>
                    </w:rPr>
                    <w:t>限制货类的运输规模</w:t>
                  </w:r>
                </w:p>
              </w:tc>
            </w:tr>
            <w:tr w14:paraId="5031E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6" w:type="dxa"/>
                  <w:vMerge w:val="continue"/>
                  <w:noWrap/>
                  <w:vAlign w:val="center"/>
                </w:tcPr>
                <w:p w14:paraId="73C94002">
                  <w:pPr>
                    <w:adjustRightInd w:val="0"/>
                    <w:snapToGrid w:val="0"/>
                    <w:spacing w:line="240" w:lineRule="auto"/>
                    <w:ind w:firstLine="0" w:firstLineChars="0"/>
                    <w:jc w:val="center"/>
                    <w:rPr>
                      <w:sz w:val="21"/>
                      <w:szCs w:val="21"/>
                    </w:rPr>
                  </w:pPr>
                </w:p>
              </w:tc>
              <w:tc>
                <w:tcPr>
                  <w:tcW w:w="567" w:type="dxa"/>
                  <w:vMerge w:val="continue"/>
                  <w:noWrap/>
                  <w:vAlign w:val="center"/>
                </w:tcPr>
                <w:p w14:paraId="08F13345">
                  <w:pPr>
                    <w:adjustRightInd w:val="0"/>
                    <w:snapToGrid w:val="0"/>
                    <w:spacing w:line="240" w:lineRule="auto"/>
                    <w:ind w:firstLine="0" w:firstLineChars="0"/>
                    <w:jc w:val="center"/>
                    <w:rPr>
                      <w:sz w:val="21"/>
                      <w:szCs w:val="21"/>
                    </w:rPr>
                  </w:pPr>
                </w:p>
              </w:tc>
              <w:tc>
                <w:tcPr>
                  <w:tcW w:w="426" w:type="dxa"/>
                  <w:vMerge w:val="continue"/>
                  <w:noWrap/>
                  <w:vAlign w:val="center"/>
                </w:tcPr>
                <w:p w14:paraId="2A2E8331">
                  <w:pPr>
                    <w:adjustRightInd w:val="0"/>
                    <w:snapToGrid w:val="0"/>
                    <w:spacing w:line="240" w:lineRule="auto"/>
                    <w:ind w:firstLine="0" w:firstLineChars="0"/>
                    <w:jc w:val="center"/>
                    <w:rPr>
                      <w:sz w:val="21"/>
                      <w:szCs w:val="21"/>
                    </w:rPr>
                  </w:pPr>
                </w:p>
              </w:tc>
              <w:tc>
                <w:tcPr>
                  <w:tcW w:w="567" w:type="dxa"/>
                  <w:vMerge w:val="continue"/>
                  <w:vAlign w:val="center"/>
                </w:tcPr>
                <w:p w14:paraId="762F552C">
                  <w:pPr>
                    <w:adjustRightInd w:val="0"/>
                    <w:snapToGrid w:val="0"/>
                    <w:spacing w:line="240" w:lineRule="auto"/>
                    <w:ind w:firstLine="0" w:firstLineChars="0"/>
                    <w:jc w:val="center"/>
                    <w:rPr>
                      <w:sz w:val="21"/>
                      <w:szCs w:val="21"/>
                    </w:rPr>
                  </w:pPr>
                </w:p>
              </w:tc>
              <w:tc>
                <w:tcPr>
                  <w:tcW w:w="708" w:type="dxa"/>
                  <w:noWrap/>
                  <w:vAlign w:val="center"/>
                </w:tcPr>
                <w:p w14:paraId="124AC46F">
                  <w:pPr>
                    <w:adjustRightInd w:val="0"/>
                    <w:snapToGrid w:val="0"/>
                    <w:spacing w:line="240" w:lineRule="auto"/>
                    <w:ind w:firstLine="0" w:firstLineChars="0"/>
                    <w:jc w:val="center"/>
                    <w:rPr>
                      <w:sz w:val="21"/>
                      <w:szCs w:val="21"/>
                    </w:rPr>
                  </w:pPr>
                  <w:r>
                    <w:rPr>
                      <w:sz w:val="21"/>
                      <w:szCs w:val="21"/>
                    </w:rPr>
                    <w:t>规划港口岸线</w:t>
                  </w:r>
                </w:p>
              </w:tc>
              <w:tc>
                <w:tcPr>
                  <w:tcW w:w="709" w:type="dxa"/>
                  <w:noWrap/>
                  <w:vAlign w:val="center"/>
                </w:tcPr>
                <w:p w14:paraId="205795DD">
                  <w:pPr>
                    <w:adjustRightInd w:val="0"/>
                    <w:snapToGrid w:val="0"/>
                    <w:spacing w:line="240" w:lineRule="auto"/>
                    <w:ind w:firstLine="0" w:firstLineChars="0"/>
                    <w:jc w:val="center"/>
                    <w:rPr>
                      <w:sz w:val="21"/>
                      <w:szCs w:val="21"/>
                    </w:rPr>
                  </w:pPr>
                  <w:r>
                    <w:rPr>
                      <w:sz w:val="21"/>
                      <w:szCs w:val="21"/>
                    </w:rPr>
                    <w:t>已利用岸线</w:t>
                  </w:r>
                </w:p>
              </w:tc>
              <w:tc>
                <w:tcPr>
                  <w:tcW w:w="567" w:type="dxa"/>
                  <w:vAlign w:val="center"/>
                </w:tcPr>
                <w:p w14:paraId="75563060">
                  <w:pPr>
                    <w:adjustRightInd w:val="0"/>
                    <w:snapToGrid w:val="0"/>
                    <w:spacing w:line="240" w:lineRule="auto"/>
                    <w:ind w:firstLine="0" w:firstLineChars="0"/>
                    <w:jc w:val="center"/>
                    <w:rPr>
                      <w:sz w:val="21"/>
                      <w:szCs w:val="21"/>
                    </w:rPr>
                  </w:pPr>
                  <w:r>
                    <w:rPr>
                      <w:sz w:val="21"/>
                      <w:szCs w:val="21"/>
                    </w:rPr>
                    <w:t>未开发</w:t>
                  </w:r>
                </w:p>
              </w:tc>
              <w:tc>
                <w:tcPr>
                  <w:tcW w:w="1418" w:type="dxa"/>
                  <w:vMerge w:val="continue"/>
                  <w:vAlign w:val="center"/>
                </w:tcPr>
                <w:p w14:paraId="32A2A225">
                  <w:pPr>
                    <w:adjustRightInd w:val="0"/>
                    <w:snapToGrid w:val="0"/>
                    <w:spacing w:line="240" w:lineRule="auto"/>
                    <w:ind w:firstLine="0" w:firstLineChars="0"/>
                    <w:jc w:val="center"/>
                    <w:rPr>
                      <w:sz w:val="21"/>
                      <w:szCs w:val="21"/>
                    </w:rPr>
                  </w:pPr>
                </w:p>
              </w:tc>
              <w:tc>
                <w:tcPr>
                  <w:tcW w:w="850" w:type="dxa"/>
                  <w:vMerge w:val="continue"/>
                  <w:vAlign w:val="center"/>
                </w:tcPr>
                <w:p w14:paraId="685C30E2">
                  <w:pPr>
                    <w:adjustRightInd w:val="0"/>
                    <w:snapToGrid w:val="0"/>
                    <w:spacing w:line="240" w:lineRule="auto"/>
                    <w:ind w:firstLine="0" w:firstLineChars="0"/>
                    <w:jc w:val="center"/>
                    <w:rPr>
                      <w:sz w:val="21"/>
                      <w:szCs w:val="21"/>
                    </w:rPr>
                  </w:pPr>
                </w:p>
              </w:tc>
              <w:tc>
                <w:tcPr>
                  <w:tcW w:w="709" w:type="dxa"/>
                  <w:vMerge w:val="continue"/>
                  <w:vAlign w:val="center"/>
                </w:tcPr>
                <w:p w14:paraId="6421C54C">
                  <w:pPr>
                    <w:adjustRightInd w:val="0"/>
                    <w:snapToGrid w:val="0"/>
                    <w:spacing w:line="240" w:lineRule="auto"/>
                    <w:ind w:firstLine="0" w:firstLineChars="0"/>
                    <w:jc w:val="center"/>
                    <w:rPr>
                      <w:sz w:val="21"/>
                      <w:szCs w:val="21"/>
                    </w:rPr>
                  </w:pPr>
                </w:p>
              </w:tc>
              <w:tc>
                <w:tcPr>
                  <w:tcW w:w="709" w:type="dxa"/>
                  <w:vMerge w:val="continue"/>
                  <w:vAlign w:val="center"/>
                </w:tcPr>
                <w:p w14:paraId="0FE40A68">
                  <w:pPr>
                    <w:adjustRightInd w:val="0"/>
                    <w:snapToGrid w:val="0"/>
                    <w:spacing w:line="240" w:lineRule="auto"/>
                    <w:ind w:firstLine="0" w:firstLineChars="0"/>
                    <w:jc w:val="center"/>
                    <w:rPr>
                      <w:sz w:val="21"/>
                      <w:szCs w:val="21"/>
                    </w:rPr>
                  </w:pPr>
                </w:p>
              </w:tc>
              <w:tc>
                <w:tcPr>
                  <w:tcW w:w="851" w:type="dxa"/>
                  <w:vMerge w:val="continue"/>
                  <w:vAlign w:val="center"/>
                </w:tcPr>
                <w:p w14:paraId="29F5CC36">
                  <w:pPr>
                    <w:adjustRightInd w:val="0"/>
                    <w:snapToGrid w:val="0"/>
                    <w:spacing w:line="240" w:lineRule="auto"/>
                    <w:ind w:firstLine="0" w:firstLineChars="0"/>
                    <w:jc w:val="center"/>
                    <w:rPr>
                      <w:sz w:val="21"/>
                      <w:szCs w:val="21"/>
                    </w:rPr>
                  </w:pPr>
                </w:p>
              </w:tc>
            </w:tr>
            <w:tr w14:paraId="120FE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6" w:type="dxa"/>
                  <w:noWrap/>
                  <w:vAlign w:val="center"/>
                </w:tcPr>
                <w:p w14:paraId="5636C3AD">
                  <w:pPr>
                    <w:adjustRightInd w:val="0"/>
                    <w:snapToGrid w:val="0"/>
                    <w:spacing w:line="240" w:lineRule="auto"/>
                    <w:ind w:firstLine="0" w:firstLineChars="0"/>
                    <w:jc w:val="center"/>
                    <w:rPr>
                      <w:sz w:val="21"/>
                      <w:szCs w:val="21"/>
                    </w:rPr>
                  </w:pPr>
                  <w:r>
                    <w:rPr>
                      <w:sz w:val="21"/>
                      <w:szCs w:val="21"/>
                    </w:rPr>
                    <w:t>33</w:t>
                  </w:r>
                </w:p>
              </w:tc>
              <w:tc>
                <w:tcPr>
                  <w:tcW w:w="567" w:type="dxa"/>
                  <w:noWrap/>
                  <w:vAlign w:val="center"/>
                </w:tcPr>
                <w:p w14:paraId="2612278F">
                  <w:pPr>
                    <w:adjustRightInd w:val="0"/>
                    <w:snapToGrid w:val="0"/>
                    <w:spacing w:line="240" w:lineRule="auto"/>
                    <w:ind w:firstLine="0" w:firstLineChars="0"/>
                    <w:jc w:val="center"/>
                    <w:rPr>
                      <w:sz w:val="21"/>
                      <w:szCs w:val="21"/>
                    </w:rPr>
                  </w:pPr>
                  <w:r>
                    <w:rPr>
                      <w:sz w:val="21"/>
                      <w:szCs w:val="21"/>
                    </w:rPr>
                    <w:t>江阴港区</w:t>
                  </w:r>
                </w:p>
              </w:tc>
              <w:tc>
                <w:tcPr>
                  <w:tcW w:w="426" w:type="dxa"/>
                  <w:noWrap/>
                  <w:vAlign w:val="center"/>
                </w:tcPr>
                <w:p w14:paraId="73E83558">
                  <w:pPr>
                    <w:adjustRightInd w:val="0"/>
                    <w:snapToGrid w:val="0"/>
                    <w:spacing w:line="240" w:lineRule="auto"/>
                    <w:ind w:firstLine="0" w:firstLineChars="0"/>
                    <w:jc w:val="center"/>
                    <w:rPr>
                      <w:sz w:val="21"/>
                      <w:szCs w:val="21"/>
                    </w:rPr>
                  </w:pPr>
                  <w:r>
                    <w:rPr>
                      <w:sz w:val="21"/>
                      <w:szCs w:val="21"/>
                    </w:rPr>
                    <w:t>壁头岸段</w:t>
                  </w:r>
                </w:p>
              </w:tc>
              <w:tc>
                <w:tcPr>
                  <w:tcW w:w="567" w:type="dxa"/>
                  <w:vAlign w:val="center"/>
                </w:tcPr>
                <w:p w14:paraId="7A3DDD1B">
                  <w:pPr>
                    <w:adjustRightInd w:val="0"/>
                    <w:snapToGrid w:val="0"/>
                    <w:spacing w:line="240" w:lineRule="auto"/>
                    <w:ind w:firstLine="0" w:firstLineChars="0"/>
                    <w:jc w:val="center"/>
                    <w:rPr>
                      <w:sz w:val="21"/>
                      <w:szCs w:val="21"/>
                    </w:rPr>
                  </w:pPr>
                  <w:r>
                    <w:rPr>
                      <w:sz w:val="21"/>
                      <w:szCs w:val="21"/>
                    </w:rPr>
                    <w:t>南营~球尾</w:t>
                  </w:r>
                </w:p>
              </w:tc>
              <w:tc>
                <w:tcPr>
                  <w:tcW w:w="708" w:type="dxa"/>
                  <w:noWrap/>
                  <w:vAlign w:val="center"/>
                </w:tcPr>
                <w:p w14:paraId="35AADFF3">
                  <w:pPr>
                    <w:adjustRightInd w:val="0"/>
                    <w:snapToGrid w:val="0"/>
                    <w:spacing w:line="240" w:lineRule="auto"/>
                    <w:ind w:firstLine="0" w:firstLineChars="0"/>
                    <w:jc w:val="center"/>
                    <w:rPr>
                      <w:sz w:val="21"/>
                      <w:szCs w:val="21"/>
                    </w:rPr>
                  </w:pPr>
                  <w:r>
                    <w:rPr>
                      <w:sz w:val="21"/>
                      <w:szCs w:val="21"/>
                    </w:rPr>
                    <w:t>13.2</w:t>
                  </w:r>
                </w:p>
              </w:tc>
              <w:tc>
                <w:tcPr>
                  <w:tcW w:w="709" w:type="dxa"/>
                  <w:noWrap/>
                  <w:vAlign w:val="center"/>
                </w:tcPr>
                <w:p w14:paraId="4688EB1D">
                  <w:pPr>
                    <w:adjustRightInd w:val="0"/>
                    <w:snapToGrid w:val="0"/>
                    <w:spacing w:line="240" w:lineRule="auto"/>
                    <w:ind w:firstLine="0" w:firstLineChars="0"/>
                    <w:jc w:val="center"/>
                    <w:rPr>
                      <w:sz w:val="21"/>
                      <w:szCs w:val="21"/>
                    </w:rPr>
                  </w:pPr>
                  <w:r>
                    <w:rPr>
                      <w:sz w:val="21"/>
                      <w:szCs w:val="21"/>
                    </w:rPr>
                    <w:t>3.2</w:t>
                  </w:r>
                </w:p>
              </w:tc>
              <w:tc>
                <w:tcPr>
                  <w:tcW w:w="567" w:type="dxa"/>
                  <w:vAlign w:val="center"/>
                </w:tcPr>
                <w:p w14:paraId="213C4864">
                  <w:pPr>
                    <w:adjustRightInd w:val="0"/>
                    <w:snapToGrid w:val="0"/>
                    <w:spacing w:line="240" w:lineRule="auto"/>
                    <w:ind w:firstLine="0" w:firstLineChars="0"/>
                    <w:jc w:val="center"/>
                    <w:rPr>
                      <w:sz w:val="21"/>
                      <w:szCs w:val="21"/>
                    </w:rPr>
                  </w:pPr>
                  <w:r>
                    <w:rPr>
                      <w:sz w:val="21"/>
                      <w:szCs w:val="21"/>
                    </w:rPr>
                    <w:t>10.0</w:t>
                  </w:r>
                </w:p>
              </w:tc>
              <w:tc>
                <w:tcPr>
                  <w:tcW w:w="1418" w:type="dxa"/>
                  <w:vAlign w:val="center"/>
                </w:tcPr>
                <w:p w14:paraId="3728212A">
                  <w:pPr>
                    <w:adjustRightInd w:val="0"/>
                    <w:snapToGrid w:val="0"/>
                    <w:spacing w:line="240" w:lineRule="auto"/>
                    <w:ind w:firstLine="0" w:firstLineChars="0"/>
                    <w:jc w:val="center"/>
                    <w:rPr>
                      <w:sz w:val="21"/>
                      <w:szCs w:val="21"/>
                    </w:rPr>
                  </w:pPr>
                  <w:r>
                    <w:rPr>
                      <w:sz w:val="21"/>
                      <w:szCs w:val="21"/>
                    </w:rPr>
                    <w:t>现已建5万吨级及以上集装箱泊位5个、5万吨级液体化工泊位3个，3000吨级液体化工泊位7个，国电福州发电厂有限公司建有10万吨级煤炭泊位1个、1.5万吨级滚装泊位1个，在建5万吨级集装箱泊位4个</w:t>
                  </w:r>
                </w:p>
              </w:tc>
              <w:tc>
                <w:tcPr>
                  <w:tcW w:w="850" w:type="dxa"/>
                  <w:vAlign w:val="center"/>
                </w:tcPr>
                <w:p w14:paraId="1C32167B">
                  <w:pPr>
                    <w:adjustRightInd w:val="0"/>
                    <w:snapToGrid w:val="0"/>
                    <w:spacing w:line="240" w:lineRule="auto"/>
                    <w:ind w:firstLine="0" w:firstLineChars="0"/>
                    <w:jc w:val="center"/>
                    <w:rPr>
                      <w:sz w:val="21"/>
                      <w:szCs w:val="21"/>
                    </w:rPr>
                  </w:pPr>
                  <w:r>
                    <w:rPr>
                      <w:sz w:val="21"/>
                      <w:szCs w:val="21"/>
                    </w:rPr>
                    <w:t>是江阴港区重要的综合性作业区，以集装箱、煤炭、液体化工品和通用散杂货运输为主，兼顾汽车滚装运输</w:t>
                  </w:r>
                </w:p>
              </w:tc>
              <w:tc>
                <w:tcPr>
                  <w:tcW w:w="709" w:type="dxa"/>
                  <w:vAlign w:val="center"/>
                </w:tcPr>
                <w:p w14:paraId="485E21C8">
                  <w:pPr>
                    <w:adjustRightInd w:val="0"/>
                    <w:snapToGrid w:val="0"/>
                    <w:spacing w:line="240" w:lineRule="auto"/>
                    <w:ind w:firstLine="0" w:firstLineChars="0"/>
                    <w:jc w:val="center"/>
                    <w:rPr>
                      <w:sz w:val="21"/>
                      <w:szCs w:val="21"/>
                    </w:rPr>
                  </w:pPr>
                  <w:r>
                    <w:rPr>
                      <w:sz w:val="21"/>
                      <w:szCs w:val="21"/>
                    </w:rPr>
                    <w:t>中部位于江阴港口航运区，两侧位于江阴工业与城镇用海区</w:t>
                  </w:r>
                </w:p>
              </w:tc>
              <w:tc>
                <w:tcPr>
                  <w:tcW w:w="709" w:type="dxa"/>
                  <w:vAlign w:val="center"/>
                </w:tcPr>
                <w:p w14:paraId="3E8D4095">
                  <w:pPr>
                    <w:adjustRightInd w:val="0"/>
                    <w:snapToGrid w:val="0"/>
                    <w:spacing w:line="240" w:lineRule="auto"/>
                    <w:ind w:firstLine="0" w:firstLineChars="0"/>
                    <w:jc w:val="center"/>
                    <w:rPr>
                      <w:sz w:val="21"/>
                      <w:szCs w:val="21"/>
                    </w:rPr>
                  </w:pPr>
                  <w:r>
                    <w:rPr>
                      <w:sz w:val="21"/>
                      <w:szCs w:val="21"/>
                    </w:rPr>
                    <w:t>油品</w:t>
                  </w:r>
                </w:p>
              </w:tc>
              <w:tc>
                <w:tcPr>
                  <w:tcW w:w="851" w:type="dxa"/>
                  <w:vAlign w:val="center"/>
                </w:tcPr>
                <w:p w14:paraId="3B0498D6">
                  <w:pPr>
                    <w:adjustRightInd w:val="0"/>
                    <w:snapToGrid w:val="0"/>
                    <w:spacing w:line="240" w:lineRule="auto"/>
                    <w:ind w:firstLine="0" w:firstLineChars="0"/>
                    <w:jc w:val="center"/>
                    <w:rPr>
                      <w:sz w:val="21"/>
                      <w:szCs w:val="21"/>
                    </w:rPr>
                  </w:pPr>
                  <w:r>
                    <w:rPr>
                      <w:sz w:val="21"/>
                      <w:szCs w:val="21"/>
                    </w:rPr>
                    <w:t>规划运输量（东部作业区为0）</w:t>
                  </w:r>
                </w:p>
              </w:tc>
            </w:tr>
          </w:tbl>
          <w:p w14:paraId="42CD09FD">
            <w:pPr>
              <w:snapToGrid w:val="0"/>
              <w:ind w:firstLine="480"/>
            </w:pPr>
            <w:r>
              <w:t>本</w:t>
            </w:r>
            <w:r>
              <w:rPr>
                <w:rFonts w:hint="eastAsia"/>
              </w:rPr>
              <w:t>次扩建项目</w:t>
            </w:r>
            <w:r>
              <w:t>属于福州港江阴港区壁头作业区12#泊位工程的配套罐区项目，</w:t>
            </w:r>
            <w:r>
              <w:rPr>
                <w:rFonts w:hint="eastAsia"/>
              </w:rPr>
              <w:t>罐区</w:t>
            </w:r>
            <w:r>
              <w:rPr>
                <w:szCs w:val="21"/>
              </w:rPr>
              <w:t>主要储存的</w:t>
            </w:r>
            <w:r>
              <w:rPr>
                <w:rFonts w:hint="eastAsia"/>
                <w:szCs w:val="21"/>
              </w:rPr>
              <w:t>化学品包括</w:t>
            </w:r>
            <w:r>
              <w:rPr>
                <w:szCs w:val="21"/>
              </w:rPr>
              <w:t>为</w:t>
            </w:r>
            <w:r>
              <w:rPr>
                <w:rFonts w:hint="eastAsia"/>
                <w:szCs w:val="21"/>
              </w:rPr>
              <w:t>MA、BDO、THF</w:t>
            </w:r>
            <w:r>
              <w:rPr>
                <w:szCs w:val="21"/>
              </w:rPr>
              <w:t>，</w:t>
            </w:r>
            <w:r>
              <w:rPr>
                <w:rFonts w:hint="eastAsia"/>
                <w:szCs w:val="21"/>
              </w:rPr>
              <w:t>均未列入</w:t>
            </w:r>
            <w:r>
              <w:t>《福州港总体规划（修订）环境影响报告书》的负面清单</w:t>
            </w:r>
            <w:r>
              <w:rPr>
                <w:rFonts w:hint="eastAsia"/>
              </w:rPr>
              <w:t>，</w:t>
            </w:r>
            <w:r>
              <w:t>符合《福州港总体规划（修订）环境影响报告书》的规划要求。</w:t>
            </w:r>
          </w:p>
          <w:p w14:paraId="04F00C2B">
            <w:pPr>
              <w:pStyle w:val="2"/>
              <w:ind w:firstLine="480"/>
              <w:rPr>
                <w:b/>
                <w:bCs/>
              </w:rPr>
            </w:pPr>
            <w:r>
              <w:rPr>
                <w:rFonts w:hint="eastAsia"/>
                <w:kern w:val="0"/>
              </w:rPr>
              <w:t>为进一步强化风险应急防范措施，</w:t>
            </w:r>
            <w:r>
              <w:t>《福州港总体规划（修订）环境影响报告书》</w:t>
            </w:r>
            <w:r>
              <w:rPr>
                <w:rFonts w:hint="eastAsia"/>
                <w:lang w:eastAsia="zh-CN"/>
              </w:rPr>
              <w:t>将福州港全港及重点港区、作业区的风险应急防范体系进行完善汇总，扩建项目主要涉及内容如下表。</w:t>
            </w:r>
          </w:p>
        </w:tc>
      </w:tr>
    </w:tbl>
    <w:p w14:paraId="20203D44">
      <w:pPr>
        <w:ind w:firstLine="600"/>
        <w:outlineLvl w:val="0"/>
        <w:rPr>
          <w:rFonts w:eastAsia="黑体"/>
          <w:sz w:val="30"/>
        </w:rPr>
        <w:sectPr>
          <w:headerReference r:id="rId13" w:type="first"/>
          <w:footerReference r:id="rId16" w:type="first"/>
          <w:headerReference r:id="rId11" w:type="default"/>
          <w:footerReference r:id="rId14" w:type="default"/>
          <w:headerReference r:id="rId12" w:type="even"/>
          <w:footerReference r:id="rId15" w:type="even"/>
          <w:pgSz w:w="11905" w:h="16838"/>
          <w:pgMar w:top="1417" w:right="1417" w:bottom="1417" w:left="1417" w:header="851" w:footer="850" w:gutter="0"/>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86"/>
      </w:tblGrid>
      <w:tr w14:paraId="1723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534" w:type="dxa"/>
            <w:vAlign w:val="center"/>
          </w:tcPr>
          <w:p w14:paraId="12A0400C">
            <w:pPr>
              <w:ind w:firstLine="0" w:firstLineChars="0"/>
              <w:outlineLvl w:val="0"/>
              <w:rPr>
                <w:rFonts w:eastAsia="黑体"/>
                <w:sz w:val="21"/>
                <w:szCs w:val="21"/>
              </w:rPr>
            </w:pPr>
            <w:r>
              <w:rPr>
                <w:sz w:val="21"/>
                <w:szCs w:val="21"/>
              </w:rPr>
              <w:t>规划及规划环境影响评价符合性分析</w:t>
            </w:r>
          </w:p>
        </w:tc>
        <w:tc>
          <w:tcPr>
            <w:tcW w:w="13686" w:type="dxa"/>
            <w:vAlign w:val="center"/>
          </w:tcPr>
          <w:p w14:paraId="116E1D86">
            <w:pPr>
              <w:pStyle w:val="68"/>
              <w:rPr>
                <w:rFonts w:eastAsia="黑体"/>
                <w:sz w:val="30"/>
              </w:rPr>
            </w:pPr>
            <w:r>
              <w:rPr>
                <w:kern w:val="2"/>
                <w:sz w:val="21"/>
                <w:szCs w:val="21"/>
                <w:lang w:val="en-US" w:eastAsia="zh-CN"/>
              </w:rPr>
              <w:t>表</w:t>
            </w:r>
            <w:r>
              <w:rPr>
                <w:rFonts w:hint="eastAsia"/>
                <w:kern w:val="2"/>
                <w:sz w:val="21"/>
                <w:szCs w:val="21"/>
                <w:lang w:val="en-US" w:eastAsia="zh-CN"/>
              </w:rPr>
              <w:t>1.2-2与福州港全港及重点港区、作业区的风险应急防范体系汇总的符合性分析</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21"/>
              <w:gridCol w:w="1114"/>
              <w:gridCol w:w="5528"/>
              <w:gridCol w:w="4394"/>
              <w:gridCol w:w="958"/>
            </w:tblGrid>
            <w:tr w14:paraId="3BCCB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9C87A3D">
                  <w:pPr>
                    <w:adjustRightInd w:val="0"/>
                    <w:snapToGrid w:val="0"/>
                    <w:spacing w:line="240" w:lineRule="auto"/>
                    <w:ind w:firstLine="0" w:firstLineChars="0"/>
                    <w:jc w:val="center"/>
                    <w:rPr>
                      <w:sz w:val="21"/>
                      <w:szCs w:val="21"/>
                    </w:rPr>
                  </w:pPr>
                  <w:r>
                    <w:rPr>
                      <w:rFonts w:hint="eastAsia"/>
                      <w:sz w:val="21"/>
                      <w:szCs w:val="21"/>
                    </w:rPr>
                    <w:t>序号</w:t>
                  </w:r>
                </w:p>
              </w:tc>
              <w:tc>
                <w:tcPr>
                  <w:tcW w:w="821" w:type="dxa"/>
                  <w:vAlign w:val="center"/>
                </w:tcPr>
                <w:p w14:paraId="28367299">
                  <w:pPr>
                    <w:adjustRightInd w:val="0"/>
                    <w:snapToGrid w:val="0"/>
                    <w:spacing w:line="240" w:lineRule="auto"/>
                    <w:ind w:firstLine="0" w:firstLineChars="0"/>
                    <w:jc w:val="center"/>
                    <w:rPr>
                      <w:sz w:val="21"/>
                      <w:szCs w:val="21"/>
                    </w:rPr>
                  </w:pPr>
                  <w:r>
                    <w:rPr>
                      <w:rFonts w:hint="eastAsia"/>
                      <w:sz w:val="21"/>
                      <w:szCs w:val="21"/>
                    </w:rPr>
                    <w:t>分类</w:t>
                  </w:r>
                </w:p>
              </w:tc>
              <w:tc>
                <w:tcPr>
                  <w:tcW w:w="1114" w:type="dxa"/>
                  <w:vAlign w:val="center"/>
                </w:tcPr>
                <w:p w14:paraId="4C1C6BD4">
                  <w:pPr>
                    <w:adjustRightInd w:val="0"/>
                    <w:snapToGrid w:val="0"/>
                    <w:spacing w:line="240" w:lineRule="auto"/>
                    <w:ind w:firstLine="0" w:firstLineChars="0"/>
                    <w:jc w:val="center"/>
                    <w:rPr>
                      <w:sz w:val="21"/>
                      <w:szCs w:val="21"/>
                    </w:rPr>
                  </w:pPr>
                  <w:r>
                    <w:rPr>
                      <w:rFonts w:hint="eastAsia"/>
                      <w:sz w:val="21"/>
                      <w:szCs w:val="21"/>
                    </w:rPr>
                    <w:t>一级指标</w:t>
                  </w:r>
                </w:p>
              </w:tc>
              <w:tc>
                <w:tcPr>
                  <w:tcW w:w="5528" w:type="dxa"/>
                  <w:vAlign w:val="center"/>
                </w:tcPr>
                <w:p w14:paraId="5C5E7867">
                  <w:pPr>
                    <w:adjustRightInd w:val="0"/>
                    <w:snapToGrid w:val="0"/>
                    <w:spacing w:line="240" w:lineRule="auto"/>
                    <w:ind w:firstLine="0" w:firstLineChars="0"/>
                    <w:jc w:val="center"/>
                    <w:rPr>
                      <w:sz w:val="21"/>
                      <w:szCs w:val="21"/>
                    </w:rPr>
                  </w:pPr>
                  <w:r>
                    <w:rPr>
                      <w:rFonts w:hint="eastAsia"/>
                      <w:sz w:val="21"/>
                      <w:szCs w:val="21"/>
                    </w:rPr>
                    <w:t>二级指标</w:t>
                  </w:r>
                </w:p>
              </w:tc>
              <w:tc>
                <w:tcPr>
                  <w:tcW w:w="4394" w:type="dxa"/>
                  <w:vAlign w:val="center"/>
                </w:tcPr>
                <w:p w14:paraId="1A52679A">
                  <w:pPr>
                    <w:adjustRightInd w:val="0"/>
                    <w:snapToGrid w:val="0"/>
                    <w:spacing w:line="240" w:lineRule="auto"/>
                    <w:ind w:firstLine="0" w:firstLineChars="0"/>
                    <w:jc w:val="center"/>
                    <w:rPr>
                      <w:sz w:val="21"/>
                      <w:szCs w:val="21"/>
                    </w:rPr>
                  </w:pPr>
                  <w:r>
                    <w:rPr>
                      <w:rFonts w:hint="eastAsia"/>
                      <w:sz w:val="21"/>
                      <w:szCs w:val="21"/>
                    </w:rPr>
                    <w:t>扩建项目情况</w:t>
                  </w:r>
                </w:p>
              </w:tc>
              <w:tc>
                <w:tcPr>
                  <w:tcW w:w="958" w:type="dxa"/>
                  <w:vAlign w:val="center"/>
                </w:tcPr>
                <w:p w14:paraId="0BBC59D4">
                  <w:pPr>
                    <w:adjustRightInd w:val="0"/>
                    <w:snapToGrid w:val="0"/>
                    <w:spacing w:line="240" w:lineRule="auto"/>
                    <w:ind w:firstLine="0" w:firstLineChars="0"/>
                    <w:jc w:val="center"/>
                    <w:rPr>
                      <w:sz w:val="21"/>
                      <w:szCs w:val="21"/>
                    </w:rPr>
                  </w:pPr>
                  <w:r>
                    <w:rPr>
                      <w:rFonts w:hint="eastAsia"/>
                      <w:sz w:val="21"/>
                      <w:szCs w:val="21"/>
                    </w:rPr>
                    <w:t>符合性</w:t>
                  </w:r>
                </w:p>
              </w:tc>
            </w:tr>
            <w:tr w14:paraId="7F373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1A734A7E">
                  <w:pPr>
                    <w:adjustRightInd w:val="0"/>
                    <w:snapToGrid w:val="0"/>
                    <w:spacing w:line="240" w:lineRule="auto"/>
                    <w:ind w:firstLine="0" w:firstLineChars="0"/>
                    <w:jc w:val="center"/>
                    <w:rPr>
                      <w:sz w:val="21"/>
                      <w:szCs w:val="21"/>
                    </w:rPr>
                  </w:pPr>
                  <w:r>
                    <w:rPr>
                      <w:rFonts w:hint="eastAsia"/>
                      <w:sz w:val="21"/>
                      <w:szCs w:val="21"/>
                    </w:rPr>
                    <w:t>1</w:t>
                  </w:r>
                </w:p>
              </w:tc>
              <w:tc>
                <w:tcPr>
                  <w:tcW w:w="821" w:type="dxa"/>
                  <w:vAlign w:val="center"/>
                </w:tcPr>
                <w:p w14:paraId="4F100DA4">
                  <w:pPr>
                    <w:adjustRightInd w:val="0"/>
                    <w:snapToGrid w:val="0"/>
                    <w:spacing w:line="240" w:lineRule="auto"/>
                    <w:ind w:firstLine="0" w:firstLineChars="0"/>
                    <w:jc w:val="center"/>
                    <w:rPr>
                      <w:sz w:val="21"/>
                      <w:szCs w:val="21"/>
                    </w:rPr>
                  </w:pPr>
                  <w:r>
                    <w:rPr>
                      <w:rFonts w:hint="eastAsia"/>
                      <w:sz w:val="21"/>
                      <w:szCs w:val="21"/>
                    </w:rPr>
                    <w:t>海难性危险化学品泄漏事故的防范措施</w:t>
                  </w:r>
                </w:p>
              </w:tc>
              <w:tc>
                <w:tcPr>
                  <w:tcW w:w="1114" w:type="dxa"/>
                  <w:vAlign w:val="center"/>
                </w:tcPr>
                <w:p w14:paraId="7915A6D4">
                  <w:pPr>
                    <w:adjustRightInd w:val="0"/>
                    <w:snapToGrid w:val="0"/>
                    <w:spacing w:line="240" w:lineRule="auto"/>
                    <w:ind w:firstLine="0" w:firstLineChars="0"/>
                    <w:jc w:val="center"/>
                    <w:rPr>
                      <w:sz w:val="21"/>
                      <w:szCs w:val="21"/>
                    </w:rPr>
                  </w:pPr>
                  <w:r>
                    <w:rPr>
                      <w:rFonts w:hint="eastAsia"/>
                      <w:sz w:val="21"/>
                      <w:szCs w:val="21"/>
                    </w:rPr>
                    <w:t>危险品运输必须按照《港口危险品运输管理规定》、《船舶载运危险货物安全监督管理规定》的要求实施。</w:t>
                  </w:r>
                </w:p>
              </w:tc>
              <w:tc>
                <w:tcPr>
                  <w:tcW w:w="5528" w:type="dxa"/>
                  <w:vAlign w:val="center"/>
                </w:tcPr>
                <w:p w14:paraId="7A3D7E78">
                  <w:pPr>
                    <w:adjustRightInd w:val="0"/>
                    <w:snapToGrid w:val="0"/>
                    <w:spacing w:line="240" w:lineRule="auto"/>
                    <w:ind w:firstLine="0" w:firstLineChars="0"/>
                    <w:rPr>
                      <w:sz w:val="21"/>
                      <w:szCs w:val="21"/>
                    </w:rPr>
                  </w:pPr>
                  <w:r>
                    <w:rPr>
                      <w:rFonts w:hint="eastAsia"/>
                      <w:sz w:val="21"/>
                      <w:szCs w:val="21"/>
                    </w:rPr>
                    <w:t>（1）化学品码头设计应依据相关的化工运输、罐区储存、码头装卸等规范进行，在布局上需要根据主导风向、消防安全、运输间距等进行合理安排，在依据相关化工设备安装规范基础上安装，严格监查、严格把关。</w:t>
                  </w:r>
                </w:p>
                <w:p w14:paraId="7114F01B">
                  <w:pPr>
                    <w:adjustRightInd w:val="0"/>
                    <w:snapToGrid w:val="0"/>
                    <w:spacing w:line="240" w:lineRule="auto"/>
                    <w:ind w:firstLine="0" w:firstLineChars="0"/>
                    <w:rPr>
                      <w:sz w:val="21"/>
                      <w:szCs w:val="21"/>
                    </w:rPr>
                  </w:pPr>
                  <w:r>
                    <w:rPr>
                      <w:rFonts w:hint="eastAsia"/>
                      <w:sz w:val="21"/>
                      <w:szCs w:val="21"/>
                    </w:rPr>
                    <w:t>（2）码头罐区、管线区域及相关库区禁止种植任何植物，绿化树种主要种植在港区工作人员生活区域。</w:t>
                  </w:r>
                </w:p>
                <w:p w14:paraId="1454BCC3">
                  <w:pPr>
                    <w:adjustRightInd w:val="0"/>
                    <w:snapToGrid w:val="0"/>
                    <w:spacing w:line="240" w:lineRule="auto"/>
                    <w:ind w:firstLine="0" w:firstLineChars="0"/>
                    <w:rPr>
                      <w:sz w:val="21"/>
                      <w:szCs w:val="21"/>
                    </w:rPr>
                  </w:pPr>
                  <w:r>
                    <w:rPr>
                      <w:rFonts w:hint="eastAsia"/>
                      <w:sz w:val="21"/>
                      <w:szCs w:val="21"/>
                    </w:rPr>
                    <w:t>（3）建造储罐防护堤（围堰），堤内表面防渗漏；控制阀安装尽可能靠近储罐，减少因管线破裂而造成的溢漏事故。</w:t>
                  </w:r>
                </w:p>
                <w:p w14:paraId="17ABB80F">
                  <w:pPr>
                    <w:adjustRightInd w:val="0"/>
                    <w:snapToGrid w:val="0"/>
                    <w:spacing w:line="240" w:lineRule="auto"/>
                    <w:ind w:firstLine="0" w:firstLineChars="0"/>
                    <w:rPr>
                      <w:sz w:val="21"/>
                      <w:szCs w:val="21"/>
                    </w:rPr>
                  </w:pPr>
                  <w:r>
                    <w:rPr>
                      <w:rFonts w:hint="eastAsia"/>
                      <w:sz w:val="21"/>
                      <w:szCs w:val="21"/>
                    </w:rPr>
                    <w:t>（4）严格操作规程，制定可靠的维修规章；加强操作人员的岗位培训和职业素质教育，提高安全意识，防止人为误操作和设备维护不当所引起的事故发生。</w:t>
                  </w:r>
                </w:p>
                <w:p w14:paraId="1B1371B6">
                  <w:pPr>
                    <w:adjustRightInd w:val="0"/>
                    <w:snapToGrid w:val="0"/>
                    <w:spacing w:line="240" w:lineRule="auto"/>
                    <w:ind w:firstLine="0" w:firstLineChars="0"/>
                    <w:rPr>
                      <w:sz w:val="21"/>
                      <w:szCs w:val="21"/>
                    </w:rPr>
                  </w:pPr>
                  <w:r>
                    <w:rPr>
                      <w:rFonts w:hint="eastAsia"/>
                      <w:sz w:val="21"/>
                      <w:szCs w:val="21"/>
                    </w:rPr>
                    <w:t>（5）加强作业时巡视检查，对储罐、输运泵、罐区等主要部位设置必要的液位监控、压力监控和泄漏报警等装置，发现溢罐、管线泄漏等事故及时处理。</w:t>
                  </w:r>
                </w:p>
                <w:p w14:paraId="5487FDCC">
                  <w:pPr>
                    <w:adjustRightInd w:val="0"/>
                    <w:snapToGrid w:val="0"/>
                    <w:spacing w:line="240" w:lineRule="auto"/>
                    <w:ind w:firstLine="0" w:firstLineChars="0"/>
                    <w:rPr>
                      <w:sz w:val="21"/>
                      <w:szCs w:val="21"/>
                    </w:rPr>
                  </w:pPr>
                  <w:r>
                    <w:rPr>
                      <w:rFonts w:hint="eastAsia"/>
                      <w:sz w:val="21"/>
                      <w:szCs w:val="21"/>
                    </w:rPr>
                    <w:t>（6）建立系统规范的评估、审批、作业、监护、救援、应急程序、事故报告等管理制度。</w:t>
                  </w:r>
                </w:p>
                <w:p w14:paraId="7B7C794F">
                  <w:pPr>
                    <w:adjustRightInd w:val="0"/>
                    <w:snapToGrid w:val="0"/>
                    <w:spacing w:line="240" w:lineRule="auto"/>
                    <w:ind w:firstLine="0" w:firstLineChars="0"/>
                    <w:rPr>
                      <w:sz w:val="21"/>
                      <w:szCs w:val="21"/>
                    </w:rPr>
                  </w:pPr>
                  <w:r>
                    <w:rPr>
                      <w:rFonts w:hint="eastAsia"/>
                      <w:sz w:val="21"/>
                      <w:szCs w:val="21"/>
                    </w:rPr>
                    <w:t>（7）采取严格管理措施，控制明火、预防摩擦撞击、避免电气和静电火花，设计上考虑防雷避雷、防热源和防日照辐射等措施，并尽可能减少危险货物的储存量，以防止火灾发生。</w:t>
                  </w:r>
                </w:p>
              </w:tc>
              <w:tc>
                <w:tcPr>
                  <w:tcW w:w="4394" w:type="dxa"/>
                  <w:vAlign w:val="center"/>
                </w:tcPr>
                <w:p w14:paraId="190C4BE9">
                  <w:pPr>
                    <w:adjustRightInd w:val="0"/>
                    <w:snapToGrid w:val="0"/>
                    <w:spacing w:line="240" w:lineRule="auto"/>
                    <w:ind w:firstLine="0" w:firstLineChars="0"/>
                    <w:rPr>
                      <w:sz w:val="21"/>
                      <w:szCs w:val="21"/>
                    </w:rPr>
                  </w:pPr>
                  <w:r>
                    <w:rPr>
                      <w:rFonts w:hint="eastAsia"/>
                      <w:sz w:val="21"/>
                      <w:szCs w:val="21"/>
                    </w:rPr>
                    <w:t>（1）扩建项目</w:t>
                  </w:r>
                  <w:r>
                    <w:rPr>
                      <w:sz w:val="21"/>
                      <w:szCs w:val="21"/>
                    </w:rPr>
                    <w:t>处于福州港江阴港区壁头作业区，项目远离居民区，距离项目最近敏感点为</w:t>
                  </w:r>
                  <w:r>
                    <w:rPr>
                      <w:rFonts w:hint="eastAsia"/>
                      <w:sz w:val="21"/>
                      <w:szCs w:val="21"/>
                    </w:rPr>
                    <w:t>2692m</w:t>
                  </w:r>
                  <w:r>
                    <w:rPr>
                      <w:sz w:val="21"/>
                      <w:szCs w:val="21"/>
                    </w:rPr>
                    <w:t>外的</w:t>
                  </w:r>
                  <w:r>
                    <w:rPr>
                      <w:rFonts w:hint="eastAsia"/>
                      <w:sz w:val="21"/>
                      <w:szCs w:val="21"/>
                    </w:rPr>
                    <w:t>西后林村</w:t>
                  </w:r>
                  <w:r>
                    <w:rPr>
                      <w:sz w:val="21"/>
                      <w:szCs w:val="21"/>
                    </w:rPr>
                    <w:t>，</w:t>
                  </w:r>
                  <w:r>
                    <w:rPr>
                      <w:rFonts w:hint="eastAsia"/>
                      <w:sz w:val="21"/>
                      <w:szCs w:val="21"/>
                    </w:rPr>
                    <w:t>不在主导风向上。项目已通过安全评价，符合消防安全及运输间距要求。</w:t>
                  </w:r>
                </w:p>
                <w:p w14:paraId="01D4CF8D">
                  <w:pPr>
                    <w:adjustRightInd w:val="0"/>
                    <w:snapToGrid w:val="0"/>
                    <w:spacing w:line="240" w:lineRule="auto"/>
                    <w:ind w:firstLine="0" w:firstLineChars="0"/>
                    <w:rPr>
                      <w:sz w:val="21"/>
                      <w:szCs w:val="21"/>
                    </w:rPr>
                  </w:pPr>
                  <w:r>
                    <w:rPr>
                      <w:rFonts w:hint="eastAsia"/>
                      <w:sz w:val="21"/>
                      <w:szCs w:val="21"/>
                    </w:rPr>
                    <w:t>（2）码头罐区未种植任何植物。</w:t>
                  </w:r>
                </w:p>
                <w:p w14:paraId="3D459722">
                  <w:pPr>
                    <w:adjustRightInd w:val="0"/>
                    <w:snapToGrid w:val="0"/>
                    <w:spacing w:line="240" w:lineRule="auto"/>
                    <w:ind w:firstLine="0" w:firstLineChars="0"/>
                    <w:rPr>
                      <w:sz w:val="21"/>
                      <w:szCs w:val="21"/>
                    </w:rPr>
                  </w:pPr>
                  <w:r>
                    <w:rPr>
                      <w:rFonts w:hint="eastAsia"/>
                      <w:sz w:val="21"/>
                      <w:szCs w:val="21"/>
                    </w:rPr>
                    <w:t>（3）</w:t>
                  </w:r>
                  <w:r>
                    <w:rPr>
                      <w:sz w:val="21"/>
                      <w:szCs w:val="21"/>
                    </w:rPr>
                    <w:t>根据《石油化工工程防渗技术规范》GB/T50934-2013</w:t>
                  </w:r>
                  <w:r>
                    <w:rPr>
                      <w:rFonts w:hint="eastAsia"/>
                      <w:sz w:val="21"/>
                      <w:szCs w:val="21"/>
                    </w:rPr>
                    <w:t>，承台式罐区围堰采用一般防渗。</w:t>
                  </w:r>
                </w:p>
                <w:p w14:paraId="4D79DCC6">
                  <w:pPr>
                    <w:adjustRightInd w:val="0"/>
                    <w:snapToGrid w:val="0"/>
                    <w:spacing w:line="240" w:lineRule="auto"/>
                    <w:ind w:firstLine="0" w:firstLineChars="0"/>
                    <w:rPr>
                      <w:sz w:val="21"/>
                      <w:szCs w:val="21"/>
                    </w:rPr>
                  </w:pPr>
                  <w:r>
                    <w:rPr>
                      <w:rFonts w:hint="eastAsia"/>
                      <w:sz w:val="21"/>
                      <w:szCs w:val="21"/>
                    </w:rPr>
                    <w:t>（4）严格操作规程，制定可靠的维修规章；加强操作人员的岗位培训和职业素质教育，提高安全意识，防止人为误操作和设备维护不当所引起的事故发生。</w:t>
                  </w:r>
                </w:p>
                <w:p w14:paraId="65F894D7">
                  <w:pPr>
                    <w:adjustRightInd w:val="0"/>
                    <w:snapToGrid w:val="0"/>
                    <w:spacing w:line="240" w:lineRule="auto"/>
                    <w:ind w:firstLine="0" w:firstLineChars="0"/>
                    <w:rPr>
                      <w:sz w:val="21"/>
                      <w:szCs w:val="21"/>
                    </w:rPr>
                  </w:pPr>
                  <w:r>
                    <w:rPr>
                      <w:rFonts w:hint="eastAsia"/>
                      <w:sz w:val="21"/>
                      <w:szCs w:val="21"/>
                    </w:rPr>
                    <w:t>（5）扩建项目拟设置压力、流量、液位、温度等报警设施、可燃气体、有毒气体等检测设施。</w:t>
                  </w:r>
                </w:p>
                <w:p w14:paraId="77873DDF">
                  <w:pPr>
                    <w:adjustRightInd w:val="0"/>
                    <w:snapToGrid w:val="0"/>
                    <w:spacing w:line="240" w:lineRule="auto"/>
                    <w:ind w:firstLine="0" w:firstLineChars="0"/>
                    <w:rPr>
                      <w:sz w:val="21"/>
                      <w:szCs w:val="21"/>
                    </w:rPr>
                  </w:pPr>
                  <w:r>
                    <w:rPr>
                      <w:rFonts w:hint="eastAsia"/>
                      <w:sz w:val="21"/>
                      <w:szCs w:val="21"/>
                    </w:rPr>
                    <w:t>（6）扩建项目拟对应急预案进行修编，完善管理制度。</w:t>
                  </w:r>
                </w:p>
                <w:p w14:paraId="26A2966B">
                  <w:pPr>
                    <w:adjustRightInd w:val="0"/>
                    <w:snapToGrid w:val="0"/>
                    <w:spacing w:line="240" w:lineRule="auto"/>
                    <w:ind w:firstLine="0" w:firstLineChars="0"/>
                    <w:rPr>
                      <w:sz w:val="21"/>
                      <w:szCs w:val="21"/>
                    </w:rPr>
                  </w:pPr>
                  <w:r>
                    <w:rPr>
                      <w:rFonts w:hint="eastAsia"/>
                      <w:sz w:val="21"/>
                      <w:szCs w:val="21"/>
                    </w:rPr>
                    <w:t>（7）采取严格管理措施，控制明火、预防摩擦撞击、避免电气和静电火花。</w:t>
                  </w:r>
                </w:p>
              </w:tc>
              <w:tc>
                <w:tcPr>
                  <w:tcW w:w="958" w:type="dxa"/>
                  <w:vAlign w:val="center"/>
                </w:tcPr>
                <w:p w14:paraId="12A3B37C">
                  <w:pPr>
                    <w:adjustRightInd w:val="0"/>
                    <w:snapToGrid w:val="0"/>
                    <w:spacing w:line="240" w:lineRule="auto"/>
                    <w:ind w:firstLine="0" w:firstLineChars="0"/>
                    <w:jc w:val="center"/>
                    <w:rPr>
                      <w:sz w:val="21"/>
                      <w:szCs w:val="21"/>
                    </w:rPr>
                  </w:pPr>
                  <w:r>
                    <w:rPr>
                      <w:rFonts w:hint="eastAsia"/>
                      <w:sz w:val="21"/>
                      <w:szCs w:val="21"/>
                    </w:rPr>
                    <w:t>符合</w:t>
                  </w:r>
                </w:p>
              </w:tc>
            </w:tr>
            <w:tr w14:paraId="1E8EF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5" w:type="dxa"/>
                  <w:vMerge w:val="restart"/>
                  <w:vAlign w:val="center"/>
                </w:tcPr>
                <w:p w14:paraId="169C0232">
                  <w:pPr>
                    <w:adjustRightInd w:val="0"/>
                    <w:snapToGrid w:val="0"/>
                    <w:spacing w:line="240" w:lineRule="auto"/>
                    <w:ind w:firstLine="0" w:firstLineChars="0"/>
                    <w:jc w:val="center"/>
                    <w:rPr>
                      <w:sz w:val="21"/>
                      <w:szCs w:val="21"/>
                    </w:rPr>
                  </w:pPr>
                  <w:r>
                    <w:rPr>
                      <w:rFonts w:hint="eastAsia"/>
                      <w:sz w:val="21"/>
                      <w:szCs w:val="21"/>
                    </w:rPr>
                    <w:t>2</w:t>
                  </w:r>
                </w:p>
              </w:tc>
              <w:tc>
                <w:tcPr>
                  <w:tcW w:w="821" w:type="dxa"/>
                  <w:vMerge w:val="restart"/>
                  <w:vAlign w:val="center"/>
                </w:tcPr>
                <w:p w14:paraId="23995755">
                  <w:pPr>
                    <w:adjustRightInd w:val="0"/>
                    <w:snapToGrid w:val="0"/>
                    <w:spacing w:line="240" w:lineRule="auto"/>
                    <w:ind w:firstLine="0" w:firstLineChars="0"/>
                    <w:jc w:val="center"/>
                    <w:rPr>
                      <w:sz w:val="21"/>
                      <w:szCs w:val="21"/>
                    </w:rPr>
                  </w:pPr>
                  <w:r>
                    <w:rPr>
                      <w:rFonts w:hint="eastAsia"/>
                      <w:sz w:val="21"/>
                      <w:szCs w:val="21"/>
                    </w:rPr>
                    <w:t>火灾爆炸防范</w:t>
                  </w:r>
                </w:p>
                <w:p w14:paraId="67FF8A64">
                  <w:pPr>
                    <w:adjustRightInd w:val="0"/>
                    <w:snapToGrid w:val="0"/>
                    <w:spacing w:line="240" w:lineRule="auto"/>
                    <w:ind w:firstLine="0" w:firstLineChars="0"/>
                    <w:jc w:val="center"/>
                    <w:rPr>
                      <w:sz w:val="21"/>
                      <w:szCs w:val="21"/>
                    </w:rPr>
                  </w:pPr>
                  <w:r>
                    <w:rPr>
                      <w:rFonts w:hint="eastAsia"/>
                      <w:sz w:val="21"/>
                      <w:szCs w:val="21"/>
                    </w:rPr>
                    <w:t>措施</w:t>
                  </w:r>
                </w:p>
              </w:tc>
              <w:tc>
                <w:tcPr>
                  <w:tcW w:w="1114" w:type="dxa"/>
                  <w:vMerge w:val="restart"/>
                  <w:vAlign w:val="center"/>
                </w:tcPr>
                <w:p w14:paraId="487DD4FB">
                  <w:pPr>
                    <w:adjustRightInd w:val="0"/>
                    <w:snapToGrid w:val="0"/>
                    <w:spacing w:line="240" w:lineRule="auto"/>
                    <w:ind w:firstLine="0" w:firstLineChars="0"/>
                    <w:jc w:val="center"/>
                    <w:rPr>
                      <w:sz w:val="21"/>
                      <w:szCs w:val="21"/>
                    </w:rPr>
                  </w:pPr>
                  <w:r>
                    <w:rPr>
                      <w:rFonts w:hint="eastAsia"/>
                      <w:sz w:val="21"/>
                      <w:szCs w:val="21"/>
                    </w:rPr>
                    <w:t>处置措施</w:t>
                  </w:r>
                </w:p>
              </w:tc>
              <w:tc>
                <w:tcPr>
                  <w:tcW w:w="5528" w:type="dxa"/>
                  <w:vAlign w:val="center"/>
                </w:tcPr>
                <w:p w14:paraId="21FEB3DD">
                  <w:pPr>
                    <w:adjustRightInd w:val="0"/>
                    <w:snapToGrid w:val="0"/>
                    <w:spacing w:line="240" w:lineRule="auto"/>
                    <w:ind w:firstLine="0" w:firstLineChars="0"/>
                    <w:rPr>
                      <w:sz w:val="21"/>
                      <w:szCs w:val="21"/>
                    </w:rPr>
                  </w:pPr>
                  <w:r>
                    <w:rPr>
                      <w:rFonts w:hint="eastAsia"/>
                      <w:sz w:val="21"/>
                      <w:szCs w:val="21"/>
                    </w:rPr>
                    <w:t>（3）若是防火堤内着火，首先紧急关闭防火堤内排水等有可能泄漏的阀门，然后向油品或化工品液池表面喷消防泡沫，隔绝空气，对事故罐进行消防水喷淋降温，以防罐体塌陷，带来更严重的事故</w:t>
                  </w:r>
                </w:p>
              </w:tc>
              <w:tc>
                <w:tcPr>
                  <w:tcW w:w="4394" w:type="dxa"/>
                  <w:vAlign w:val="center"/>
                </w:tcPr>
                <w:p w14:paraId="7D9A5F15">
                  <w:pPr>
                    <w:adjustRightInd w:val="0"/>
                    <w:snapToGrid w:val="0"/>
                    <w:spacing w:line="240" w:lineRule="auto"/>
                    <w:ind w:firstLine="0" w:firstLineChars="0"/>
                    <w:rPr>
                      <w:sz w:val="21"/>
                      <w:szCs w:val="21"/>
                    </w:rPr>
                  </w:pPr>
                  <w:r>
                    <w:rPr>
                      <w:rFonts w:hint="eastAsia"/>
                      <w:sz w:val="21"/>
                      <w:szCs w:val="21"/>
                    </w:rPr>
                    <w:t>扩建项目防火堤设置有阀门，能够紧急关闭防止泄漏。罐区内设置有泡沫站，能向化工品液池表面喷消防泡沫，隔绝空气。设置消防水喷淋降温系统，以防罐体塌陷，带来更严重的事故。</w:t>
                  </w:r>
                </w:p>
              </w:tc>
              <w:tc>
                <w:tcPr>
                  <w:tcW w:w="958" w:type="dxa"/>
                  <w:vMerge w:val="restart"/>
                  <w:vAlign w:val="center"/>
                </w:tcPr>
                <w:p w14:paraId="3F9195BC">
                  <w:pPr>
                    <w:adjustRightInd w:val="0"/>
                    <w:snapToGrid w:val="0"/>
                    <w:spacing w:line="240" w:lineRule="auto"/>
                    <w:ind w:firstLine="0" w:firstLineChars="0"/>
                    <w:jc w:val="center"/>
                    <w:rPr>
                      <w:sz w:val="21"/>
                      <w:szCs w:val="21"/>
                    </w:rPr>
                  </w:pPr>
                  <w:r>
                    <w:rPr>
                      <w:rFonts w:hint="eastAsia"/>
                      <w:sz w:val="21"/>
                      <w:szCs w:val="21"/>
                    </w:rPr>
                    <w:t>符合</w:t>
                  </w:r>
                </w:p>
              </w:tc>
            </w:tr>
            <w:tr w14:paraId="47B50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5" w:type="dxa"/>
                  <w:vMerge w:val="continue"/>
                  <w:vAlign w:val="center"/>
                </w:tcPr>
                <w:p w14:paraId="65522AFF">
                  <w:pPr>
                    <w:adjustRightInd w:val="0"/>
                    <w:snapToGrid w:val="0"/>
                    <w:spacing w:line="240" w:lineRule="auto"/>
                    <w:ind w:firstLine="0" w:firstLineChars="0"/>
                    <w:jc w:val="center"/>
                    <w:rPr>
                      <w:sz w:val="21"/>
                      <w:szCs w:val="21"/>
                    </w:rPr>
                  </w:pPr>
                </w:p>
              </w:tc>
              <w:tc>
                <w:tcPr>
                  <w:tcW w:w="821" w:type="dxa"/>
                  <w:vMerge w:val="continue"/>
                  <w:vAlign w:val="center"/>
                </w:tcPr>
                <w:p w14:paraId="1FFA2492">
                  <w:pPr>
                    <w:adjustRightInd w:val="0"/>
                    <w:snapToGrid w:val="0"/>
                    <w:spacing w:line="240" w:lineRule="auto"/>
                    <w:ind w:firstLine="0" w:firstLineChars="0"/>
                    <w:jc w:val="center"/>
                    <w:rPr>
                      <w:sz w:val="21"/>
                      <w:szCs w:val="21"/>
                    </w:rPr>
                  </w:pPr>
                </w:p>
              </w:tc>
              <w:tc>
                <w:tcPr>
                  <w:tcW w:w="1114" w:type="dxa"/>
                  <w:vMerge w:val="continue"/>
                  <w:vAlign w:val="center"/>
                </w:tcPr>
                <w:p w14:paraId="5E6BBE0F">
                  <w:pPr>
                    <w:adjustRightInd w:val="0"/>
                    <w:snapToGrid w:val="0"/>
                    <w:spacing w:line="240" w:lineRule="auto"/>
                    <w:ind w:firstLine="0" w:firstLineChars="0"/>
                    <w:jc w:val="center"/>
                    <w:rPr>
                      <w:sz w:val="21"/>
                      <w:szCs w:val="21"/>
                    </w:rPr>
                  </w:pPr>
                </w:p>
              </w:tc>
              <w:tc>
                <w:tcPr>
                  <w:tcW w:w="5528" w:type="dxa"/>
                  <w:vAlign w:val="center"/>
                </w:tcPr>
                <w:p w14:paraId="4508CF79">
                  <w:pPr>
                    <w:adjustRightInd w:val="0"/>
                    <w:snapToGrid w:val="0"/>
                    <w:spacing w:line="240" w:lineRule="auto"/>
                    <w:ind w:firstLine="0" w:firstLineChars="0"/>
                    <w:rPr>
                      <w:sz w:val="21"/>
                      <w:szCs w:val="21"/>
                    </w:rPr>
                  </w:pPr>
                  <w:r>
                    <w:rPr>
                      <w:rFonts w:hint="eastAsia"/>
                      <w:sz w:val="21"/>
                      <w:szCs w:val="21"/>
                    </w:rPr>
                    <w:t>（4）一旦出现特大型火灾爆炸事故，只能放弃对事故罐的救援，转而对临近罐加大消防水喷淋强度，使罐体温度降在安全范围内，保证临近罐的安全。对事故罐内的油品或化工品只能任其燃烧，直至烧尽。</w:t>
                  </w:r>
                </w:p>
              </w:tc>
              <w:tc>
                <w:tcPr>
                  <w:tcW w:w="4394" w:type="dxa"/>
                  <w:vAlign w:val="center"/>
                </w:tcPr>
                <w:p w14:paraId="38220FED">
                  <w:pPr>
                    <w:adjustRightInd w:val="0"/>
                    <w:snapToGrid w:val="0"/>
                    <w:spacing w:line="240" w:lineRule="auto"/>
                    <w:ind w:firstLine="0" w:firstLineChars="0"/>
                    <w:rPr>
                      <w:sz w:val="21"/>
                      <w:szCs w:val="21"/>
                    </w:rPr>
                  </w:pPr>
                  <w:r>
                    <w:rPr>
                      <w:rFonts w:hint="eastAsia"/>
                      <w:sz w:val="21"/>
                      <w:szCs w:val="21"/>
                    </w:rPr>
                    <w:t>拟设置消防水喷淋降温系统，使临近罐体温度降在安全范围内，确保临近罐的安全。</w:t>
                  </w:r>
                </w:p>
              </w:tc>
              <w:tc>
                <w:tcPr>
                  <w:tcW w:w="958" w:type="dxa"/>
                  <w:vMerge w:val="continue"/>
                  <w:vAlign w:val="center"/>
                </w:tcPr>
                <w:p w14:paraId="7D095A8A">
                  <w:pPr>
                    <w:adjustRightInd w:val="0"/>
                    <w:snapToGrid w:val="0"/>
                    <w:spacing w:line="240" w:lineRule="auto"/>
                    <w:ind w:firstLine="0" w:firstLineChars="0"/>
                    <w:jc w:val="center"/>
                    <w:rPr>
                      <w:sz w:val="21"/>
                      <w:szCs w:val="21"/>
                    </w:rPr>
                  </w:pPr>
                </w:p>
              </w:tc>
            </w:tr>
            <w:tr w14:paraId="6343C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45" w:type="dxa"/>
                  <w:vMerge w:val="continue"/>
                  <w:vAlign w:val="center"/>
                </w:tcPr>
                <w:p w14:paraId="1C40A1D7">
                  <w:pPr>
                    <w:adjustRightInd w:val="0"/>
                    <w:snapToGrid w:val="0"/>
                    <w:spacing w:line="240" w:lineRule="auto"/>
                    <w:ind w:firstLine="0" w:firstLineChars="0"/>
                    <w:jc w:val="center"/>
                    <w:rPr>
                      <w:sz w:val="21"/>
                      <w:szCs w:val="21"/>
                    </w:rPr>
                  </w:pPr>
                </w:p>
              </w:tc>
              <w:tc>
                <w:tcPr>
                  <w:tcW w:w="821" w:type="dxa"/>
                  <w:vMerge w:val="continue"/>
                  <w:vAlign w:val="center"/>
                </w:tcPr>
                <w:p w14:paraId="0E8E6B15">
                  <w:pPr>
                    <w:adjustRightInd w:val="0"/>
                    <w:snapToGrid w:val="0"/>
                    <w:spacing w:line="240" w:lineRule="auto"/>
                    <w:ind w:firstLine="0" w:firstLineChars="0"/>
                    <w:jc w:val="center"/>
                    <w:rPr>
                      <w:sz w:val="21"/>
                      <w:szCs w:val="21"/>
                    </w:rPr>
                  </w:pPr>
                </w:p>
              </w:tc>
              <w:tc>
                <w:tcPr>
                  <w:tcW w:w="1114" w:type="dxa"/>
                  <w:vMerge w:val="continue"/>
                  <w:vAlign w:val="center"/>
                </w:tcPr>
                <w:p w14:paraId="1AAF28C6">
                  <w:pPr>
                    <w:adjustRightInd w:val="0"/>
                    <w:snapToGrid w:val="0"/>
                    <w:spacing w:line="240" w:lineRule="auto"/>
                    <w:ind w:firstLine="0" w:firstLineChars="0"/>
                    <w:jc w:val="center"/>
                    <w:rPr>
                      <w:sz w:val="21"/>
                      <w:szCs w:val="21"/>
                    </w:rPr>
                  </w:pPr>
                </w:p>
              </w:tc>
              <w:tc>
                <w:tcPr>
                  <w:tcW w:w="5528" w:type="dxa"/>
                  <w:vAlign w:val="center"/>
                </w:tcPr>
                <w:p w14:paraId="17A9A623">
                  <w:pPr>
                    <w:adjustRightInd w:val="0"/>
                    <w:snapToGrid w:val="0"/>
                    <w:spacing w:line="240" w:lineRule="auto"/>
                    <w:ind w:firstLine="0" w:firstLineChars="0"/>
                    <w:rPr>
                      <w:sz w:val="21"/>
                      <w:szCs w:val="21"/>
                    </w:rPr>
                  </w:pPr>
                  <w:r>
                    <w:rPr>
                      <w:rFonts w:hint="eastAsia"/>
                      <w:sz w:val="21"/>
                      <w:szCs w:val="21"/>
                    </w:rPr>
                    <w:t>（5）采用消防水喷淋对事故罐临近的储罐进行降温，以防引起连锁反应</w:t>
                  </w:r>
                </w:p>
              </w:tc>
              <w:tc>
                <w:tcPr>
                  <w:tcW w:w="4394" w:type="dxa"/>
                  <w:vAlign w:val="center"/>
                </w:tcPr>
                <w:p w14:paraId="64DDD822">
                  <w:pPr>
                    <w:adjustRightInd w:val="0"/>
                    <w:snapToGrid w:val="0"/>
                    <w:spacing w:line="240" w:lineRule="auto"/>
                    <w:ind w:firstLine="0" w:firstLineChars="0"/>
                    <w:rPr>
                      <w:sz w:val="21"/>
                      <w:szCs w:val="21"/>
                    </w:rPr>
                  </w:pPr>
                  <w:r>
                    <w:rPr>
                      <w:rFonts w:hint="eastAsia"/>
                      <w:sz w:val="21"/>
                      <w:szCs w:val="21"/>
                    </w:rPr>
                    <w:t>拟设置消防水喷淋降温系统事故罐临近的储罐进行降温，以防引起连锁反应。</w:t>
                  </w:r>
                </w:p>
              </w:tc>
              <w:tc>
                <w:tcPr>
                  <w:tcW w:w="958" w:type="dxa"/>
                  <w:vMerge w:val="continue"/>
                  <w:vAlign w:val="center"/>
                </w:tcPr>
                <w:p w14:paraId="48B3DC89">
                  <w:pPr>
                    <w:adjustRightInd w:val="0"/>
                    <w:snapToGrid w:val="0"/>
                    <w:spacing w:line="240" w:lineRule="auto"/>
                    <w:ind w:firstLine="0" w:firstLineChars="0"/>
                    <w:jc w:val="center"/>
                    <w:rPr>
                      <w:sz w:val="21"/>
                      <w:szCs w:val="21"/>
                    </w:rPr>
                  </w:pPr>
                </w:p>
              </w:tc>
            </w:tr>
            <w:tr w14:paraId="52245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6932E2FB">
                  <w:pPr>
                    <w:adjustRightInd w:val="0"/>
                    <w:snapToGrid w:val="0"/>
                    <w:spacing w:line="240" w:lineRule="auto"/>
                    <w:ind w:firstLine="0" w:firstLineChars="0"/>
                    <w:jc w:val="center"/>
                    <w:rPr>
                      <w:sz w:val="21"/>
                      <w:szCs w:val="21"/>
                    </w:rPr>
                  </w:pPr>
                  <w:r>
                    <w:rPr>
                      <w:rFonts w:hint="eastAsia"/>
                      <w:sz w:val="21"/>
                      <w:szCs w:val="21"/>
                    </w:rPr>
                    <w:t>3</w:t>
                  </w:r>
                </w:p>
              </w:tc>
              <w:tc>
                <w:tcPr>
                  <w:tcW w:w="821" w:type="dxa"/>
                  <w:vMerge w:val="restart"/>
                  <w:vAlign w:val="center"/>
                </w:tcPr>
                <w:p w14:paraId="593B08C0">
                  <w:pPr>
                    <w:adjustRightInd w:val="0"/>
                    <w:snapToGrid w:val="0"/>
                    <w:spacing w:line="240" w:lineRule="auto"/>
                    <w:ind w:firstLine="0" w:firstLineChars="0"/>
                    <w:jc w:val="center"/>
                    <w:rPr>
                      <w:sz w:val="21"/>
                      <w:szCs w:val="21"/>
                    </w:rPr>
                  </w:pPr>
                  <w:r>
                    <w:rPr>
                      <w:rFonts w:hint="eastAsia"/>
                      <w:sz w:val="21"/>
                      <w:szCs w:val="21"/>
                    </w:rPr>
                    <w:t>陆域罐区风险</w:t>
                  </w:r>
                </w:p>
                <w:p w14:paraId="7192DA58">
                  <w:pPr>
                    <w:adjustRightInd w:val="0"/>
                    <w:snapToGrid w:val="0"/>
                    <w:spacing w:line="240" w:lineRule="auto"/>
                    <w:ind w:firstLine="0" w:firstLineChars="0"/>
                    <w:jc w:val="center"/>
                    <w:rPr>
                      <w:sz w:val="21"/>
                      <w:szCs w:val="21"/>
                    </w:rPr>
                  </w:pPr>
                  <w:r>
                    <w:rPr>
                      <w:rFonts w:hint="eastAsia"/>
                      <w:sz w:val="21"/>
                      <w:szCs w:val="21"/>
                    </w:rPr>
                    <w:t>应急防范措施</w:t>
                  </w:r>
                </w:p>
              </w:tc>
              <w:tc>
                <w:tcPr>
                  <w:tcW w:w="1114" w:type="dxa"/>
                  <w:vAlign w:val="center"/>
                </w:tcPr>
                <w:p w14:paraId="27DD1BD9">
                  <w:pPr>
                    <w:adjustRightInd w:val="0"/>
                    <w:snapToGrid w:val="0"/>
                    <w:spacing w:line="240" w:lineRule="auto"/>
                    <w:ind w:firstLine="0" w:firstLineChars="0"/>
                    <w:jc w:val="center"/>
                    <w:rPr>
                      <w:sz w:val="21"/>
                      <w:szCs w:val="21"/>
                    </w:rPr>
                  </w:pPr>
                  <w:r>
                    <w:rPr>
                      <w:rFonts w:hint="eastAsia"/>
                      <w:sz w:val="21"/>
                      <w:szCs w:val="21"/>
                    </w:rPr>
                    <w:t>优化规划</w:t>
                  </w:r>
                </w:p>
                <w:p w14:paraId="25B0748C">
                  <w:pPr>
                    <w:adjustRightInd w:val="0"/>
                    <w:snapToGrid w:val="0"/>
                    <w:spacing w:line="240" w:lineRule="auto"/>
                    <w:ind w:firstLine="0" w:firstLineChars="0"/>
                    <w:jc w:val="center"/>
                    <w:rPr>
                      <w:sz w:val="21"/>
                      <w:szCs w:val="21"/>
                    </w:rPr>
                  </w:pPr>
                  <w:r>
                    <w:rPr>
                      <w:rFonts w:hint="eastAsia"/>
                      <w:sz w:val="21"/>
                      <w:szCs w:val="21"/>
                    </w:rPr>
                    <w:t>布局，降</w:t>
                  </w:r>
                </w:p>
                <w:p w14:paraId="15BC9EC9">
                  <w:pPr>
                    <w:adjustRightInd w:val="0"/>
                    <w:snapToGrid w:val="0"/>
                    <w:spacing w:line="240" w:lineRule="auto"/>
                    <w:ind w:firstLine="0" w:firstLineChars="0"/>
                    <w:jc w:val="center"/>
                    <w:rPr>
                      <w:sz w:val="21"/>
                      <w:szCs w:val="21"/>
                    </w:rPr>
                  </w:pPr>
                  <w:r>
                    <w:rPr>
                      <w:rFonts w:hint="eastAsia"/>
                      <w:sz w:val="21"/>
                      <w:szCs w:val="21"/>
                    </w:rPr>
                    <w:t>低环境风</w:t>
                  </w:r>
                </w:p>
                <w:p w14:paraId="16450FAA">
                  <w:pPr>
                    <w:adjustRightInd w:val="0"/>
                    <w:snapToGrid w:val="0"/>
                    <w:spacing w:line="240" w:lineRule="auto"/>
                    <w:ind w:firstLine="0" w:firstLineChars="0"/>
                    <w:jc w:val="center"/>
                    <w:rPr>
                      <w:sz w:val="21"/>
                      <w:szCs w:val="21"/>
                    </w:rPr>
                  </w:pPr>
                  <w:r>
                    <w:rPr>
                      <w:rFonts w:hint="eastAsia"/>
                      <w:sz w:val="21"/>
                      <w:szCs w:val="21"/>
                    </w:rPr>
                    <w:t>险</w:t>
                  </w:r>
                </w:p>
              </w:tc>
              <w:tc>
                <w:tcPr>
                  <w:tcW w:w="5528" w:type="dxa"/>
                  <w:vAlign w:val="center"/>
                </w:tcPr>
                <w:p w14:paraId="64D0CEF5">
                  <w:pPr>
                    <w:adjustRightInd w:val="0"/>
                    <w:snapToGrid w:val="0"/>
                    <w:spacing w:line="240" w:lineRule="auto"/>
                    <w:ind w:firstLine="0" w:firstLineChars="0"/>
                    <w:rPr>
                      <w:sz w:val="21"/>
                      <w:szCs w:val="21"/>
                    </w:rPr>
                  </w:pPr>
                  <w:r>
                    <w:rPr>
                      <w:rFonts w:hint="eastAsia"/>
                      <w:sz w:val="21"/>
                      <w:szCs w:val="21"/>
                    </w:rPr>
                    <w:t>根据不同规划用地性质设置环境风险防范区范围。防范区内应控制人口规模，不新增居民区、学校、医院等敏感设施。</w:t>
                  </w:r>
                </w:p>
              </w:tc>
              <w:tc>
                <w:tcPr>
                  <w:tcW w:w="4394" w:type="dxa"/>
                  <w:vAlign w:val="center"/>
                </w:tcPr>
                <w:p w14:paraId="7AA224E8">
                  <w:pPr>
                    <w:adjustRightInd w:val="0"/>
                    <w:snapToGrid w:val="0"/>
                    <w:spacing w:line="240" w:lineRule="auto"/>
                    <w:ind w:firstLine="0" w:firstLineChars="0"/>
                    <w:rPr>
                      <w:sz w:val="21"/>
                      <w:szCs w:val="21"/>
                    </w:rPr>
                  </w:pPr>
                  <w:r>
                    <w:rPr>
                      <w:rFonts w:hint="eastAsia"/>
                      <w:sz w:val="21"/>
                      <w:szCs w:val="21"/>
                    </w:rPr>
                    <w:t>扩建项目</w:t>
                  </w:r>
                  <w:r>
                    <w:rPr>
                      <w:sz w:val="21"/>
                      <w:szCs w:val="21"/>
                    </w:rPr>
                    <w:t>厂界与现状居民区距离均超过</w:t>
                  </w:r>
                  <w:r>
                    <w:rPr>
                      <w:rFonts w:hint="eastAsia"/>
                      <w:sz w:val="21"/>
                      <w:szCs w:val="21"/>
                    </w:rPr>
                    <w:t>2692m</w:t>
                  </w:r>
                  <w:r>
                    <w:rPr>
                      <w:sz w:val="21"/>
                      <w:szCs w:val="21"/>
                    </w:rPr>
                    <w:t>。项目周边为工业用地，园区设置500m环保隔离带，</w:t>
                  </w:r>
                  <w:r>
                    <w:rPr>
                      <w:rFonts w:hint="eastAsia"/>
                      <w:sz w:val="21"/>
                      <w:szCs w:val="21"/>
                    </w:rPr>
                    <w:t>扩建项目</w:t>
                  </w:r>
                  <w:r>
                    <w:rPr>
                      <w:sz w:val="21"/>
                      <w:szCs w:val="21"/>
                    </w:rPr>
                    <w:t>建成后，项目防护距离内无居民住宅、学校、医院等建筑，</w:t>
                  </w:r>
                  <w:r>
                    <w:rPr>
                      <w:rFonts w:hint="eastAsia"/>
                      <w:sz w:val="21"/>
                      <w:szCs w:val="21"/>
                    </w:rPr>
                    <w:t>其用地也未</w:t>
                  </w:r>
                  <w:r>
                    <w:rPr>
                      <w:sz w:val="21"/>
                      <w:szCs w:val="21"/>
                    </w:rPr>
                    <w:t>规划居住、文教等</w:t>
                  </w:r>
                  <w:r>
                    <w:rPr>
                      <w:rFonts w:hint="eastAsia"/>
                      <w:sz w:val="21"/>
                      <w:szCs w:val="21"/>
                    </w:rPr>
                    <w:t>功能</w:t>
                  </w:r>
                  <w:r>
                    <w:rPr>
                      <w:sz w:val="21"/>
                      <w:szCs w:val="21"/>
                    </w:rPr>
                    <w:t>。符合空间布局要求。</w:t>
                  </w:r>
                </w:p>
              </w:tc>
              <w:tc>
                <w:tcPr>
                  <w:tcW w:w="958" w:type="dxa"/>
                  <w:vAlign w:val="center"/>
                </w:tcPr>
                <w:p w14:paraId="639125C4">
                  <w:pPr>
                    <w:adjustRightInd w:val="0"/>
                    <w:snapToGrid w:val="0"/>
                    <w:spacing w:line="240" w:lineRule="auto"/>
                    <w:ind w:firstLine="0" w:firstLineChars="0"/>
                    <w:jc w:val="center"/>
                    <w:rPr>
                      <w:sz w:val="21"/>
                      <w:szCs w:val="21"/>
                    </w:rPr>
                  </w:pPr>
                </w:p>
              </w:tc>
            </w:tr>
            <w:tr w14:paraId="536D1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5" w:type="dxa"/>
                  <w:vMerge w:val="continue"/>
                  <w:vAlign w:val="center"/>
                </w:tcPr>
                <w:p w14:paraId="0B9D02CB">
                  <w:pPr>
                    <w:adjustRightInd w:val="0"/>
                    <w:snapToGrid w:val="0"/>
                    <w:spacing w:line="240" w:lineRule="auto"/>
                    <w:ind w:firstLine="0" w:firstLineChars="0"/>
                    <w:jc w:val="center"/>
                    <w:rPr>
                      <w:sz w:val="21"/>
                      <w:szCs w:val="21"/>
                    </w:rPr>
                  </w:pPr>
                </w:p>
              </w:tc>
              <w:tc>
                <w:tcPr>
                  <w:tcW w:w="821" w:type="dxa"/>
                  <w:vMerge w:val="continue"/>
                  <w:vAlign w:val="center"/>
                </w:tcPr>
                <w:p w14:paraId="1D53AD45">
                  <w:pPr>
                    <w:adjustRightInd w:val="0"/>
                    <w:snapToGrid w:val="0"/>
                    <w:spacing w:line="240" w:lineRule="auto"/>
                    <w:ind w:firstLine="0" w:firstLineChars="0"/>
                    <w:jc w:val="center"/>
                    <w:rPr>
                      <w:sz w:val="21"/>
                      <w:szCs w:val="21"/>
                    </w:rPr>
                  </w:pPr>
                </w:p>
              </w:tc>
              <w:tc>
                <w:tcPr>
                  <w:tcW w:w="1114" w:type="dxa"/>
                  <w:vMerge w:val="restart"/>
                  <w:vAlign w:val="center"/>
                </w:tcPr>
                <w:p w14:paraId="04FCBD24">
                  <w:pPr>
                    <w:adjustRightInd w:val="0"/>
                    <w:snapToGrid w:val="0"/>
                    <w:spacing w:line="240" w:lineRule="auto"/>
                    <w:ind w:firstLine="0" w:firstLineChars="0"/>
                    <w:jc w:val="center"/>
                    <w:rPr>
                      <w:sz w:val="21"/>
                      <w:szCs w:val="21"/>
                    </w:rPr>
                  </w:pPr>
                  <w:r>
                    <w:rPr>
                      <w:rFonts w:hint="eastAsia"/>
                      <w:sz w:val="21"/>
                      <w:szCs w:val="21"/>
                    </w:rPr>
                    <w:t>危险品集中作业区内设置公共事故应急池、建立三级防</w:t>
                  </w:r>
                </w:p>
                <w:p w14:paraId="531DB847">
                  <w:pPr>
                    <w:adjustRightInd w:val="0"/>
                    <w:snapToGrid w:val="0"/>
                    <w:spacing w:line="240" w:lineRule="auto"/>
                    <w:ind w:firstLine="0" w:firstLineChars="0"/>
                    <w:jc w:val="center"/>
                    <w:rPr>
                      <w:sz w:val="21"/>
                      <w:szCs w:val="21"/>
                    </w:rPr>
                  </w:pPr>
                  <w:r>
                    <w:rPr>
                      <w:rFonts w:hint="eastAsia"/>
                      <w:sz w:val="21"/>
                      <w:szCs w:val="21"/>
                    </w:rPr>
                    <w:t>控体系</w:t>
                  </w:r>
                </w:p>
              </w:tc>
              <w:tc>
                <w:tcPr>
                  <w:tcW w:w="5528" w:type="dxa"/>
                  <w:vAlign w:val="center"/>
                </w:tcPr>
                <w:p w14:paraId="2F986E2C">
                  <w:pPr>
                    <w:adjustRightInd w:val="0"/>
                    <w:snapToGrid w:val="0"/>
                    <w:spacing w:line="240" w:lineRule="auto"/>
                    <w:ind w:firstLine="0" w:firstLineChars="0"/>
                    <w:rPr>
                      <w:sz w:val="21"/>
                      <w:szCs w:val="21"/>
                    </w:rPr>
                  </w:pPr>
                  <w:r>
                    <w:rPr>
                      <w:rFonts w:hint="eastAsia"/>
                      <w:sz w:val="21"/>
                      <w:szCs w:val="21"/>
                    </w:rPr>
                    <w:t>（1）危险品罐区内排水应实行雨污分流排水体制</w:t>
                  </w:r>
                </w:p>
              </w:tc>
              <w:tc>
                <w:tcPr>
                  <w:tcW w:w="4394" w:type="dxa"/>
                  <w:vAlign w:val="center"/>
                </w:tcPr>
                <w:p w14:paraId="4BD9BDE7">
                  <w:pPr>
                    <w:adjustRightInd w:val="0"/>
                    <w:snapToGrid w:val="0"/>
                    <w:spacing w:line="240" w:lineRule="auto"/>
                    <w:ind w:firstLine="0" w:firstLineChars="0"/>
                    <w:rPr>
                      <w:sz w:val="21"/>
                      <w:szCs w:val="21"/>
                    </w:rPr>
                  </w:pPr>
                  <w:r>
                    <w:rPr>
                      <w:rFonts w:hint="eastAsia"/>
                      <w:sz w:val="21"/>
                      <w:szCs w:val="21"/>
                    </w:rPr>
                    <w:t>扩建项目罐区实行雨污分流排水</w:t>
                  </w:r>
                </w:p>
              </w:tc>
              <w:tc>
                <w:tcPr>
                  <w:tcW w:w="958" w:type="dxa"/>
                  <w:vMerge w:val="restart"/>
                  <w:vAlign w:val="center"/>
                </w:tcPr>
                <w:p w14:paraId="1C4095D9">
                  <w:pPr>
                    <w:adjustRightInd w:val="0"/>
                    <w:snapToGrid w:val="0"/>
                    <w:spacing w:line="240" w:lineRule="auto"/>
                    <w:ind w:firstLine="0" w:firstLineChars="0"/>
                    <w:jc w:val="center"/>
                    <w:rPr>
                      <w:sz w:val="21"/>
                      <w:szCs w:val="21"/>
                    </w:rPr>
                  </w:pPr>
                  <w:r>
                    <w:rPr>
                      <w:rFonts w:hint="eastAsia"/>
                      <w:sz w:val="21"/>
                      <w:szCs w:val="21"/>
                    </w:rPr>
                    <w:t>符合</w:t>
                  </w:r>
                </w:p>
              </w:tc>
            </w:tr>
            <w:tr w14:paraId="04AB1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45" w:type="dxa"/>
                  <w:vMerge w:val="continue"/>
                  <w:vAlign w:val="center"/>
                </w:tcPr>
                <w:p w14:paraId="5EB0AD7F">
                  <w:pPr>
                    <w:adjustRightInd w:val="0"/>
                    <w:snapToGrid w:val="0"/>
                    <w:spacing w:line="240" w:lineRule="auto"/>
                    <w:ind w:firstLine="0" w:firstLineChars="0"/>
                    <w:jc w:val="center"/>
                    <w:rPr>
                      <w:sz w:val="21"/>
                      <w:szCs w:val="21"/>
                    </w:rPr>
                  </w:pPr>
                </w:p>
              </w:tc>
              <w:tc>
                <w:tcPr>
                  <w:tcW w:w="821" w:type="dxa"/>
                  <w:vMerge w:val="continue"/>
                  <w:vAlign w:val="center"/>
                </w:tcPr>
                <w:p w14:paraId="3B2A2A81">
                  <w:pPr>
                    <w:adjustRightInd w:val="0"/>
                    <w:snapToGrid w:val="0"/>
                    <w:spacing w:line="240" w:lineRule="auto"/>
                    <w:ind w:firstLine="0" w:firstLineChars="0"/>
                    <w:jc w:val="center"/>
                    <w:rPr>
                      <w:sz w:val="21"/>
                      <w:szCs w:val="21"/>
                    </w:rPr>
                  </w:pPr>
                </w:p>
              </w:tc>
              <w:tc>
                <w:tcPr>
                  <w:tcW w:w="1114" w:type="dxa"/>
                  <w:vMerge w:val="continue"/>
                  <w:vAlign w:val="center"/>
                </w:tcPr>
                <w:p w14:paraId="71EA100D">
                  <w:pPr>
                    <w:adjustRightInd w:val="0"/>
                    <w:snapToGrid w:val="0"/>
                    <w:spacing w:line="240" w:lineRule="auto"/>
                    <w:ind w:firstLine="0" w:firstLineChars="0"/>
                    <w:jc w:val="center"/>
                    <w:rPr>
                      <w:sz w:val="21"/>
                      <w:szCs w:val="21"/>
                    </w:rPr>
                  </w:pPr>
                </w:p>
              </w:tc>
              <w:tc>
                <w:tcPr>
                  <w:tcW w:w="5528" w:type="dxa"/>
                  <w:vAlign w:val="center"/>
                </w:tcPr>
                <w:p w14:paraId="734A5A03">
                  <w:pPr>
                    <w:adjustRightInd w:val="0"/>
                    <w:snapToGrid w:val="0"/>
                    <w:spacing w:line="240" w:lineRule="auto"/>
                    <w:ind w:firstLine="0" w:firstLineChars="0"/>
                    <w:rPr>
                      <w:sz w:val="21"/>
                      <w:szCs w:val="21"/>
                    </w:rPr>
                  </w:pPr>
                  <w:r>
                    <w:rPr>
                      <w:rFonts w:hint="eastAsia"/>
                      <w:sz w:val="21"/>
                      <w:szCs w:val="21"/>
                    </w:rPr>
                    <w:t>（2）在各企业设置环境风险事故应急池的基础上，应设置足够容积的区域级公共环境风险事故应急池</w:t>
                  </w:r>
                </w:p>
              </w:tc>
              <w:tc>
                <w:tcPr>
                  <w:tcW w:w="4394" w:type="dxa"/>
                  <w:vAlign w:val="center"/>
                </w:tcPr>
                <w:p w14:paraId="43370099">
                  <w:pPr>
                    <w:adjustRightInd w:val="0"/>
                    <w:snapToGrid w:val="0"/>
                    <w:spacing w:line="240" w:lineRule="auto"/>
                    <w:ind w:firstLine="0" w:firstLineChars="0"/>
                    <w:rPr>
                      <w:sz w:val="21"/>
                      <w:szCs w:val="21"/>
                    </w:rPr>
                  </w:pPr>
                  <w:r>
                    <w:rPr>
                      <w:sz w:val="21"/>
                      <w:szCs w:val="21"/>
                    </w:rPr>
                    <w:t>园区</w:t>
                  </w:r>
                  <w:r>
                    <w:rPr>
                      <w:rFonts w:hint="eastAsia"/>
                      <w:sz w:val="21"/>
                      <w:szCs w:val="21"/>
                    </w:rPr>
                    <w:t>已建有1个5万m³公共应急池及其切换装置、管道。</w:t>
                  </w:r>
                </w:p>
              </w:tc>
              <w:tc>
                <w:tcPr>
                  <w:tcW w:w="958" w:type="dxa"/>
                  <w:vMerge w:val="continue"/>
                  <w:vAlign w:val="center"/>
                </w:tcPr>
                <w:p w14:paraId="31098009">
                  <w:pPr>
                    <w:adjustRightInd w:val="0"/>
                    <w:snapToGrid w:val="0"/>
                    <w:spacing w:line="240" w:lineRule="auto"/>
                    <w:ind w:firstLine="0" w:firstLineChars="0"/>
                    <w:jc w:val="center"/>
                    <w:rPr>
                      <w:sz w:val="21"/>
                      <w:szCs w:val="21"/>
                    </w:rPr>
                  </w:pPr>
                </w:p>
              </w:tc>
            </w:tr>
            <w:tr w14:paraId="69A1F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45" w:type="dxa"/>
                  <w:vMerge w:val="continue"/>
                  <w:vAlign w:val="center"/>
                </w:tcPr>
                <w:p w14:paraId="16642E56">
                  <w:pPr>
                    <w:adjustRightInd w:val="0"/>
                    <w:snapToGrid w:val="0"/>
                    <w:spacing w:line="240" w:lineRule="auto"/>
                    <w:ind w:firstLine="0" w:firstLineChars="0"/>
                    <w:jc w:val="center"/>
                    <w:rPr>
                      <w:sz w:val="21"/>
                      <w:szCs w:val="21"/>
                    </w:rPr>
                  </w:pPr>
                </w:p>
              </w:tc>
              <w:tc>
                <w:tcPr>
                  <w:tcW w:w="821" w:type="dxa"/>
                  <w:vMerge w:val="continue"/>
                  <w:vAlign w:val="center"/>
                </w:tcPr>
                <w:p w14:paraId="1B81147A">
                  <w:pPr>
                    <w:adjustRightInd w:val="0"/>
                    <w:snapToGrid w:val="0"/>
                    <w:spacing w:line="240" w:lineRule="auto"/>
                    <w:ind w:firstLine="0" w:firstLineChars="0"/>
                    <w:jc w:val="center"/>
                    <w:rPr>
                      <w:sz w:val="21"/>
                      <w:szCs w:val="21"/>
                    </w:rPr>
                  </w:pPr>
                </w:p>
              </w:tc>
              <w:tc>
                <w:tcPr>
                  <w:tcW w:w="1114" w:type="dxa"/>
                  <w:vMerge w:val="continue"/>
                  <w:vAlign w:val="center"/>
                </w:tcPr>
                <w:p w14:paraId="78DEE717">
                  <w:pPr>
                    <w:adjustRightInd w:val="0"/>
                    <w:snapToGrid w:val="0"/>
                    <w:spacing w:line="240" w:lineRule="auto"/>
                    <w:ind w:firstLine="0" w:firstLineChars="0"/>
                    <w:jc w:val="center"/>
                    <w:rPr>
                      <w:sz w:val="21"/>
                      <w:szCs w:val="21"/>
                    </w:rPr>
                  </w:pPr>
                </w:p>
              </w:tc>
              <w:tc>
                <w:tcPr>
                  <w:tcW w:w="5528" w:type="dxa"/>
                  <w:vAlign w:val="center"/>
                </w:tcPr>
                <w:p w14:paraId="32147E98">
                  <w:pPr>
                    <w:adjustRightInd w:val="0"/>
                    <w:snapToGrid w:val="0"/>
                    <w:spacing w:line="240" w:lineRule="auto"/>
                    <w:ind w:firstLine="0" w:firstLineChars="0"/>
                    <w:rPr>
                      <w:sz w:val="21"/>
                      <w:szCs w:val="21"/>
                    </w:rPr>
                  </w:pPr>
                  <w:r>
                    <w:rPr>
                      <w:rFonts w:hint="eastAsia"/>
                      <w:sz w:val="21"/>
                      <w:szCs w:val="21"/>
                    </w:rPr>
                    <w:t>（3）应急池的设置应综合考虑危险品作业区内企业的危化品储用量、雨水和消防水量，选择在地势低的地方设置，确保事故水可以通过重力自流到应急池中，同时配套有效的拦截、降污、导流等设施</w:t>
                  </w:r>
                </w:p>
              </w:tc>
              <w:tc>
                <w:tcPr>
                  <w:tcW w:w="4394" w:type="dxa"/>
                  <w:vAlign w:val="center"/>
                </w:tcPr>
                <w:p w14:paraId="199E1051">
                  <w:pPr>
                    <w:adjustRightInd w:val="0"/>
                    <w:snapToGrid w:val="0"/>
                    <w:spacing w:line="240" w:lineRule="auto"/>
                    <w:ind w:firstLine="0" w:firstLineChars="0"/>
                    <w:rPr>
                      <w:sz w:val="21"/>
                      <w:szCs w:val="21"/>
                    </w:rPr>
                  </w:pPr>
                  <w:r>
                    <w:rPr>
                      <w:rFonts w:hint="eastAsia"/>
                      <w:sz w:val="21"/>
                      <w:szCs w:val="21"/>
                    </w:rPr>
                    <w:t>事故应急池为</w:t>
                  </w:r>
                  <w:r>
                    <w:rPr>
                      <w:sz w:val="21"/>
                      <w:szCs w:val="21"/>
                    </w:rPr>
                    <w:t>自流式事故应急池</w:t>
                  </w:r>
                  <w:r>
                    <w:rPr>
                      <w:rFonts w:hint="eastAsia"/>
                      <w:sz w:val="21"/>
                      <w:szCs w:val="21"/>
                    </w:rPr>
                    <w:t>，</w:t>
                  </w:r>
                  <w:r>
                    <w:rPr>
                      <w:sz w:val="21"/>
                      <w:szCs w:val="21"/>
                    </w:rPr>
                    <w:t>确保</w:t>
                  </w:r>
                  <w:r>
                    <w:rPr>
                      <w:rFonts w:hint="eastAsia"/>
                      <w:sz w:val="21"/>
                      <w:szCs w:val="21"/>
                    </w:rPr>
                    <w:t>码头罐区的收集泄漏物、洗消水和被污染的雨水等事故废水能够</w:t>
                  </w:r>
                  <w:r>
                    <w:rPr>
                      <w:sz w:val="21"/>
                      <w:szCs w:val="21"/>
                    </w:rPr>
                    <w:t>全收集、全处理。</w:t>
                  </w:r>
                </w:p>
              </w:tc>
              <w:tc>
                <w:tcPr>
                  <w:tcW w:w="958" w:type="dxa"/>
                  <w:vMerge w:val="continue"/>
                  <w:vAlign w:val="center"/>
                </w:tcPr>
                <w:p w14:paraId="6CCB14B8">
                  <w:pPr>
                    <w:adjustRightInd w:val="0"/>
                    <w:snapToGrid w:val="0"/>
                    <w:spacing w:line="240" w:lineRule="auto"/>
                    <w:ind w:firstLine="0" w:firstLineChars="0"/>
                    <w:jc w:val="center"/>
                    <w:rPr>
                      <w:sz w:val="21"/>
                      <w:szCs w:val="21"/>
                    </w:rPr>
                  </w:pPr>
                </w:p>
              </w:tc>
            </w:tr>
            <w:tr w14:paraId="7CAE4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45" w:type="dxa"/>
                  <w:vMerge w:val="continue"/>
                  <w:vAlign w:val="center"/>
                </w:tcPr>
                <w:p w14:paraId="4DD691BB">
                  <w:pPr>
                    <w:adjustRightInd w:val="0"/>
                    <w:snapToGrid w:val="0"/>
                    <w:spacing w:line="240" w:lineRule="auto"/>
                    <w:ind w:firstLine="0" w:firstLineChars="0"/>
                    <w:jc w:val="center"/>
                    <w:rPr>
                      <w:sz w:val="21"/>
                      <w:szCs w:val="21"/>
                    </w:rPr>
                  </w:pPr>
                </w:p>
              </w:tc>
              <w:tc>
                <w:tcPr>
                  <w:tcW w:w="821" w:type="dxa"/>
                  <w:vMerge w:val="continue"/>
                  <w:vAlign w:val="center"/>
                </w:tcPr>
                <w:p w14:paraId="26D865DF">
                  <w:pPr>
                    <w:adjustRightInd w:val="0"/>
                    <w:snapToGrid w:val="0"/>
                    <w:spacing w:line="240" w:lineRule="auto"/>
                    <w:ind w:firstLine="0" w:firstLineChars="0"/>
                    <w:jc w:val="center"/>
                    <w:rPr>
                      <w:sz w:val="21"/>
                      <w:szCs w:val="21"/>
                    </w:rPr>
                  </w:pPr>
                </w:p>
              </w:tc>
              <w:tc>
                <w:tcPr>
                  <w:tcW w:w="1114" w:type="dxa"/>
                  <w:vMerge w:val="continue"/>
                  <w:vAlign w:val="center"/>
                </w:tcPr>
                <w:p w14:paraId="5F7CAB86">
                  <w:pPr>
                    <w:adjustRightInd w:val="0"/>
                    <w:snapToGrid w:val="0"/>
                    <w:spacing w:line="240" w:lineRule="auto"/>
                    <w:ind w:firstLine="0" w:firstLineChars="0"/>
                    <w:jc w:val="center"/>
                    <w:rPr>
                      <w:sz w:val="21"/>
                      <w:szCs w:val="21"/>
                    </w:rPr>
                  </w:pPr>
                </w:p>
              </w:tc>
              <w:tc>
                <w:tcPr>
                  <w:tcW w:w="5528" w:type="dxa"/>
                  <w:vAlign w:val="center"/>
                </w:tcPr>
                <w:p w14:paraId="223891F7">
                  <w:pPr>
                    <w:adjustRightInd w:val="0"/>
                    <w:snapToGrid w:val="0"/>
                    <w:spacing w:line="240" w:lineRule="auto"/>
                    <w:ind w:firstLine="0" w:firstLineChars="0"/>
                    <w:rPr>
                      <w:sz w:val="21"/>
                      <w:szCs w:val="21"/>
                    </w:rPr>
                  </w:pPr>
                  <w:r>
                    <w:rPr>
                      <w:rFonts w:hint="eastAsia"/>
                      <w:sz w:val="21"/>
                      <w:szCs w:val="21"/>
                    </w:rPr>
                    <w:t>（4）建立石化基地的环境风险三级防控体系，防止事故水进入外环境。</w:t>
                  </w:r>
                </w:p>
              </w:tc>
              <w:tc>
                <w:tcPr>
                  <w:tcW w:w="4394" w:type="dxa"/>
                  <w:vAlign w:val="center"/>
                </w:tcPr>
                <w:p w14:paraId="23A816A8">
                  <w:pPr>
                    <w:adjustRightInd w:val="0"/>
                    <w:snapToGrid w:val="0"/>
                    <w:spacing w:line="240" w:lineRule="auto"/>
                    <w:ind w:firstLine="0" w:firstLineChars="0"/>
                    <w:rPr>
                      <w:sz w:val="21"/>
                      <w:szCs w:val="21"/>
                    </w:rPr>
                  </w:pPr>
                  <w:r>
                    <w:rPr>
                      <w:rFonts w:hint="eastAsia"/>
                      <w:sz w:val="21"/>
                      <w:szCs w:val="21"/>
                    </w:rPr>
                    <w:t>扩建项目</w:t>
                  </w:r>
                  <w:r>
                    <w:rPr>
                      <w:sz w:val="21"/>
                      <w:szCs w:val="21"/>
                    </w:rPr>
                    <w:t>建设事故废水</w:t>
                  </w:r>
                  <w:r>
                    <w:rPr>
                      <w:rFonts w:hint="eastAsia"/>
                      <w:sz w:val="21"/>
                      <w:szCs w:val="21"/>
                    </w:rPr>
                    <w:t>设置“单元-厂区-园区/区域”的环境风险防控体系</w:t>
                  </w:r>
                  <w:r>
                    <w:rPr>
                      <w:sz w:val="21"/>
                      <w:szCs w:val="21"/>
                    </w:rPr>
                    <w:t>，确保有效拦截、降污和导流。</w:t>
                  </w:r>
                </w:p>
              </w:tc>
              <w:tc>
                <w:tcPr>
                  <w:tcW w:w="958" w:type="dxa"/>
                  <w:vMerge w:val="continue"/>
                  <w:vAlign w:val="center"/>
                </w:tcPr>
                <w:p w14:paraId="286B4242">
                  <w:pPr>
                    <w:adjustRightInd w:val="0"/>
                    <w:snapToGrid w:val="0"/>
                    <w:spacing w:line="240" w:lineRule="auto"/>
                    <w:ind w:firstLine="0" w:firstLineChars="0"/>
                    <w:jc w:val="center"/>
                    <w:rPr>
                      <w:sz w:val="21"/>
                      <w:szCs w:val="21"/>
                    </w:rPr>
                  </w:pPr>
                </w:p>
              </w:tc>
            </w:tr>
            <w:tr w14:paraId="487F3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45" w:type="dxa"/>
                  <w:vMerge w:val="continue"/>
                  <w:vAlign w:val="center"/>
                </w:tcPr>
                <w:p w14:paraId="34FAF78D">
                  <w:pPr>
                    <w:adjustRightInd w:val="0"/>
                    <w:snapToGrid w:val="0"/>
                    <w:spacing w:line="240" w:lineRule="auto"/>
                    <w:ind w:firstLine="0" w:firstLineChars="0"/>
                    <w:jc w:val="center"/>
                    <w:rPr>
                      <w:sz w:val="21"/>
                      <w:szCs w:val="21"/>
                    </w:rPr>
                  </w:pPr>
                </w:p>
              </w:tc>
              <w:tc>
                <w:tcPr>
                  <w:tcW w:w="821" w:type="dxa"/>
                  <w:vMerge w:val="continue"/>
                  <w:vAlign w:val="center"/>
                </w:tcPr>
                <w:p w14:paraId="6B357C61">
                  <w:pPr>
                    <w:adjustRightInd w:val="0"/>
                    <w:snapToGrid w:val="0"/>
                    <w:spacing w:line="240" w:lineRule="auto"/>
                    <w:ind w:firstLine="0" w:firstLineChars="0"/>
                    <w:jc w:val="center"/>
                    <w:rPr>
                      <w:sz w:val="21"/>
                      <w:szCs w:val="21"/>
                    </w:rPr>
                  </w:pPr>
                </w:p>
              </w:tc>
              <w:tc>
                <w:tcPr>
                  <w:tcW w:w="1114" w:type="dxa"/>
                  <w:vMerge w:val="restart"/>
                  <w:vAlign w:val="center"/>
                </w:tcPr>
                <w:p w14:paraId="7948CDDB">
                  <w:pPr>
                    <w:adjustRightInd w:val="0"/>
                    <w:snapToGrid w:val="0"/>
                    <w:spacing w:line="240" w:lineRule="auto"/>
                    <w:ind w:firstLine="0" w:firstLineChars="0"/>
                    <w:jc w:val="center"/>
                    <w:rPr>
                      <w:sz w:val="21"/>
                      <w:szCs w:val="21"/>
                    </w:rPr>
                  </w:pPr>
                  <w:r>
                    <w:rPr>
                      <w:rFonts w:hint="eastAsia"/>
                      <w:sz w:val="21"/>
                      <w:szCs w:val="21"/>
                    </w:rPr>
                    <w:t>加强区域</w:t>
                  </w:r>
                </w:p>
                <w:p w14:paraId="4E69DBB4">
                  <w:pPr>
                    <w:adjustRightInd w:val="0"/>
                    <w:snapToGrid w:val="0"/>
                    <w:spacing w:line="240" w:lineRule="auto"/>
                    <w:ind w:firstLine="0" w:firstLineChars="0"/>
                    <w:jc w:val="center"/>
                    <w:rPr>
                      <w:sz w:val="21"/>
                      <w:szCs w:val="21"/>
                    </w:rPr>
                  </w:pPr>
                  <w:r>
                    <w:rPr>
                      <w:rFonts w:hint="eastAsia"/>
                      <w:sz w:val="21"/>
                      <w:szCs w:val="21"/>
                    </w:rPr>
                    <w:t>环境风险</w:t>
                  </w:r>
                </w:p>
                <w:p w14:paraId="407BEA23">
                  <w:pPr>
                    <w:adjustRightInd w:val="0"/>
                    <w:snapToGrid w:val="0"/>
                    <w:spacing w:line="240" w:lineRule="auto"/>
                    <w:ind w:firstLine="0" w:firstLineChars="0"/>
                    <w:jc w:val="center"/>
                    <w:rPr>
                      <w:sz w:val="21"/>
                      <w:szCs w:val="21"/>
                    </w:rPr>
                  </w:pPr>
                  <w:r>
                    <w:rPr>
                      <w:rFonts w:hint="eastAsia"/>
                      <w:sz w:val="21"/>
                      <w:szCs w:val="21"/>
                    </w:rPr>
                    <w:t>应急体系</w:t>
                  </w:r>
                </w:p>
                <w:p w14:paraId="29EA8A48">
                  <w:pPr>
                    <w:adjustRightInd w:val="0"/>
                    <w:snapToGrid w:val="0"/>
                    <w:spacing w:line="240" w:lineRule="auto"/>
                    <w:ind w:firstLine="0" w:firstLineChars="0"/>
                    <w:jc w:val="center"/>
                    <w:rPr>
                      <w:sz w:val="21"/>
                      <w:szCs w:val="21"/>
                    </w:rPr>
                  </w:pPr>
                  <w:r>
                    <w:rPr>
                      <w:rFonts w:hint="eastAsia"/>
                      <w:sz w:val="21"/>
                      <w:szCs w:val="21"/>
                    </w:rPr>
                    <w:t>构建</w:t>
                  </w:r>
                </w:p>
              </w:tc>
              <w:tc>
                <w:tcPr>
                  <w:tcW w:w="5528" w:type="dxa"/>
                  <w:vAlign w:val="center"/>
                </w:tcPr>
                <w:p w14:paraId="39857425">
                  <w:pPr>
                    <w:adjustRightInd w:val="0"/>
                    <w:snapToGrid w:val="0"/>
                    <w:spacing w:line="240" w:lineRule="auto"/>
                    <w:ind w:firstLine="0" w:firstLineChars="0"/>
                    <w:rPr>
                      <w:sz w:val="21"/>
                      <w:szCs w:val="21"/>
                    </w:rPr>
                  </w:pPr>
                  <w:r>
                    <w:rPr>
                      <w:rFonts w:hint="eastAsia"/>
                      <w:sz w:val="21"/>
                      <w:szCs w:val="21"/>
                    </w:rPr>
                    <w:t>（1）按照“企业自救、属地为主、分级响应、区域联动”的原则，加强区域环境风险管理</w:t>
                  </w:r>
                </w:p>
              </w:tc>
              <w:tc>
                <w:tcPr>
                  <w:tcW w:w="4394" w:type="dxa"/>
                  <w:vAlign w:val="center"/>
                </w:tcPr>
                <w:p w14:paraId="0FB27B01">
                  <w:pPr>
                    <w:adjustRightInd w:val="0"/>
                    <w:snapToGrid w:val="0"/>
                    <w:spacing w:line="240" w:lineRule="auto"/>
                    <w:ind w:firstLine="0" w:firstLineChars="0"/>
                    <w:rPr>
                      <w:sz w:val="21"/>
                      <w:szCs w:val="21"/>
                    </w:rPr>
                  </w:pPr>
                  <w:r>
                    <w:rPr>
                      <w:rFonts w:hint="eastAsia"/>
                      <w:sz w:val="21"/>
                      <w:szCs w:val="21"/>
                    </w:rPr>
                    <w:t>扩建项目拟修订环境风险事故应急预案，按照“企业自救、属地为主、分级响应、区域联动”的原则，加强区域环境风险管理</w:t>
                  </w:r>
                </w:p>
              </w:tc>
              <w:tc>
                <w:tcPr>
                  <w:tcW w:w="958" w:type="dxa"/>
                  <w:vMerge w:val="restart"/>
                  <w:vAlign w:val="center"/>
                </w:tcPr>
                <w:p w14:paraId="1AEC5698">
                  <w:pPr>
                    <w:adjustRightInd w:val="0"/>
                    <w:snapToGrid w:val="0"/>
                    <w:spacing w:line="240" w:lineRule="auto"/>
                    <w:ind w:firstLine="0" w:firstLineChars="0"/>
                    <w:jc w:val="center"/>
                    <w:rPr>
                      <w:sz w:val="21"/>
                      <w:szCs w:val="21"/>
                    </w:rPr>
                  </w:pPr>
                  <w:r>
                    <w:rPr>
                      <w:rFonts w:hint="eastAsia"/>
                      <w:sz w:val="21"/>
                      <w:szCs w:val="21"/>
                    </w:rPr>
                    <w:t>符合</w:t>
                  </w:r>
                </w:p>
              </w:tc>
            </w:tr>
            <w:tr w14:paraId="18751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45" w:type="dxa"/>
                  <w:vMerge w:val="continue"/>
                  <w:vAlign w:val="center"/>
                </w:tcPr>
                <w:p w14:paraId="7B99DD08">
                  <w:pPr>
                    <w:adjustRightInd w:val="0"/>
                    <w:snapToGrid w:val="0"/>
                    <w:spacing w:line="240" w:lineRule="auto"/>
                    <w:ind w:firstLine="0" w:firstLineChars="0"/>
                    <w:jc w:val="center"/>
                    <w:rPr>
                      <w:sz w:val="21"/>
                      <w:szCs w:val="21"/>
                    </w:rPr>
                  </w:pPr>
                </w:p>
              </w:tc>
              <w:tc>
                <w:tcPr>
                  <w:tcW w:w="821" w:type="dxa"/>
                  <w:vMerge w:val="continue"/>
                  <w:vAlign w:val="center"/>
                </w:tcPr>
                <w:p w14:paraId="0B82604C">
                  <w:pPr>
                    <w:adjustRightInd w:val="0"/>
                    <w:snapToGrid w:val="0"/>
                    <w:spacing w:line="240" w:lineRule="auto"/>
                    <w:ind w:firstLine="0" w:firstLineChars="0"/>
                    <w:jc w:val="center"/>
                    <w:rPr>
                      <w:sz w:val="21"/>
                      <w:szCs w:val="21"/>
                    </w:rPr>
                  </w:pPr>
                </w:p>
              </w:tc>
              <w:tc>
                <w:tcPr>
                  <w:tcW w:w="1114" w:type="dxa"/>
                  <w:vMerge w:val="continue"/>
                  <w:vAlign w:val="center"/>
                </w:tcPr>
                <w:p w14:paraId="4A3BEFF7">
                  <w:pPr>
                    <w:adjustRightInd w:val="0"/>
                    <w:snapToGrid w:val="0"/>
                    <w:spacing w:line="240" w:lineRule="auto"/>
                    <w:ind w:firstLine="0" w:firstLineChars="0"/>
                    <w:jc w:val="center"/>
                    <w:rPr>
                      <w:sz w:val="21"/>
                      <w:szCs w:val="21"/>
                    </w:rPr>
                  </w:pPr>
                </w:p>
              </w:tc>
              <w:tc>
                <w:tcPr>
                  <w:tcW w:w="5528" w:type="dxa"/>
                  <w:vAlign w:val="center"/>
                </w:tcPr>
                <w:p w14:paraId="6723B5D0">
                  <w:pPr>
                    <w:adjustRightInd w:val="0"/>
                    <w:snapToGrid w:val="0"/>
                    <w:spacing w:line="240" w:lineRule="auto"/>
                    <w:ind w:firstLine="0" w:firstLineChars="0"/>
                    <w:rPr>
                      <w:sz w:val="21"/>
                      <w:szCs w:val="21"/>
                    </w:rPr>
                  </w:pPr>
                  <w:r>
                    <w:rPr>
                      <w:rFonts w:hint="eastAsia"/>
                      <w:sz w:val="21"/>
                      <w:szCs w:val="21"/>
                    </w:rPr>
                    <w:t>（2）建立多部门联动的综合预警和应急机制，制定突发性污染事故应急预案处理措施</w:t>
                  </w:r>
                </w:p>
              </w:tc>
              <w:tc>
                <w:tcPr>
                  <w:tcW w:w="4394" w:type="dxa"/>
                  <w:vAlign w:val="center"/>
                </w:tcPr>
                <w:p w14:paraId="7A104E65">
                  <w:pPr>
                    <w:adjustRightInd w:val="0"/>
                    <w:snapToGrid w:val="0"/>
                    <w:spacing w:line="240" w:lineRule="auto"/>
                    <w:ind w:firstLine="0" w:firstLineChars="0"/>
                    <w:rPr>
                      <w:sz w:val="21"/>
                      <w:szCs w:val="21"/>
                    </w:rPr>
                  </w:pPr>
                  <w:r>
                    <w:rPr>
                      <w:rFonts w:hint="eastAsia"/>
                      <w:sz w:val="21"/>
                      <w:szCs w:val="21"/>
                    </w:rPr>
                    <w:t>扩建项目拟修订环境风险事故应急预案，并与港区和当地政府应急管理体系相衔接。</w:t>
                  </w:r>
                </w:p>
                <w:p w14:paraId="67156E4F">
                  <w:pPr>
                    <w:adjustRightInd w:val="0"/>
                    <w:snapToGrid w:val="0"/>
                    <w:spacing w:line="240" w:lineRule="auto"/>
                    <w:ind w:firstLine="0" w:firstLineChars="0"/>
                    <w:rPr>
                      <w:sz w:val="21"/>
                      <w:szCs w:val="21"/>
                    </w:rPr>
                  </w:pPr>
                  <w:r>
                    <w:rPr>
                      <w:rFonts w:hint="eastAsia"/>
                      <w:sz w:val="21"/>
                      <w:szCs w:val="21"/>
                    </w:rPr>
                    <w:t>公司已与临近的福建闽海能源有限公司、福建中远海运化工码头有限公司、福州中民新能源有限公司、万华化学（福建）码头有限公司签订应急联动协议，共同抵御事故风险以及应急物资共享。</w:t>
                  </w:r>
                </w:p>
              </w:tc>
              <w:tc>
                <w:tcPr>
                  <w:tcW w:w="958" w:type="dxa"/>
                  <w:vMerge w:val="continue"/>
                  <w:vAlign w:val="center"/>
                </w:tcPr>
                <w:p w14:paraId="43CAA84C">
                  <w:pPr>
                    <w:adjustRightInd w:val="0"/>
                    <w:snapToGrid w:val="0"/>
                    <w:spacing w:line="240" w:lineRule="auto"/>
                    <w:ind w:firstLine="0" w:firstLineChars="0"/>
                    <w:jc w:val="center"/>
                    <w:rPr>
                      <w:sz w:val="21"/>
                      <w:szCs w:val="21"/>
                    </w:rPr>
                  </w:pPr>
                </w:p>
              </w:tc>
            </w:tr>
            <w:tr w14:paraId="2B353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45" w:type="dxa"/>
                  <w:vMerge w:val="continue"/>
                  <w:vAlign w:val="center"/>
                </w:tcPr>
                <w:p w14:paraId="6A5A7B82">
                  <w:pPr>
                    <w:adjustRightInd w:val="0"/>
                    <w:snapToGrid w:val="0"/>
                    <w:spacing w:line="240" w:lineRule="auto"/>
                    <w:ind w:firstLine="0" w:firstLineChars="0"/>
                    <w:jc w:val="center"/>
                    <w:rPr>
                      <w:sz w:val="21"/>
                      <w:szCs w:val="21"/>
                    </w:rPr>
                  </w:pPr>
                </w:p>
              </w:tc>
              <w:tc>
                <w:tcPr>
                  <w:tcW w:w="821" w:type="dxa"/>
                  <w:vMerge w:val="continue"/>
                  <w:vAlign w:val="center"/>
                </w:tcPr>
                <w:p w14:paraId="6648723A">
                  <w:pPr>
                    <w:adjustRightInd w:val="0"/>
                    <w:snapToGrid w:val="0"/>
                    <w:spacing w:line="240" w:lineRule="auto"/>
                    <w:ind w:firstLine="0" w:firstLineChars="0"/>
                    <w:jc w:val="center"/>
                    <w:rPr>
                      <w:sz w:val="21"/>
                      <w:szCs w:val="21"/>
                    </w:rPr>
                  </w:pPr>
                </w:p>
              </w:tc>
              <w:tc>
                <w:tcPr>
                  <w:tcW w:w="1114" w:type="dxa"/>
                  <w:vMerge w:val="continue"/>
                  <w:vAlign w:val="center"/>
                </w:tcPr>
                <w:p w14:paraId="261CBF13">
                  <w:pPr>
                    <w:adjustRightInd w:val="0"/>
                    <w:snapToGrid w:val="0"/>
                    <w:spacing w:line="240" w:lineRule="auto"/>
                    <w:ind w:firstLine="0" w:firstLineChars="0"/>
                    <w:jc w:val="center"/>
                    <w:rPr>
                      <w:sz w:val="21"/>
                      <w:szCs w:val="21"/>
                    </w:rPr>
                  </w:pPr>
                </w:p>
              </w:tc>
              <w:tc>
                <w:tcPr>
                  <w:tcW w:w="5528" w:type="dxa"/>
                  <w:vAlign w:val="center"/>
                </w:tcPr>
                <w:p w14:paraId="3E0005C0">
                  <w:pPr>
                    <w:adjustRightInd w:val="0"/>
                    <w:snapToGrid w:val="0"/>
                    <w:spacing w:line="240" w:lineRule="auto"/>
                    <w:ind w:firstLine="0" w:firstLineChars="0"/>
                    <w:rPr>
                      <w:sz w:val="21"/>
                      <w:szCs w:val="21"/>
                    </w:rPr>
                  </w:pPr>
                  <w:r>
                    <w:rPr>
                      <w:rFonts w:hint="eastAsia"/>
                      <w:sz w:val="21"/>
                      <w:szCs w:val="21"/>
                    </w:rPr>
                    <w:t>（3）建设环境污染事故应急队伍，提高区域突发事故的应急响应能力，最大限度降低突发事故的环境影响和污染损害</w:t>
                  </w:r>
                </w:p>
              </w:tc>
              <w:tc>
                <w:tcPr>
                  <w:tcW w:w="4394" w:type="dxa"/>
                  <w:vAlign w:val="center"/>
                </w:tcPr>
                <w:p w14:paraId="045AD3E6">
                  <w:pPr>
                    <w:pStyle w:val="139"/>
                    <w:adjustRightInd w:val="0"/>
                    <w:spacing w:line="240" w:lineRule="auto"/>
                    <w:ind w:firstLine="0" w:firstLineChars="0"/>
                    <w:rPr>
                      <w:sz w:val="21"/>
                      <w:szCs w:val="21"/>
                      <w:lang w:val="en-US" w:eastAsia="zh-CN"/>
                    </w:rPr>
                  </w:pPr>
                  <w:r>
                    <w:rPr>
                      <w:rFonts w:hint="eastAsia"/>
                      <w:sz w:val="21"/>
                      <w:szCs w:val="21"/>
                      <w:lang w:val="en-US" w:eastAsia="zh-CN"/>
                    </w:rPr>
                    <w:t>公司已</w:t>
                  </w:r>
                  <w:r>
                    <w:rPr>
                      <w:sz w:val="21"/>
                      <w:szCs w:val="21"/>
                      <w:lang w:val="en-US" w:eastAsia="zh-CN"/>
                    </w:rPr>
                    <w:t>成立突发应急指挥中心，</w:t>
                  </w:r>
                  <w:r>
                    <w:rPr>
                      <w:rFonts w:hint="eastAsia"/>
                      <w:sz w:val="21"/>
                      <w:szCs w:val="21"/>
                      <w:lang w:val="en-US" w:eastAsia="zh-CN"/>
                    </w:rPr>
                    <w:t>并建立</w:t>
                  </w:r>
                  <w:r>
                    <w:rPr>
                      <w:sz w:val="21"/>
                      <w:szCs w:val="21"/>
                      <w:lang w:val="en-US" w:eastAsia="zh-CN"/>
                    </w:rPr>
                    <w:t>环境应急组织</w:t>
                  </w:r>
                  <w:r>
                    <w:rPr>
                      <w:rFonts w:hint="eastAsia"/>
                      <w:sz w:val="21"/>
                      <w:szCs w:val="21"/>
                      <w:lang w:val="en-US" w:eastAsia="zh-CN"/>
                    </w:rPr>
                    <w:t>机构，提高区域突发事故的应急响应能力。</w:t>
                  </w:r>
                </w:p>
              </w:tc>
              <w:tc>
                <w:tcPr>
                  <w:tcW w:w="958" w:type="dxa"/>
                  <w:vMerge w:val="continue"/>
                  <w:vAlign w:val="center"/>
                </w:tcPr>
                <w:p w14:paraId="537D00ED">
                  <w:pPr>
                    <w:adjustRightInd w:val="0"/>
                    <w:snapToGrid w:val="0"/>
                    <w:spacing w:line="240" w:lineRule="auto"/>
                    <w:ind w:firstLine="0" w:firstLineChars="0"/>
                    <w:jc w:val="center"/>
                    <w:rPr>
                      <w:sz w:val="21"/>
                      <w:szCs w:val="21"/>
                    </w:rPr>
                  </w:pPr>
                </w:p>
              </w:tc>
            </w:tr>
            <w:tr w14:paraId="7C187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45" w:type="dxa"/>
                  <w:vMerge w:val="continue"/>
                  <w:vAlign w:val="center"/>
                </w:tcPr>
                <w:p w14:paraId="43521113">
                  <w:pPr>
                    <w:adjustRightInd w:val="0"/>
                    <w:snapToGrid w:val="0"/>
                    <w:spacing w:line="240" w:lineRule="auto"/>
                    <w:ind w:firstLine="0" w:firstLineChars="0"/>
                    <w:jc w:val="center"/>
                    <w:rPr>
                      <w:sz w:val="21"/>
                      <w:szCs w:val="21"/>
                    </w:rPr>
                  </w:pPr>
                </w:p>
              </w:tc>
              <w:tc>
                <w:tcPr>
                  <w:tcW w:w="821" w:type="dxa"/>
                  <w:vMerge w:val="continue"/>
                  <w:vAlign w:val="center"/>
                </w:tcPr>
                <w:p w14:paraId="71CF471D">
                  <w:pPr>
                    <w:adjustRightInd w:val="0"/>
                    <w:snapToGrid w:val="0"/>
                    <w:spacing w:line="240" w:lineRule="auto"/>
                    <w:ind w:firstLine="0" w:firstLineChars="0"/>
                    <w:jc w:val="center"/>
                    <w:rPr>
                      <w:sz w:val="21"/>
                      <w:szCs w:val="21"/>
                    </w:rPr>
                  </w:pPr>
                </w:p>
              </w:tc>
              <w:tc>
                <w:tcPr>
                  <w:tcW w:w="1114" w:type="dxa"/>
                  <w:vMerge w:val="continue"/>
                  <w:vAlign w:val="center"/>
                </w:tcPr>
                <w:p w14:paraId="703BD6D0">
                  <w:pPr>
                    <w:adjustRightInd w:val="0"/>
                    <w:snapToGrid w:val="0"/>
                    <w:spacing w:line="240" w:lineRule="auto"/>
                    <w:ind w:firstLine="0" w:firstLineChars="0"/>
                    <w:jc w:val="center"/>
                    <w:rPr>
                      <w:sz w:val="21"/>
                      <w:szCs w:val="21"/>
                    </w:rPr>
                  </w:pPr>
                </w:p>
              </w:tc>
              <w:tc>
                <w:tcPr>
                  <w:tcW w:w="5528" w:type="dxa"/>
                  <w:vAlign w:val="center"/>
                </w:tcPr>
                <w:p w14:paraId="672EE31A">
                  <w:pPr>
                    <w:adjustRightInd w:val="0"/>
                    <w:snapToGrid w:val="0"/>
                    <w:spacing w:line="240" w:lineRule="auto"/>
                    <w:ind w:firstLine="0" w:firstLineChars="0"/>
                    <w:rPr>
                      <w:sz w:val="21"/>
                      <w:szCs w:val="21"/>
                    </w:rPr>
                  </w:pPr>
                  <w:r>
                    <w:rPr>
                      <w:rFonts w:hint="eastAsia"/>
                      <w:sz w:val="21"/>
                      <w:szCs w:val="21"/>
                    </w:rPr>
                    <w:t>（4）强化应急能力建设，配备充足的应急处置设施和器材</w:t>
                  </w:r>
                </w:p>
              </w:tc>
              <w:tc>
                <w:tcPr>
                  <w:tcW w:w="4394" w:type="dxa"/>
                  <w:vAlign w:val="center"/>
                </w:tcPr>
                <w:p w14:paraId="39BFCFC5">
                  <w:pPr>
                    <w:adjustRightInd w:val="0"/>
                    <w:snapToGrid w:val="0"/>
                    <w:spacing w:line="240" w:lineRule="auto"/>
                    <w:ind w:firstLine="0" w:firstLineChars="0"/>
                    <w:rPr>
                      <w:sz w:val="21"/>
                      <w:szCs w:val="21"/>
                    </w:rPr>
                  </w:pPr>
                  <w:r>
                    <w:rPr>
                      <w:rFonts w:hint="eastAsia"/>
                      <w:sz w:val="21"/>
                      <w:szCs w:val="21"/>
                    </w:rPr>
                    <w:t>强化应急能力建设，扩建项目拟配备充足的应急处置设施和器材</w:t>
                  </w:r>
                </w:p>
              </w:tc>
              <w:tc>
                <w:tcPr>
                  <w:tcW w:w="958" w:type="dxa"/>
                  <w:vMerge w:val="continue"/>
                  <w:vAlign w:val="center"/>
                </w:tcPr>
                <w:p w14:paraId="6F752D8F">
                  <w:pPr>
                    <w:adjustRightInd w:val="0"/>
                    <w:snapToGrid w:val="0"/>
                    <w:spacing w:line="240" w:lineRule="auto"/>
                    <w:ind w:firstLine="0" w:firstLineChars="0"/>
                    <w:jc w:val="center"/>
                    <w:rPr>
                      <w:sz w:val="21"/>
                      <w:szCs w:val="21"/>
                    </w:rPr>
                  </w:pPr>
                </w:p>
              </w:tc>
            </w:tr>
            <w:tr w14:paraId="7CF6E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45" w:type="dxa"/>
                  <w:vMerge w:val="continue"/>
                  <w:vAlign w:val="center"/>
                </w:tcPr>
                <w:p w14:paraId="109A5F4E">
                  <w:pPr>
                    <w:adjustRightInd w:val="0"/>
                    <w:snapToGrid w:val="0"/>
                    <w:spacing w:line="240" w:lineRule="auto"/>
                    <w:ind w:firstLine="0" w:firstLineChars="0"/>
                    <w:jc w:val="center"/>
                    <w:rPr>
                      <w:sz w:val="21"/>
                      <w:szCs w:val="21"/>
                    </w:rPr>
                  </w:pPr>
                </w:p>
              </w:tc>
              <w:tc>
                <w:tcPr>
                  <w:tcW w:w="821" w:type="dxa"/>
                  <w:vMerge w:val="continue"/>
                  <w:vAlign w:val="center"/>
                </w:tcPr>
                <w:p w14:paraId="127271EE">
                  <w:pPr>
                    <w:adjustRightInd w:val="0"/>
                    <w:snapToGrid w:val="0"/>
                    <w:spacing w:line="240" w:lineRule="auto"/>
                    <w:ind w:firstLine="0" w:firstLineChars="0"/>
                    <w:jc w:val="center"/>
                    <w:rPr>
                      <w:sz w:val="21"/>
                      <w:szCs w:val="21"/>
                    </w:rPr>
                  </w:pPr>
                </w:p>
              </w:tc>
              <w:tc>
                <w:tcPr>
                  <w:tcW w:w="1114" w:type="dxa"/>
                  <w:vMerge w:val="continue"/>
                  <w:vAlign w:val="center"/>
                </w:tcPr>
                <w:p w14:paraId="15F6F638">
                  <w:pPr>
                    <w:adjustRightInd w:val="0"/>
                    <w:snapToGrid w:val="0"/>
                    <w:spacing w:line="240" w:lineRule="auto"/>
                    <w:ind w:firstLine="0" w:firstLineChars="0"/>
                    <w:jc w:val="center"/>
                    <w:rPr>
                      <w:sz w:val="21"/>
                      <w:szCs w:val="21"/>
                    </w:rPr>
                  </w:pPr>
                </w:p>
              </w:tc>
              <w:tc>
                <w:tcPr>
                  <w:tcW w:w="5528" w:type="dxa"/>
                  <w:vAlign w:val="center"/>
                </w:tcPr>
                <w:p w14:paraId="65CEBED1">
                  <w:pPr>
                    <w:adjustRightInd w:val="0"/>
                    <w:snapToGrid w:val="0"/>
                    <w:spacing w:line="240" w:lineRule="auto"/>
                    <w:ind w:firstLine="0" w:firstLineChars="0"/>
                    <w:rPr>
                      <w:sz w:val="21"/>
                      <w:szCs w:val="21"/>
                    </w:rPr>
                  </w:pPr>
                  <w:r>
                    <w:rPr>
                      <w:rFonts w:hint="eastAsia"/>
                      <w:sz w:val="21"/>
                      <w:szCs w:val="21"/>
                    </w:rPr>
                    <w:t>（5）危险品集中作业区应配合当地政府建设和完善所在区域环境风险预警体系、环境风险防控工程，环境应急保障体系</w:t>
                  </w:r>
                </w:p>
              </w:tc>
              <w:tc>
                <w:tcPr>
                  <w:tcW w:w="4394" w:type="dxa"/>
                  <w:vAlign w:val="center"/>
                </w:tcPr>
                <w:p w14:paraId="359F0DB7">
                  <w:pPr>
                    <w:adjustRightInd w:val="0"/>
                    <w:snapToGrid w:val="0"/>
                    <w:spacing w:line="240" w:lineRule="auto"/>
                    <w:ind w:firstLine="0" w:firstLineChars="0"/>
                    <w:rPr>
                      <w:sz w:val="21"/>
                      <w:szCs w:val="21"/>
                    </w:rPr>
                  </w:pPr>
                  <w:r>
                    <w:rPr>
                      <w:rFonts w:hint="eastAsia"/>
                      <w:sz w:val="21"/>
                      <w:szCs w:val="21"/>
                    </w:rPr>
                    <w:t>公司拟进一步配合当地政府建设和完善所在区域环境风险预警体系、环境风险防控工程，环境应急保障体系</w:t>
                  </w:r>
                </w:p>
              </w:tc>
              <w:tc>
                <w:tcPr>
                  <w:tcW w:w="958" w:type="dxa"/>
                  <w:vMerge w:val="continue"/>
                  <w:vAlign w:val="center"/>
                </w:tcPr>
                <w:p w14:paraId="232D66B0">
                  <w:pPr>
                    <w:adjustRightInd w:val="0"/>
                    <w:snapToGrid w:val="0"/>
                    <w:spacing w:line="240" w:lineRule="auto"/>
                    <w:ind w:firstLine="0" w:firstLineChars="0"/>
                    <w:jc w:val="center"/>
                    <w:rPr>
                      <w:sz w:val="21"/>
                      <w:szCs w:val="21"/>
                    </w:rPr>
                  </w:pPr>
                </w:p>
              </w:tc>
            </w:tr>
            <w:tr w14:paraId="24A7C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45" w:type="dxa"/>
                  <w:vMerge w:val="continue"/>
                  <w:vAlign w:val="center"/>
                </w:tcPr>
                <w:p w14:paraId="7BF6D110">
                  <w:pPr>
                    <w:adjustRightInd w:val="0"/>
                    <w:snapToGrid w:val="0"/>
                    <w:spacing w:line="240" w:lineRule="auto"/>
                    <w:ind w:firstLine="0" w:firstLineChars="0"/>
                    <w:jc w:val="center"/>
                    <w:rPr>
                      <w:sz w:val="21"/>
                      <w:szCs w:val="21"/>
                    </w:rPr>
                  </w:pPr>
                </w:p>
              </w:tc>
              <w:tc>
                <w:tcPr>
                  <w:tcW w:w="821" w:type="dxa"/>
                  <w:vMerge w:val="continue"/>
                  <w:vAlign w:val="center"/>
                </w:tcPr>
                <w:p w14:paraId="0A9B9238">
                  <w:pPr>
                    <w:adjustRightInd w:val="0"/>
                    <w:snapToGrid w:val="0"/>
                    <w:spacing w:line="240" w:lineRule="auto"/>
                    <w:ind w:firstLine="0" w:firstLineChars="0"/>
                    <w:jc w:val="center"/>
                    <w:rPr>
                      <w:sz w:val="21"/>
                      <w:szCs w:val="21"/>
                    </w:rPr>
                  </w:pPr>
                </w:p>
              </w:tc>
              <w:tc>
                <w:tcPr>
                  <w:tcW w:w="1114" w:type="dxa"/>
                  <w:vMerge w:val="continue"/>
                  <w:vAlign w:val="center"/>
                </w:tcPr>
                <w:p w14:paraId="27AF5938">
                  <w:pPr>
                    <w:adjustRightInd w:val="0"/>
                    <w:snapToGrid w:val="0"/>
                    <w:spacing w:line="240" w:lineRule="auto"/>
                    <w:ind w:firstLine="0" w:firstLineChars="0"/>
                    <w:jc w:val="center"/>
                    <w:rPr>
                      <w:sz w:val="21"/>
                      <w:szCs w:val="21"/>
                    </w:rPr>
                  </w:pPr>
                </w:p>
              </w:tc>
              <w:tc>
                <w:tcPr>
                  <w:tcW w:w="5528" w:type="dxa"/>
                  <w:vAlign w:val="center"/>
                </w:tcPr>
                <w:p w14:paraId="4D03C964">
                  <w:pPr>
                    <w:adjustRightInd w:val="0"/>
                    <w:snapToGrid w:val="0"/>
                    <w:spacing w:line="240" w:lineRule="auto"/>
                    <w:ind w:firstLine="0" w:firstLineChars="0"/>
                    <w:rPr>
                      <w:sz w:val="21"/>
                      <w:szCs w:val="21"/>
                    </w:rPr>
                  </w:pPr>
                  <w:r>
                    <w:rPr>
                      <w:rFonts w:hint="eastAsia"/>
                      <w:sz w:val="21"/>
                      <w:szCs w:val="21"/>
                    </w:rPr>
                    <w:t>（6）环境事件应急预案应与当地政府和相关部门的应急预案相衔接</w:t>
                  </w:r>
                </w:p>
              </w:tc>
              <w:tc>
                <w:tcPr>
                  <w:tcW w:w="4394" w:type="dxa"/>
                  <w:vAlign w:val="center"/>
                </w:tcPr>
                <w:p w14:paraId="7770D801">
                  <w:pPr>
                    <w:adjustRightInd w:val="0"/>
                    <w:snapToGrid w:val="0"/>
                    <w:spacing w:line="240" w:lineRule="auto"/>
                    <w:ind w:firstLine="0" w:firstLineChars="0"/>
                    <w:rPr>
                      <w:sz w:val="21"/>
                      <w:szCs w:val="21"/>
                    </w:rPr>
                  </w:pPr>
                  <w:r>
                    <w:rPr>
                      <w:rFonts w:hint="eastAsia"/>
                      <w:sz w:val="21"/>
                      <w:szCs w:val="21"/>
                    </w:rPr>
                    <w:t>扩建项目拟修订环境风险事故应急预案，并与港区和当地政府应急管理体系相衔接</w:t>
                  </w:r>
                </w:p>
              </w:tc>
              <w:tc>
                <w:tcPr>
                  <w:tcW w:w="958" w:type="dxa"/>
                  <w:vMerge w:val="continue"/>
                  <w:vAlign w:val="center"/>
                </w:tcPr>
                <w:p w14:paraId="5D47EAD9">
                  <w:pPr>
                    <w:adjustRightInd w:val="0"/>
                    <w:snapToGrid w:val="0"/>
                    <w:spacing w:line="240" w:lineRule="auto"/>
                    <w:ind w:firstLine="0" w:firstLineChars="0"/>
                    <w:jc w:val="center"/>
                    <w:rPr>
                      <w:sz w:val="21"/>
                      <w:szCs w:val="21"/>
                    </w:rPr>
                  </w:pPr>
                </w:p>
              </w:tc>
            </w:tr>
          </w:tbl>
          <w:p w14:paraId="381D9ECB">
            <w:pPr>
              <w:snapToGrid w:val="0"/>
              <w:ind w:firstLine="482"/>
            </w:pPr>
            <w:r>
              <w:rPr>
                <w:b/>
              </w:rPr>
              <w:t>2、《福州江阴港城总体规划（2018-2035年）环境影响报告书》</w:t>
            </w:r>
            <w:r>
              <w:rPr>
                <w:rFonts w:hint="eastAsia"/>
                <w:b/>
              </w:rPr>
              <w:t>符合性分析</w:t>
            </w:r>
          </w:p>
          <w:p w14:paraId="1DB5C3A1">
            <w:pPr>
              <w:snapToGrid w:val="0"/>
              <w:ind w:firstLine="480"/>
            </w:pPr>
            <w:r>
              <w:t>规划江阴港城重点引导形成8个产业园区，分别为滨海商务休闲区、现代服务业集聚区、商贸物流区、新厝先进制造业基地、月亮湾先进制造业基地、东部临港产业区、西部临港产业区和港口运输物流仓储区，分别承担城市的临港化工产业、现代商贸物流业、现代服务业和先进制造业。其中</w:t>
            </w:r>
            <w:r>
              <w:rPr>
                <w:rFonts w:hint="eastAsia"/>
              </w:rPr>
              <w:t>扩建项目</w:t>
            </w:r>
            <w:r>
              <w:t>所在的西部临港产业区位于基地西南部。</w:t>
            </w:r>
            <w:r>
              <w:rPr>
                <w:rFonts w:hint="eastAsia"/>
              </w:rPr>
              <w:t>扩建项目</w:t>
            </w:r>
            <w:r>
              <w:t>属于福州港江阴港区壁头作业区12#泊位工程的配套罐区项目</w:t>
            </w:r>
            <w:r>
              <w:rPr>
                <w:rFonts w:hint="eastAsia"/>
              </w:rPr>
              <w:t>，</w:t>
            </w:r>
            <w:r>
              <w:t>主要承载临港化工产业</w:t>
            </w:r>
            <w:r>
              <w:rPr>
                <w:rFonts w:hint="eastAsia"/>
              </w:rPr>
              <w:t>，扩建项目</w:t>
            </w:r>
            <w:r>
              <w:t>符合所属片区的产业定位</w:t>
            </w:r>
            <w:r>
              <w:rPr>
                <w:rFonts w:hint="eastAsia"/>
              </w:rPr>
              <w:t>。</w:t>
            </w:r>
          </w:p>
          <w:p w14:paraId="781CA8D1">
            <w:pPr>
              <w:snapToGrid w:val="0"/>
              <w:ind w:firstLine="480"/>
            </w:pPr>
            <w:r>
              <w:t>对照江阴港城区域生态保护红线空间管制一览表，</w:t>
            </w:r>
            <w:r>
              <w:rPr>
                <w:rFonts w:hint="eastAsia"/>
              </w:rPr>
              <w:t>扩建项目</w:t>
            </w:r>
            <w:r>
              <w:t>不涉及生态保护红线空间，符合江阴港城引进产业的环保准入条件要求。</w:t>
            </w:r>
          </w:p>
          <w:p w14:paraId="50A8B7ED">
            <w:pPr>
              <w:snapToGrid w:val="0"/>
              <w:ind w:firstLine="480"/>
              <w:rPr>
                <w:rFonts w:eastAsia="黑体"/>
                <w:sz w:val="30"/>
              </w:rPr>
            </w:pPr>
            <w:r>
              <w:t>综上所述，</w:t>
            </w:r>
            <w:r>
              <w:rPr>
                <w:rFonts w:hint="eastAsia"/>
              </w:rPr>
              <w:t>扩建项目</w:t>
            </w:r>
            <w:r>
              <w:t>符合《福州江阴港城总体规划（2018-2035年）环境影响报告书》的相关环境管理要求。</w:t>
            </w:r>
          </w:p>
        </w:tc>
      </w:tr>
    </w:tbl>
    <w:p w14:paraId="3B073E5E">
      <w:pPr>
        <w:pStyle w:val="139"/>
        <w:ind w:firstLine="480"/>
        <w:sectPr>
          <w:footerReference r:id="rId17" w:type="default"/>
          <w:pgSz w:w="16838" w:h="11905" w:orient="landscape"/>
          <w:pgMar w:top="1417" w:right="1417" w:bottom="1417" w:left="1417" w:header="851" w:footer="850" w:gutter="0"/>
          <w:cols w:space="720" w:num="1"/>
          <w:docGrid w:linePitch="326" w:charSpace="0"/>
        </w:sectPr>
      </w:pPr>
    </w:p>
    <w:tbl>
      <w:tblPr>
        <w:tblStyle w:val="30"/>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86"/>
      </w:tblGrid>
      <w:tr w14:paraId="5C57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4E5CFA76">
            <w:pPr>
              <w:ind w:firstLine="0" w:firstLineChars="0"/>
              <w:outlineLvl w:val="0"/>
              <w:rPr>
                <w:rFonts w:eastAsia="黑体"/>
                <w:sz w:val="21"/>
                <w:szCs w:val="21"/>
              </w:rPr>
            </w:pPr>
            <w:r>
              <w:rPr>
                <w:sz w:val="21"/>
                <w:szCs w:val="21"/>
              </w:rPr>
              <w:t>规划及规划环境影响评价符合性分析</w:t>
            </w:r>
          </w:p>
        </w:tc>
        <w:tc>
          <w:tcPr>
            <w:tcW w:w="13686" w:type="dxa"/>
            <w:vAlign w:val="center"/>
          </w:tcPr>
          <w:p w14:paraId="43EF2AE5">
            <w:pPr>
              <w:snapToGrid w:val="0"/>
              <w:ind w:firstLine="482"/>
              <w:rPr>
                <w:b/>
              </w:rPr>
            </w:pPr>
            <w:r>
              <w:rPr>
                <w:b/>
              </w:rPr>
              <w:t>3</w:t>
            </w:r>
            <w:r>
              <w:rPr>
                <w:rFonts w:hint="eastAsia"/>
                <w:b/>
              </w:rPr>
              <w:t>、《江阴港城经济区产业发展规划环境影响报告书》符合性分析</w:t>
            </w:r>
          </w:p>
          <w:p w14:paraId="5E44E4E1">
            <w:pPr>
              <w:pStyle w:val="68"/>
              <w:ind w:firstLine="480"/>
              <w:rPr>
                <w:kern w:val="2"/>
                <w:sz w:val="24"/>
                <w:szCs w:val="24"/>
                <w:lang w:val="en-US" w:eastAsia="zh-CN"/>
              </w:rPr>
            </w:pPr>
            <w:r>
              <w:rPr>
                <w:rFonts w:hint="eastAsia"/>
                <w:kern w:val="2"/>
                <w:sz w:val="24"/>
                <w:szCs w:val="24"/>
                <w:lang w:val="en-US" w:eastAsia="zh-CN"/>
              </w:rPr>
              <w:t>1.2-3与《福州江阴港城经济区产业发展规划环境影响报告书》生态环境准入的符合性分析</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637"/>
              <w:gridCol w:w="8468"/>
              <w:gridCol w:w="3695"/>
              <w:gridCol w:w="670"/>
            </w:tblGrid>
            <w:tr w14:paraId="52855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3" w:hRule="atLeast"/>
                <w:jc w:val="center"/>
              </w:trPr>
              <w:tc>
                <w:tcPr>
                  <w:tcW w:w="637" w:type="dxa"/>
                  <w:tcBorders>
                    <w:top w:val="single" w:color="auto" w:sz="12" w:space="0"/>
                    <w:left w:val="nil"/>
                  </w:tcBorders>
                  <w:vAlign w:val="center"/>
                </w:tcPr>
                <w:p w14:paraId="13D60D6E">
                  <w:pPr>
                    <w:topLinePunct/>
                    <w:spacing w:line="240" w:lineRule="auto"/>
                    <w:ind w:firstLine="0" w:firstLineChars="0"/>
                    <w:rPr>
                      <w:sz w:val="21"/>
                      <w:szCs w:val="21"/>
                    </w:rPr>
                  </w:pPr>
                  <w:r>
                    <w:rPr>
                      <w:rFonts w:hint="eastAsia" w:cs="宋体"/>
                      <w:sz w:val="21"/>
                      <w:szCs w:val="21"/>
                    </w:rPr>
                    <w:t>清单类型</w:t>
                  </w:r>
                </w:p>
              </w:tc>
              <w:tc>
                <w:tcPr>
                  <w:tcW w:w="8468" w:type="dxa"/>
                  <w:tcBorders>
                    <w:top w:val="single" w:color="auto" w:sz="12" w:space="0"/>
                  </w:tcBorders>
                  <w:vAlign w:val="center"/>
                </w:tcPr>
                <w:p w14:paraId="7BCE6374">
                  <w:pPr>
                    <w:topLinePunct/>
                    <w:spacing w:line="240" w:lineRule="auto"/>
                    <w:ind w:firstLine="0" w:firstLineChars="0"/>
                    <w:jc w:val="center"/>
                    <w:rPr>
                      <w:sz w:val="21"/>
                      <w:szCs w:val="21"/>
                    </w:rPr>
                  </w:pPr>
                  <w:r>
                    <w:rPr>
                      <w:rFonts w:hint="eastAsia" w:cs="宋体"/>
                      <w:sz w:val="21"/>
                      <w:szCs w:val="21"/>
                    </w:rPr>
                    <w:t>准入要求</w:t>
                  </w:r>
                </w:p>
              </w:tc>
              <w:tc>
                <w:tcPr>
                  <w:tcW w:w="3695" w:type="dxa"/>
                  <w:tcBorders>
                    <w:top w:val="single" w:color="auto" w:sz="12" w:space="0"/>
                  </w:tcBorders>
                  <w:vAlign w:val="center"/>
                </w:tcPr>
                <w:p w14:paraId="19798040">
                  <w:pPr>
                    <w:topLinePunct/>
                    <w:spacing w:line="240" w:lineRule="auto"/>
                    <w:ind w:firstLine="0" w:firstLineChars="0"/>
                    <w:jc w:val="center"/>
                    <w:rPr>
                      <w:sz w:val="21"/>
                      <w:szCs w:val="21"/>
                    </w:rPr>
                  </w:pPr>
                  <w:r>
                    <w:rPr>
                      <w:rFonts w:hint="eastAsia" w:cs="宋体"/>
                      <w:sz w:val="21"/>
                      <w:szCs w:val="21"/>
                    </w:rPr>
                    <w:t>项目情况</w:t>
                  </w:r>
                </w:p>
              </w:tc>
              <w:tc>
                <w:tcPr>
                  <w:tcW w:w="670" w:type="dxa"/>
                  <w:tcBorders>
                    <w:top w:val="single" w:color="auto" w:sz="12" w:space="0"/>
                    <w:right w:val="nil"/>
                  </w:tcBorders>
                  <w:vAlign w:val="center"/>
                </w:tcPr>
                <w:p w14:paraId="5C53C442">
                  <w:pPr>
                    <w:topLinePunct/>
                    <w:spacing w:line="240" w:lineRule="auto"/>
                    <w:ind w:firstLine="0" w:firstLineChars="0"/>
                    <w:jc w:val="center"/>
                    <w:rPr>
                      <w:sz w:val="21"/>
                      <w:szCs w:val="21"/>
                    </w:rPr>
                  </w:pPr>
                  <w:r>
                    <w:rPr>
                      <w:rFonts w:hint="eastAsia" w:cs="宋体"/>
                      <w:sz w:val="21"/>
                      <w:szCs w:val="21"/>
                    </w:rPr>
                    <w:t>符合性</w:t>
                  </w:r>
                </w:p>
              </w:tc>
            </w:tr>
            <w:tr w14:paraId="5F487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3" w:hRule="atLeast"/>
                <w:jc w:val="center"/>
              </w:trPr>
              <w:tc>
                <w:tcPr>
                  <w:tcW w:w="637" w:type="dxa"/>
                  <w:tcBorders>
                    <w:left w:val="nil"/>
                  </w:tcBorders>
                  <w:vAlign w:val="center"/>
                </w:tcPr>
                <w:p w14:paraId="3A38B30D">
                  <w:pPr>
                    <w:topLinePunct/>
                    <w:spacing w:line="240" w:lineRule="auto"/>
                    <w:ind w:firstLine="0" w:firstLineChars="0"/>
                    <w:rPr>
                      <w:sz w:val="21"/>
                      <w:szCs w:val="21"/>
                    </w:rPr>
                  </w:pPr>
                  <w:r>
                    <w:rPr>
                      <w:rFonts w:hint="eastAsia" w:cs="宋体"/>
                      <w:sz w:val="21"/>
                      <w:szCs w:val="21"/>
                    </w:rPr>
                    <w:t>产业准入要求</w:t>
                  </w:r>
                </w:p>
              </w:tc>
              <w:tc>
                <w:tcPr>
                  <w:tcW w:w="8468" w:type="dxa"/>
                  <w:vAlign w:val="center"/>
                </w:tcPr>
                <w:p w14:paraId="72E5A870">
                  <w:pPr>
                    <w:topLinePunct/>
                    <w:spacing w:line="240" w:lineRule="auto"/>
                    <w:ind w:firstLine="0" w:firstLineChars="0"/>
                    <w:rPr>
                      <w:sz w:val="21"/>
                      <w:szCs w:val="21"/>
                    </w:rPr>
                  </w:pPr>
                  <w:r>
                    <w:rPr>
                      <w:rFonts w:hint="eastAsia" w:cs="宋体"/>
                      <w:sz w:val="21"/>
                      <w:szCs w:val="21"/>
                    </w:rPr>
                    <w:t>（</w:t>
                  </w:r>
                  <w:r>
                    <w:rPr>
                      <w:rFonts w:cs="宋体"/>
                      <w:sz w:val="21"/>
                      <w:szCs w:val="21"/>
                    </w:rPr>
                    <w:t>1</w:t>
                  </w:r>
                  <w:r>
                    <w:rPr>
                      <w:rFonts w:hint="eastAsia" w:cs="宋体"/>
                      <w:sz w:val="21"/>
                      <w:szCs w:val="21"/>
                    </w:rPr>
                    <w:t>）入区项目必须与国家产业政策相符，优先引进《产业结构调整指导目录》鼓励类项目，禁止引进限制类、淘汰类项目。禁止引进属于国家发展改革委、商务部联合发布的《外商投资产业指导目录》所列的禁止外商投资产业目录中的产业；禁止引进属于自然资源部、国家发展改革委联合发布的《禁止用地项目目录》中的产业；禁止引进属于国家及福建省已发布的各行业“行业准入条件”、“淘汰落后生产能力”、“产业发展政策”、“结构调整指导意见”、“‘十四五’规划”、“中长期规划”、“专项规划”、“调整振兴规划”等明文淘汰类的产业。</w:t>
                  </w:r>
                </w:p>
                <w:p w14:paraId="12D43328">
                  <w:pPr>
                    <w:topLinePunct/>
                    <w:spacing w:line="240" w:lineRule="auto"/>
                    <w:ind w:firstLine="0" w:firstLineChars="0"/>
                    <w:rPr>
                      <w:sz w:val="21"/>
                      <w:szCs w:val="21"/>
                    </w:rPr>
                  </w:pPr>
                  <w:r>
                    <w:rPr>
                      <w:rFonts w:hint="eastAsia" w:cs="宋体"/>
                      <w:sz w:val="21"/>
                      <w:szCs w:val="21"/>
                    </w:rPr>
                    <w:t>（</w:t>
                  </w:r>
                  <w:r>
                    <w:rPr>
                      <w:rFonts w:cs="宋体"/>
                      <w:sz w:val="21"/>
                      <w:szCs w:val="21"/>
                    </w:rPr>
                    <w:t>2</w:t>
                  </w:r>
                  <w:r>
                    <w:rPr>
                      <w:rFonts w:hint="eastAsia" w:cs="宋体"/>
                      <w:sz w:val="21"/>
                      <w:szCs w:val="21"/>
                    </w:rPr>
                    <w:t>）优先引进土地资源集约利用、资源能源消耗小、污染物排放少、产品附加值高的工艺技术、产品或项目；引进的项目必须具备完善、有效的“三废”治理措施，能够实现废水、废气等污染物的稳定达标排放，保障区域环境功能区达标；强化污染物排放强度指标约束，引进项目污染物排放总量必须在园区允许排放总量范围内；引进的项目环境风险必须可控，优先引进环境风险小的项目。</w:t>
                  </w:r>
                </w:p>
              </w:tc>
              <w:tc>
                <w:tcPr>
                  <w:tcW w:w="3695" w:type="dxa"/>
                  <w:vAlign w:val="center"/>
                </w:tcPr>
                <w:p w14:paraId="169188F8">
                  <w:pPr>
                    <w:topLinePunct/>
                    <w:spacing w:line="240" w:lineRule="auto"/>
                    <w:ind w:firstLine="0" w:firstLineChars="0"/>
                    <w:rPr>
                      <w:sz w:val="21"/>
                      <w:szCs w:val="21"/>
                    </w:rPr>
                  </w:pPr>
                  <w:r>
                    <w:rPr>
                      <w:rFonts w:hint="eastAsia" w:cs="宋体"/>
                      <w:sz w:val="21"/>
                      <w:szCs w:val="21"/>
                    </w:rPr>
                    <w:t>（</w:t>
                  </w:r>
                  <w:r>
                    <w:rPr>
                      <w:rFonts w:cs="宋体"/>
                      <w:sz w:val="21"/>
                      <w:szCs w:val="21"/>
                    </w:rPr>
                    <w:t>1</w:t>
                  </w:r>
                  <w:r>
                    <w:rPr>
                      <w:rFonts w:hint="eastAsia" w:cs="宋体"/>
                      <w:sz w:val="21"/>
                      <w:szCs w:val="21"/>
                    </w:rPr>
                    <w:t>）项目符合国家产业政策，不属于各类产业目录中的限制类、淘汰类。</w:t>
                  </w:r>
                </w:p>
                <w:p w14:paraId="57DFD0EE">
                  <w:pPr>
                    <w:widowControl/>
                    <w:topLinePunct/>
                    <w:snapToGrid w:val="0"/>
                    <w:spacing w:line="240" w:lineRule="auto"/>
                    <w:ind w:firstLine="0" w:firstLineChars="0"/>
                    <w:jc w:val="left"/>
                    <w:rPr>
                      <w:sz w:val="21"/>
                      <w:szCs w:val="21"/>
                    </w:rPr>
                  </w:pPr>
                  <w:r>
                    <w:rPr>
                      <w:rFonts w:hint="eastAsia" w:cs="宋体"/>
                      <w:sz w:val="21"/>
                      <w:szCs w:val="21"/>
                    </w:rPr>
                    <w:t>（</w:t>
                  </w:r>
                  <w:r>
                    <w:rPr>
                      <w:rFonts w:cs="宋体"/>
                      <w:sz w:val="21"/>
                      <w:szCs w:val="21"/>
                    </w:rPr>
                    <w:t>2</w:t>
                  </w:r>
                  <w:r>
                    <w:rPr>
                      <w:rFonts w:hint="eastAsia" w:cs="宋体"/>
                      <w:sz w:val="21"/>
                      <w:szCs w:val="21"/>
                    </w:rPr>
                    <w:t>）项目具备完善、有效的“三废”治理措施，能够实现废水、废气等污染物的稳定达标排放；项目污染物排放总量在园区允许排放总量范围内；项目环境风险可控。</w:t>
                  </w:r>
                </w:p>
              </w:tc>
              <w:tc>
                <w:tcPr>
                  <w:tcW w:w="670" w:type="dxa"/>
                  <w:tcBorders>
                    <w:right w:val="nil"/>
                  </w:tcBorders>
                  <w:vAlign w:val="center"/>
                </w:tcPr>
                <w:p w14:paraId="221C37AD">
                  <w:pPr>
                    <w:topLinePunct/>
                    <w:spacing w:line="240" w:lineRule="auto"/>
                    <w:ind w:firstLine="0" w:firstLineChars="0"/>
                    <w:jc w:val="center"/>
                    <w:rPr>
                      <w:sz w:val="21"/>
                      <w:szCs w:val="21"/>
                    </w:rPr>
                  </w:pPr>
                  <w:r>
                    <w:rPr>
                      <w:rFonts w:hint="eastAsia" w:cs="宋体"/>
                      <w:sz w:val="21"/>
                      <w:szCs w:val="21"/>
                    </w:rPr>
                    <w:t>符合</w:t>
                  </w:r>
                </w:p>
              </w:tc>
            </w:tr>
            <w:tr w14:paraId="3D4FA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3" w:hRule="atLeast"/>
                <w:jc w:val="center"/>
              </w:trPr>
              <w:tc>
                <w:tcPr>
                  <w:tcW w:w="637" w:type="dxa"/>
                  <w:tcBorders>
                    <w:left w:val="nil"/>
                  </w:tcBorders>
                  <w:vAlign w:val="center"/>
                </w:tcPr>
                <w:p w14:paraId="2FD62AAF">
                  <w:pPr>
                    <w:topLinePunct/>
                    <w:spacing w:line="240" w:lineRule="auto"/>
                    <w:ind w:firstLine="0" w:firstLineChars="0"/>
                    <w:rPr>
                      <w:sz w:val="21"/>
                      <w:szCs w:val="21"/>
                    </w:rPr>
                  </w:pPr>
                  <w:r>
                    <w:rPr>
                      <w:rFonts w:hint="eastAsia" w:cs="宋体"/>
                      <w:sz w:val="21"/>
                      <w:szCs w:val="21"/>
                    </w:rPr>
                    <w:t>环保准入条件要求</w:t>
                  </w:r>
                </w:p>
              </w:tc>
              <w:tc>
                <w:tcPr>
                  <w:tcW w:w="8468" w:type="dxa"/>
                  <w:vAlign w:val="center"/>
                </w:tcPr>
                <w:p w14:paraId="477467E3">
                  <w:pPr>
                    <w:topLinePunct/>
                    <w:spacing w:line="240" w:lineRule="auto"/>
                    <w:ind w:firstLine="0" w:firstLineChars="0"/>
                    <w:rPr>
                      <w:sz w:val="21"/>
                      <w:szCs w:val="21"/>
                    </w:rPr>
                  </w:pPr>
                  <w:r>
                    <w:rPr>
                      <w:rFonts w:hint="eastAsia" w:cs="宋体"/>
                      <w:sz w:val="21"/>
                      <w:szCs w:val="21"/>
                    </w:rPr>
                    <w:t>（</w:t>
                  </w:r>
                  <w:r>
                    <w:rPr>
                      <w:rFonts w:cs="宋体"/>
                      <w:sz w:val="21"/>
                      <w:szCs w:val="21"/>
                    </w:rPr>
                    <w:t>1</w:t>
                  </w:r>
                  <w:r>
                    <w:rPr>
                      <w:rFonts w:hint="eastAsia" w:cs="宋体"/>
                      <w:sz w:val="21"/>
                      <w:szCs w:val="21"/>
                    </w:rPr>
                    <w:t>）项目在“三废”排放、环保治理措施方面必须符合国家、地方环保要求，单位工业增加值的主要污染物排放量至少应达到同行业国内先进水平，主要污染物排放必须满足区域总量控制要求。项目必须建立专门的环境管理机构，制定完善的环境管理制度。</w:t>
                  </w:r>
                </w:p>
                <w:p w14:paraId="6B958D52">
                  <w:pPr>
                    <w:topLinePunct/>
                    <w:spacing w:line="240" w:lineRule="auto"/>
                    <w:ind w:firstLine="0" w:firstLineChars="0"/>
                    <w:rPr>
                      <w:sz w:val="21"/>
                      <w:szCs w:val="21"/>
                    </w:rPr>
                  </w:pPr>
                  <w:r>
                    <w:rPr>
                      <w:rFonts w:hint="eastAsia" w:cs="宋体"/>
                      <w:sz w:val="21"/>
                      <w:szCs w:val="21"/>
                    </w:rPr>
                    <w:t>（</w:t>
                  </w:r>
                  <w:r>
                    <w:rPr>
                      <w:rFonts w:cs="宋体"/>
                      <w:sz w:val="21"/>
                      <w:szCs w:val="21"/>
                    </w:rPr>
                    <w:t>2</w:t>
                  </w:r>
                  <w:r>
                    <w:rPr>
                      <w:rFonts w:hint="eastAsia" w:cs="宋体"/>
                      <w:sz w:val="21"/>
                      <w:szCs w:val="21"/>
                    </w:rPr>
                    <w:t>）污水收集管网、污水处理设施、危险化学品贮存场所、生产区等有可能对地下水和土壤环境产生影响的区域应参照《环境影响评价技术导则地下水环境》（</w:t>
                  </w:r>
                  <w:r>
                    <w:rPr>
                      <w:rFonts w:cs="宋体"/>
                      <w:sz w:val="21"/>
                      <w:szCs w:val="21"/>
                    </w:rPr>
                    <w:t>HJ610-2016</w:t>
                  </w:r>
                  <w:r>
                    <w:rPr>
                      <w:rFonts w:hint="eastAsia" w:cs="宋体"/>
                      <w:sz w:val="21"/>
                      <w:szCs w:val="21"/>
                    </w:rPr>
                    <w:t>）进行防渗、防腐设计与建设，保护区域地下水和土壤不受污染影响。</w:t>
                  </w:r>
                </w:p>
                <w:p w14:paraId="06B7DC4A">
                  <w:pPr>
                    <w:topLinePunct/>
                    <w:spacing w:line="240" w:lineRule="auto"/>
                    <w:ind w:firstLine="0" w:firstLineChars="0"/>
                    <w:rPr>
                      <w:sz w:val="21"/>
                      <w:szCs w:val="21"/>
                    </w:rPr>
                  </w:pPr>
                  <w:r>
                    <w:rPr>
                      <w:rFonts w:hint="eastAsia" w:cs="宋体"/>
                      <w:sz w:val="21"/>
                      <w:szCs w:val="21"/>
                    </w:rPr>
                    <w:t>（</w:t>
                  </w:r>
                  <w:r>
                    <w:rPr>
                      <w:rFonts w:cs="宋体"/>
                      <w:sz w:val="21"/>
                      <w:szCs w:val="21"/>
                    </w:rPr>
                    <w:t>3</w:t>
                  </w:r>
                  <w:r>
                    <w:rPr>
                      <w:rFonts w:hint="eastAsia" w:cs="宋体"/>
                      <w:sz w:val="21"/>
                      <w:szCs w:val="21"/>
                    </w:rPr>
                    <w:t>）严格限制污染物产生量大，治理难度大或治理成本高的产业入区。</w:t>
                  </w:r>
                </w:p>
              </w:tc>
              <w:tc>
                <w:tcPr>
                  <w:tcW w:w="3695" w:type="dxa"/>
                  <w:vAlign w:val="center"/>
                </w:tcPr>
                <w:p w14:paraId="217005D2">
                  <w:pPr>
                    <w:topLinePunct/>
                    <w:spacing w:line="240" w:lineRule="auto"/>
                    <w:ind w:firstLine="0" w:firstLineChars="0"/>
                    <w:rPr>
                      <w:sz w:val="21"/>
                      <w:szCs w:val="21"/>
                    </w:rPr>
                  </w:pPr>
                  <w:r>
                    <w:rPr>
                      <w:rFonts w:hint="eastAsia" w:cs="宋体"/>
                      <w:sz w:val="21"/>
                      <w:szCs w:val="21"/>
                    </w:rPr>
                    <w:t>（</w:t>
                  </w:r>
                  <w:r>
                    <w:rPr>
                      <w:rFonts w:cs="宋体"/>
                      <w:sz w:val="21"/>
                      <w:szCs w:val="21"/>
                    </w:rPr>
                    <w:t>1</w:t>
                  </w:r>
                  <w:r>
                    <w:rPr>
                      <w:rFonts w:hint="eastAsia" w:cs="宋体"/>
                      <w:sz w:val="21"/>
                      <w:szCs w:val="21"/>
                    </w:rPr>
                    <w:t>）项目在“三废”排放、环保治理措施方面符合国家、地方环保要求，主要污染物排放满足区域总量控制要求。项目依托现有环境管理机构，制定完善的环境管理制度。</w:t>
                  </w:r>
                </w:p>
                <w:p w14:paraId="3167DBFC">
                  <w:pPr>
                    <w:topLinePunct/>
                    <w:spacing w:line="240" w:lineRule="auto"/>
                    <w:ind w:firstLine="0" w:firstLineChars="0"/>
                    <w:rPr>
                      <w:sz w:val="21"/>
                      <w:szCs w:val="21"/>
                    </w:rPr>
                  </w:pPr>
                  <w:r>
                    <w:rPr>
                      <w:rFonts w:hint="eastAsia" w:cs="宋体"/>
                      <w:sz w:val="21"/>
                      <w:szCs w:val="21"/>
                    </w:rPr>
                    <w:t>（</w:t>
                  </w:r>
                  <w:r>
                    <w:rPr>
                      <w:rFonts w:cs="宋体"/>
                      <w:sz w:val="21"/>
                      <w:szCs w:val="21"/>
                    </w:rPr>
                    <w:t>2</w:t>
                  </w:r>
                  <w:r>
                    <w:rPr>
                      <w:rFonts w:hint="eastAsia" w:cs="宋体"/>
                      <w:sz w:val="21"/>
                      <w:szCs w:val="21"/>
                    </w:rPr>
                    <w:t>）项目装置区防渗、防腐设计符合《环境影响评价技术导则地下水环境》（</w:t>
                  </w:r>
                  <w:r>
                    <w:rPr>
                      <w:rFonts w:cs="宋体"/>
                      <w:sz w:val="21"/>
                      <w:szCs w:val="21"/>
                    </w:rPr>
                    <w:t>HJ610-2016</w:t>
                  </w:r>
                  <w:r>
                    <w:rPr>
                      <w:rFonts w:hint="eastAsia" w:cs="宋体"/>
                      <w:sz w:val="21"/>
                      <w:szCs w:val="21"/>
                    </w:rPr>
                    <w:t>）要求。</w:t>
                  </w:r>
                </w:p>
                <w:p w14:paraId="7CF275E1">
                  <w:pPr>
                    <w:topLinePunct/>
                    <w:spacing w:line="240" w:lineRule="auto"/>
                    <w:ind w:firstLine="0" w:firstLineChars="0"/>
                    <w:rPr>
                      <w:sz w:val="21"/>
                      <w:szCs w:val="21"/>
                    </w:rPr>
                  </w:pPr>
                  <w:r>
                    <w:rPr>
                      <w:rFonts w:hint="eastAsia" w:cs="宋体"/>
                      <w:sz w:val="21"/>
                      <w:szCs w:val="21"/>
                    </w:rPr>
                    <w:t>（</w:t>
                  </w:r>
                  <w:r>
                    <w:rPr>
                      <w:rFonts w:cs="宋体"/>
                      <w:sz w:val="21"/>
                      <w:szCs w:val="21"/>
                    </w:rPr>
                    <w:t>3</w:t>
                  </w:r>
                  <w:r>
                    <w:rPr>
                      <w:rFonts w:hint="eastAsia" w:cs="宋体"/>
                      <w:sz w:val="21"/>
                      <w:szCs w:val="21"/>
                    </w:rPr>
                    <w:t>）项目不属于污染物产生量大，治理难度大或治理成本高的项目。</w:t>
                  </w:r>
                </w:p>
              </w:tc>
              <w:tc>
                <w:tcPr>
                  <w:tcW w:w="670" w:type="dxa"/>
                  <w:tcBorders>
                    <w:right w:val="nil"/>
                  </w:tcBorders>
                  <w:vAlign w:val="center"/>
                </w:tcPr>
                <w:p w14:paraId="4ED07575">
                  <w:pPr>
                    <w:topLinePunct/>
                    <w:spacing w:line="240" w:lineRule="auto"/>
                    <w:ind w:firstLine="0" w:firstLineChars="0"/>
                    <w:jc w:val="center"/>
                    <w:rPr>
                      <w:sz w:val="21"/>
                      <w:szCs w:val="21"/>
                    </w:rPr>
                  </w:pPr>
                  <w:r>
                    <w:rPr>
                      <w:rFonts w:hint="eastAsia" w:cs="宋体"/>
                      <w:sz w:val="21"/>
                      <w:szCs w:val="21"/>
                    </w:rPr>
                    <w:t>符合</w:t>
                  </w:r>
                </w:p>
              </w:tc>
            </w:tr>
            <w:tr w14:paraId="4B34B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3" w:hRule="atLeast"/>
                <w:jc w:val="center"/>
              </w:trPr>
              <w:tc>
                <w:tcPr>
                  <w:tcW w:w="637" w:type="dxa"/>
                  <w:tcBorders>
                    <w:left w:val="nil"/>
                  </w:tcBorders>
                  <w:vAlign w:val="center"/>
                </w:tcPr>
                <w:p w14:paraId="7E9868BA">
                  <w:pPr>
                    <w:topLinePunct/>
                    <w:spacing w:line="240" w:lineRule="auto"/>
                    <w:ind w:firstLine="0" w:firstLineChars="0"/>
                    <w:rPr>
                      <w:sz w:val="21"/>
                      <w:szCs w:val="21"/>
                    </w:rPr>
                  </w:pPr>
                  <w:r>
                    <w:rPr>
                      <w:rFonts w:hint="eastAsia" w:cs="宋体"/>
                      <w:sz w:val="21"/>
                      <w:szCs w:val="21"/>
                    </w:rPr>
                    <w:t>风险控制准入条件要求</w:t>
                  </w:r>
                </w:p>
              </w:tc>
              <w:tc>
                <w:tcPr>
                  <w:tcW w:w="8468" w:type="dxa"/>
                  <w:vAlign w:val="center"/>
                </w:tcPr>
                <w:p w14:paraId="3DF8D744">
                  <w:pPr>
                    <w:topLinePunct/>
                    <w:spacing w:line="240" w:lineRule="auto"/>
                    <w:ind w:firstLine="0" w:firstLineChars="0"/>
                    <w:rPr>
                      <w:sz w:val="21"/>
                      <w:szCs w:val="21"/>
                    </w:rPr>
                  </w:pPr>
                  <w:r>
                    <w:rPr>
                      <w:rFonts w:hint="eastAsia" w:cs="宋体"/>
                      <w:sz w:val="21"/>
                      <w:szCs w:val="21"/>
                    </w:rPr>
                    <w:t>项目潜在环境风险及其所采取的环境风险防范措施必须符合环境安全要求，确保不会对规划范围外环境保护目标造成严重危害，按相关规定编制应急预案并且与园区的应急预案联动。化工企业应按环评文件及审批意见要求配套建设事故应急池，设置环境风险防护距离，配备足够应急救援物资。</w:t>
                  </w:r>
                </w:p>
              </w:tc>
              <w:tc>
                <w:tcPr>
                  <w:tcW w:w="3695" w:type="dxa"/>
                  <w:vAlign w:val="center"/>
                </w:tcPr>
                <w:p w14:paraId="00004501">
                  <w:pPr>
                    <w:topLinePunct/>
                    <w:spacing w:line="240" w:lineRule="auto"/>
                    <w:ind w:firstLine="0" w:firstLineChars="0"/>
                    <w:rPr>
                      <w:sz w:val="21"/>
                      <w:szCs w:val="21"/>
                    </w:rPr>
                  </w:pPr>
                  <w:r>
                    <w:rPr>
                      <w:rFonts w:hint="eastAsia" w:cs="宋体"/>
                      <w:sz w:val="21"/>
                      <w:szCs w:val="21"/>
                    </w:rPr>
                    <w:t>项目采取的环境风险防范措施符合环境安全要求，现有工程已按相关规定编制应急预案并且与园区的应急预案联动，本次扩建后及时修编。扩建项目依托现有事故应急池，设置环境风险防护距离，配备足够应急救援物资。</w:t>
                  </w:r>
                </w:p>
              </w:tc>
              <w:tc>
                <w:tcPr>
                  <w:tcW w:w="670" w:type="dxa"/>
                  <w:tcBorders>
                    <w:right w:val="nil"/>
                  </w:tcBorders>
                  <w:vAlign w:val="center"/>
                </w:tcPr>
                <w:p w14:paraId="0622B2DB">
                  <w:pPr>
                    <w:topLinePunct/>
                    <w:spacing w:line="240" w:lineRule="auto"/>
                    <w:ind w:firstLine="0" w:firstLineChars="0"/>
                    <w:jc w:val="center"/>
                    <w:rPr>
                      <w:sz w:val="21"/>
                      <w:szCs w:val="21"/>
                    </w:rPr>
                  </w:pPr>
                  <w:r>
                    <w:rPr>
                      <w:rFonts w:hint="eastAsia" w:cs="宋体"/>
                      <w:sz w:val="21"/>
                      <w:szCs w:val="21"/>
                    </w:rPr>
                    <w:t>符合</w:t>
                  </w:r>
                </w:p>
              </w:tc>
            </w:tr>
            <w:tr w14:paraId="105F9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86" w:hRule="atLeast"/>
                <w:jc w:val="center"/>
              </w:trPr>
              <w:tc>
                <w:tcPr>
                  <w:tcW w:w="637" w:type="dxa"/>
                  <w:tcBorders>
                    <w:left w:val="nil"/>
                  </w:tcBorders>
                  <w:vAlign w:val="center"/>
                </w:tcPr>
                <w:p w14:paraId="5848F983">
                  <w:pPr>
                    <w:topLinePunct/>
                    <w:spacing w:line="240" w:lineRule="auto"/>
                    <w:ind w:firstLine="0" w:firstLineChars="0"/>
                    <w:jc w:val="center"/>
                    <w:rPr>
                      <w:sz w:val="21"/>
                      <w:szCs w:val="21"/>
                    </w:rPr>
                  </w:pPr>
                  <w:r>
                    <w:rPr>
                      <w:rFonts w:hint="eastAsia" w:cs="宋体"/>
                      <w:sz w:val="21"/>
                      <w:szCs w:val="21"/>
                    </w:rPr>
                    <w:t>空间</w:t>
                  </w:r>
                </w:p>
                <w:p w14:paraId="7DBE6AAD">
                  <w:pPr>
                    <w:topLinePunct/>
                    <w:spacing w:line="240" w:lineRule="auto"/>
                    <w:ind w:firstLine="0" w:firstLineChars="0"/>
                    <w:jc w:val="center"/>
                    <w:rPr>
                      <w:sz w:val="21"/>
                      <w:szCs w:val="21"/>
                    </w:rPr>
                  </w:pPr>
                  <w:r>
                    <w:rPr>
                      <w:rFonts w:hint="eastAsia" w:cs="宋体"/>
                      <w:sz w:val="21"/>
                      <w:szCs w:val="21"/>
                    </w:rPr>
                    <w:t>布局</w:t>
                  </w:r>
                </w:p>
                <w:p w14:paraId="04F1C88A">
                  <w:pPr>
                    <w:topLinePunct/>
                    <w:spacing w:line="240" w:lineRule="auto"/>
                    <w:ind w:firstLine="0" w:firstLineChars="0"/>
                    <w:jc w:val="center"/>
                    <w:rPr>
                      <w:sz w:val="21"/>
                      <w:szCs w:val="21"/>
                    </w:rPr>
                  </w:pPr>
                  <w:r>
                    <w:rPr>
                      <w:rFonts w:hint="eastAsia" w:cs="宋体"/>
                      <w:sz w:val="21"/>
                      <w:szCs w:val="21"/>
                    </w:rPr>
                    <w:t>约束</w:t>
                  </w:r>
                </w:p>
              </w:tc>
              <w:tc>
                <w:tcPr>
                  <w:tcW w:w="8468" w:type="dxa"/>
                  <w:vAlign w:val="center"/>
                </w:tcPr>
                <w:p w14:paraId="16E490B6">
                  <w:pPr>
                    <w:topLinePunct/>
                    <w:spacing w:line="240" w:lineRule="auto"/>
                    <w:ind w:firstLine="0" w:firstLineChars="0"/>
                    <w:rPr>
                      <w:sz w:val="21"/>
                      <w:szCs w:val="21"/>
                    </w:rPr>
                  </w:pPr>
                  <w:r>
                    <w:rPr>
                      <w:sz w:val="21"/>
                      <w:szCs w:val="21"/>
                    </w:rPr>
                    <w:t>1.</w:t>
                  </w:r>
                  <w:r>
                    <w:rPr>
                      <w:rFonts w:hint="eastAsia" w:cs="宋体"/>
                      <w:sz w:val="21"/>
                      <w:szCs w:val="21"/>
                    </w:rPr>
                    <w:t>优化规划开发时序，规划范围内现有永久基本农田</w:t>
                  </w:r>
                  <w:r>
                    <w:rPr>
                      <w:rFonts w:cs="宋体"/>
                      <w:sz w:val="21"/>
                      <w:szCs w:val="21"/>
                    </w:rPr>
                    <w:t>0.27394km²</w:t>
                  </w:r>
                  <w:r>
                    <w:rPr>
                      <w:rFonts w:hint="eastAsia" w:cs="宋体"/>
                      <w:sz w:val="21"/>
                      <w:szCs w:val="21"/>
                    </w:rPr>
                    <w:t>，要求占用永久基本农田的地块禁止开发建设。对未纳入城镇开发边界的区域应严格落实《自然资源部关于做好城镇开发边界管理的通知（试行）》（自然资发〔</w:t>
                  </w:r>
                  <w:r>
                    <w:rPr>
                      <w:rFonts w:cs="宋体"/>
                      <w:sz w:val="21"/>
                      <w:szCs w:val="21"/>
                    </w:rPr>
                    <w:t>2023</w:t>
                  </w:r>
                  <w:r>
                    <w:rPr>
                      <w:rFonts w:hint="eastAsia" w:cs="宋体"/>
                      <w:sz w:val="21"/>
                      <w:szCs w:val="21"/>
                    </w:rPr>
                    <w:t>〕</w:t>
                  </w:r>
                  <w:r>
                    <w:rPr>
                      <w:rFonts w:cs="宋体"/>
                      <w:sz w:val="21"/>
                      <w:szCs w:val="21"/>
                    </w:rPr>
                    <w:t>193</w:t>
                  </w:r>
                  <w:r>
                    <w:rPr>
                      <w:rFonts w:hint="eastAsia" w:cs="宋体"/>
                      <w:sz w:val="21"/>
                      <w:szCs w:val="21"/>
                    </w:rPr>
                    <w:t>号）要求，暂不开发。</w:t>
                  </w:r>
                </w:p>
                <w:p w14:paraId="55B157ED">
                  <w:pPr>
                    <w:topLinePunct/>
                    <w:spacing w:line="240" w:lineRule="auto"/>
                    <w:ind w:firstLine="0" w:firstLineChars="0"/>
                    <w:rPr>
                      <w:sz w:val="21"/>
                      <w:szCs w:val="21"/>
                    </w:rPr>
                  </w:pPr>
                  <w:r>
                    <w:rPr>
                      <w:sz w:val="21"/>
                      <w:szCs w:val="21"/>
                    </w:rPr>
                    <w:t>2.</w:t>
                  </w:r>
                  <w:r>
                    <w:rPr>
                      <w:rFonts w:hint="eastAsia" w:cs="宋体"/>
                      <w:sz w:val="21"/>
                      <w:szCs w:val="21"/>
                    </w:rPr>
                    <w:t>对未纳入化工园区认定范围的用地，严格落实《福建省化工园区建设标准和认定管理实施细则》要求，“未通过化工园区认定前不得新建、改扩建化工项目（安全、环保、节能和智能化改造项目除外）”。</w:t>
                  </w:r>
                  <w:r>
                    <w:rPr>
                      <w:rFonts w:cs="宋体"/>
                      <w:sz w:val="21"/>
                      <w:szCs w:val="21"/>
                    </w:rPr>
                    <w:t>3.</w:t>
                  </w:r>
                  <w:r>
                    <w:rPr>
                      <w:rFonts w:hint="eastAsia" w:cs="宋体"/>
                      <w:sz w:val="21"/>
                      <w:szCs w:val="21"/>
                    </w:rPr>
                    <w:t>优化园区内部工业用地布局，将大气污染较严重、环境风险较大的项目或装置（特别是涉及“三致”、恶臭等有毒有害物质的）尽可能远离居民区等敏感目标布置，或布置于主导风向的侧向。</w:t>
                  </w:r>
                </w:p>
                <w:p w14:paraId="72E31807">
                  <w:pPr>
                    <w:topLinePunct/>
                    <w:spacing w:line="240" w:lineRule="auto"/>
                    <w:ind w:firstLine="0" w:firstLineChars="0"/>
                    <w:rPr>
                      <w:sz w:val="21"/>
                      <w:szCs w:val="21"/>
                    </w:rPr>
                  </w:pPr>
                  <w:r>
                    <w:rPr>
                      <w:sz w:val="21"/>
                      <w:szCs w:val="21"/>
                    </w:rPr>
                    <w:t>4.</w:t>
                  </w:r>
                  <w:r>
                    <w:rPr>
                      <w:rFonts w:hint="eastAsia" w:cs="宋体"/>
                      <w:sz w:val="21"/>
                      <w:szCs w:val="21"/>
                    </w:rPr>
                    <w:t>新厝拓展区原保税港区</w:t>
                  </w:r>
                  <w:r>
                    <w:rPr>
                      <w:rFonts w:cs="宋体"/>
                      <w:sz w:val="21"/>
                      <w:szCs w:val="21"/>
                    </w:rPr>
                    <w:t>A</w:t>
                  </w:r>
                  <w:r>
                    <w:rPr>
                      <w:rFonts w:hint="eastAsia" w:cs="宋体"/>
                      <w:sz w:val="21"/>
                      <w:szCs w:val="21"/>
                    </w:rPr>
                    <w:t>区不得引进燃煤锅炉、生产工艺产生恶臭的企业。</w:t>
                  </w:r>
                </w:p>
                <w:p w14:paraId="6851CEF2">
                  <w:pPr>
                    <w:topLinePunct/>
                    <w:spacing w:line="240" w:lineRule="auto"/>
                    <w:ind w:firstLine="0" w:firstLineChars="0"/>
                    <w:rPr>
                      <w:sz w:val="21"/>
                      <w:szCs w:val="21"/>
                    </w:rPr>
                  </w:pPr>
                  <w:r>
                    <w:rPr>
                      <w:sz w:val="21"/>
                      <w:szCs w:val="21"/>
                    </w:rPr>
                    <w:t>5.</w:t>
                  </w:r>
                  <w:r>
                    <w:rPr>
                      <w:rFonts w:hint="eastAsia" w:cs="宋体"/>
                      <w:sz w:val="21"/>
                      <w:szCs w:val="21"/>
                    </w:rPr>
                    <w:t>落实环境防护距离：</w:t>
                  </w:r>
                </w:p>
                <w:p w14:paraId="4EE642AD">
                  <w:pPr>
                    <w:topLinePunct/>
                    <w:spacing w:line="240" w:lineRule="auto"/>
                    <w:ind w:firstLine="0" w:firstLineChars="0"/>
                    <w:rPr>
                      <w:sz w:val="21"/>
                      <w:szCs w:val="21"/>
                    </w:rPr>
                  </w:pPr>
                  <w:r>
                    <w:rPr>
                      <w:rFonts w:hint="eastAsia" w:cs="宋体"/>
                      <w:sz w:val="21"/>
                      <w:szCs w:val="21"/>
                    </w:rPr>
                    <w:t>（</w:t>
                  </w:r>
                  <w:r>
                    <w:rPr>
                      <w:rFonts w:cs="宋体"/>
                      <w:sz w:val="21"/>
                      <w:szCs w:val="21"/>
                    </w:rPr>
                    <w:t>1</w:t>
                  </w:r>
                  <w:r>
                    <w:rPr>
                      <w:rFonts w:hint="eastAsia" w:cs="宋体"/>
                      <w:sz w:val="21"/>
                      <w:szCs w:val="21"/>
                    </w:rPr>
                    <w:t>）以本次福州江阴港城经济区规划的化工产业所在片区（包括：医疗、尼龙新材料、高端异氰酸酯、氯循环发展、轻烃深加工等产业板块以及其他涉及化工的发展预留板块）边界外扩</w:t>
                  </w:r>
                  <w:r>
                    <w:rPr>
                      <w:rFonts w:cs="宋体"/>
                      <w:sz w:val="21"/>
                      <w:szCs w:val="21"/>
                    </w:rPr>
                    <w:t>500</w:t>
                  </w:r>
                  <w:r>
                    <w:rPr>
                      <w:rFonts w:hint="eastAsia" w:cs="宋体"/>
                      <w:sz w:val="21"/>
                      <w:szCs w:val="21"/>
                    </w:rPr>
                    <w:t>米范围（海域除外）设置为环保隔离带。西部环保隔离带与西部化工区最大风险事故应急疏散范围（</w:t>
                  </w:r>
                  <w:r>
                    <w:rPr>
                      <w:rFonts w:cs="宋体"/>
                      <w:sz w:val="21"/>
                      <w:szCs w:val="21"/>
                    </w:rPr>
                    <w:t>5000</w:t>
                  </w:r>
                  <w:r>
                    <w:rPr>
                      <w:rFonts w:hint="eastAsia" w:cs="宋体"/>
                      <w:sz w:val="21"/>
                      <w:szCs w:val="21"/>
                    </w:rPr>
                    <w:t>米）包络线之间设置为环保控制带，中部、东部环保隔离带外扩</w:t>
                  </w:r>
                  <w:r>
                    <w:rPr>
                      <w:rFonts w:cs="宋体"/>
                      <w:sz w:val="21"/>
                      <w:szCs w:val="21"/>
                    </w:rPr>
                    <w:t>1500</w:t>
                  </w:r>
                  <w:r>
                    <w:rPr>
                      <w:rFonts w:hint="eastAsia" w:cs="宋体"/>
                      <w:sz w:val="21"/>
                      <w:szCs w:val="21"/>
                    </w:rPr>
                    <w:t>米范围设置为环保控制带。后续有环境防护距离设置要求的项目按环评批复从严执行。</w:t>
                  </w:r>
                </w:p>
                <w:p w14:paraId="615A79B5">
                  <w:pPr>
                    <w:topLinePunct/>
                    <w:spacing w:line="240" w:lineRule="auto"/>
                    <w:ind w:firstLine="0" w:firstLineChars="0"/>
                    <w:rPr>
                      <w:sz w:val="21"/>
                      <w:szCs w:val="21"/>
                    </w:rPr>
                  </w:pPr>
                  <w:r>
                    <w:rPr>
                      <w:rFonts w:hint="eastAsia" w:cs="宋体"/>
                      <w:sz w:val="21"/>
                      <w:szCs w:val="21"/>
                    </w:rPr>
                    <w:t>（</w:t>
                  </w:r>
                  <w:r>
                    <w:rPr>
                      <w:rFonts w:cs="宋体"/>
                      <w:sz w:val="21"/>
                      <w:szCs w:val="21"/>
                    </w:rPr>
                    <w:t>2</w:t>
                  </w:r>
                  <w:r>
                    <w:rPr>
                      <w:rFonts w:hint="eastAsia" w:cs="宋体"/>
                      <w:sz w:val="21"/>
                      <w:szCs w:val="21"/>
                    </w:rPr>
                    <w:t>）环保隔离带内不得有集中式居民区、学校、医院等敏感目标。其中，对于现有及规划扩建的涉光气项目以光气及光气化装置，应以装置边界外扩</w:t>
                  </w:r>
                  <w:r>
                    <w:rPr>
                      <w:rFonts w:cs="宋体"/>
                      <w:sz w:val="21"/>
                      <w:szCs w:val="21"/>
                    </w:rPr>
                    <w:t>2000m</w:t>
                  </w:r>
                  <w:r>
                    <w:rPr>
                      <w:rFonts w:hint="eastAsia" w:cs="宋体"/>
                      <w:sz w:val="21"/>
                      <w:szCs w:val="21"/>
                    </w:rPr>
                    <w:t>设置安全防护距离。安全防护距离严格执行《光气及光气化产品生产安全规程》（</w:t>
                  </w:r>
                  <w:r>
                    <w:rPr>
                      <w:rFonts w:cs="宋体"/>
                      <w:sz w:val="21"/>
                      <w:szCs w:val="21"/>
                    </w:rPr>
                    <w:t>GB19041-2024</w:t>
                  </w:r>
                  <w:r>
                    <w:rPr>
                      <w:rFonts w:hint="eastAsia" w:cs="宋体"/>
                      <w:sz w:val="21"/>
                      <w:szCs w:val="21"/>
                    </w:rPr>
                    <w:t>）有关要求。</w:t>
                  </w:r>
                </w:p>
                <w:p w14:paraId="32477219">
                  <w:pPr>
                    <w:topLinePunct/>
                    <w:spacing w:line="240" w:lineRule="auto"/>
                    <w:ind w:firstLine="0" w:firstLineChars="0"/>
                    <w:rPr>
                      <w:sz w:val="21"/>
                      <w:szCs w:val="21"/>
                    </w:rPr>
                  </w:pPr>
                  <w:r>
                    <w:rPr>
                      <w:rFonts w:hint="eastAsia" w:cs="宋体"/>
                      <w:sz w:val="21"/>
                      <w:szCs w:val="21"/>
                    </w:rPr>
                    <w:t>（</w:t>
                  </w:r>
                  <w:r>
                    <w:rPr>
                      <w:rFonts w:cs="宋体"/>
                      <w:sz w:val="21"/>
                      <w:szCs w:val="21"/>
                    </w:rPr>
                    <w:t>3</w:t>
                  </w:r>
                  <w:r>
                    <w:rPr>
                      <w:rFonts w:hint="eastAsia" w:cs="宋体"/>
                      <w:sz w:val="21"/>
                      <w:szCs w:val="21"/>
                    </w:rPr>
                    <w:t>）环保控制带内不得新增居住建筑，规划用地可作为港口及产业区配套的商业、办公、宿舍、研发、测试等用地。</w:t>
                  </w:r>
                </w:p>
                <w:p w14:paraId="22681BD8">
                  <w:pPr>
                    <w:topLinePunct/>
                    <w:spacing w:line="240" w:lineRule="auto"/>
                    <w:ind w:firstLine="0" w:firstLineChars="0"/>
                    <w:rPr>
                      <w:sz w:val="21"/>
                      <w:szCs w:val="21"/>
                    </w:rPr>
                  </w:pPr>
                  <w:r>
                    <w:rPr>
                      <w:sz w:val="21"/>
                      <w:szCs w:val="21"/>
                    </w:rPr>
                    <w:t>6.</w:t>
                  </w:r>
                  <w:r>
                    <w:rPr>
                      <w:rFonts w:hint="eastAsia" w:cs="宋体"/>
                      <w:sz w:val="21"/>
                      <w:szCs w:val="21"/>
                    </w:rPr>
                    <w:t>东江水厂库周</w:t>
                  </w:r>
                  <w:r>
                    <w:rPr>
                      <w:rFonts w:cs="宋体"/>
                      <w:sz w:val="21"/>
                      <w:szCs w:val="21"/>
                    </w:rPr>
                    <w:t>50</w:t>
                  </w:r>
                  <w:r>
                    <w:rPr>
                      <w:rFonts w:hint="eastAsia" w:cs="宋体"/>
                      <w:sz w:val="21"/>
                      <w:szCs w:val="21"/>
                    </w:rPr>
                    <w:t>米范围禁止工业企业生产过程使用危化品、新建项目应达到国内清洁生产先进水平。</w:t>
                  </w:r>
                </w:p>
              </w:tc>
              <w:tc>
                <w:tcPr>
                  <w:tcW w:w="3695" w:type="dxa"/>
                  <w:vAlign w:val="center"/>
                </w:tcPr>
                <w:p w14:paraId="553207B6">
                  <w:pPr>
                    <w:topLinePunct/>
                    <w:spacing w:line="240" w:lineRule="auto"/>
                    <w:ind w:firstLine="0" w:firstLineChars="0"/>
                    <w:rPr>
                      <w:sz w:val="21"/>
                      <w:szCs w:val="21"/>
                    </w:rPr>
                  </w:pPr>
                  <w:r>
                    <w:rPr>
                      <w:sz w:val="21"/>
                      <w:szCs w:val="21"/>
                    </w:rPr>
                    <w:t>1.</w:t>
                  </w:r>
                  <w:r>
                    <w:rPr>
                      <w:rFonts w:hint="eastAsia" w:cs="宋体"/>
                      <w:sz w:val="21"/>
                      <w:szCs w:val="21"/>
                    </w:rPr>
                    <w:t>项目不占用基本农田，位于城镇开发边界内。</w:t>
                  </w:r>
                </w:p>
                <w:p w14:paraId="7CDEC5EC">
                  <w:pPr>
                    <w:topLinePunct/>
                    <w:spacing w:line="240" w:lineRule="auto"/>
                    <w:ind w:firstLine="0" w:firstLineChars="0"/>
                    <w:rPr>
                      <w:sz w:val="21"/>
                      <w:szCs w:val="21"/>
                    </w:rPr>
                  </w:pPr>
                  <w:r>
                    <w:rPr>
                      <w:sz w:val="21"/>
                      <w:szCs w:val="21"/>
                    </w:rPr>
                    <w:t>2.</w:t>
                  </w:r>
                  <w:r>
                    <w:rPr>
                      <w:rFonts w:hint="eastAsia" w:cs="宋体"/>
                      <w:sz w:val="21"/>
                      <w:szCs w:val="21"/>
                    </w:rPr>
                    <w:t>项目位于化工园区认定范围的用地。</w:t>
                  </w:r>
                </w:p>
                <w:p w14:paraId="14177164">
                  <w:pPr>
                    <w:topLinePunct/>
                    <w:spacing w:line="240" w:lineRule="auto"/>
                    <w:ind w:firstLine="0" w:firstLineChars="0"/>
                    <w:rPr>
                      <w:sz w:val="21"/>
                      <w:szCs w:val="21"/>
                    </w:rPr>
                  </w:pPr>
                  <w:r>
                    <w:rPr>
                      <w:sz w:val="21"/>
                      <w:szCs w:val="21"/>
                    </w:rPr>
                    <w:t>3.</w:t>
                  </w:r>
                  <w:r>
                    <w:rPr>
                      <w:rFonts w:hint="eastAsia" w:cs="宋体"/>
                      <w:sz w:val="21"/>
                      <w:szCs w:val="21"/>
                    </w:rPr>
                    <w:t>项目距离居民区在</w:t>
                  </w:r>
                  <w:r>
                    <w:rPr>
                      <w:sz w:val="21"/>
                      <w:szCs w:val="21"/>
                    </w:rPr>
                    <w:t>2692</w:t>
                  </w:r>
                  <w:r>
                    <w:rPr>
                      <w:rFonts w:hint="eastAsia" w:cs="宋体"/>
                      <w:sz w:val="21"/>
                      <w:szCs w:val="21"/>
                    </w:rPr>
                    <w:t>米以上</w:t>
                  </w:r>
                  <w:r>
                    <w:rPr>
                      <w:rFonts w:hint="eastAsia" w:cs="宋体"/>
                      <w:sz w:val="21"/>
                      <w:szCs w:val="21"/>
                      <w:lang w:eastAsia="zh-CN"/>
                    </w:rPr>
                    <w:t>且</w:t>
                  </w:r>
                  <w:r>
                    <w:rPr>
                      <w:rFonts w:hint="eastAsia" w:cs="宋体"/>
                      <w:sz w:val="21"/>
                      <w:szCs w:val="21"/>
                    </w:rPr>
                    <w:t>位于居民区下风向。</w:t>
                  </w:r>
                </w:p>
                <w:p w14:paraId="7D0B9324">
                  <w:pPr>
                    <w:topLinePunct/>
                    <w:spacing w:line="240" w:lineRule="auto"/>
                    <w:ind w:firstLine="0" w:firstLineChars="0"/>
                    <w:rPr>
                      <w:sz w:val="21"/>
                      <w:szCs w:val="21"/>
                    </w:rPr>
                  </w:pPr>
                  <w:r>
                    <w:rPr>
                      <w:sz w:val="21"/>
                      <w:szCs w:val="21"/>
                    </w:rPr>
                    <w:t>4.</w:t>
                  </w:r>
                  <w:r>
                    <w:rPr>
                      <w:rFonts w:hint="eastAsia" w:cs="宋体"/>
                      <w:sz w:val="21"/>
                      <w:szCs w:val="21"/>
                    </w:rPr>
                    <w:t>项目位于江阴产业园区，不属于新厝拓展区。</w:t>
                  </w:r>
                </w:p>
                <w:p w14:paraId="5B22F563">
                  <w:pPr>
                    <w:topLinePunct/>
                    <w:spacing w:line="240" w:lineRule="auto"/>
                    <w:ind w:firstLine="0" w:firstLineChars="0"/>
                    <w:rPr>
                      <w:sz w:val="21"/>
                      <w:szCs w:val="21"/>
                    </w:rPr>
                  </w:pPr>
                  <w:r>
                    <w:rPr>
                      <w:sz w:val="21"/>
                      <w:szCs w:val="21"/>
                    </w:rPr>
                    <w:t>5.</w:t>
                  </w:r>
                  <w:r>
                    <w:rPr>
                      <w:rFonts w:hint="eastAsia" w:cs="宋体"/>
                      <w:sz w:val="21"/>
                      <w:szCs w:val="21"/>
                    </w:rPr>
                    <w:t>项目边界外</w:t>
                  </w:r>
                  <w:r>
                    <w:rPr>
                      <w:rFonts w:cs="宋体"/>
                      <w:sz w:val="21"/>
                      <w:szCs w:val="21"/>
                    </w:rPr>
                    <w:t>500</w:t>
                  </w:r>
                  <w:r>
                    <w:rPr>
                      <w:rFonts w:hint="eastAsia" w:cs="宋体"/>
                      <w:sz w:val="21"/>
                      <w:szCs w:val="21"/>
                    </w:rPr>
                    <w:t>米范围无集中式居民区、学校、医院等敏感目标。</w:t>
                  </w:r>
                </w:p>
                <w:p w14:paraId="60B01F98">
                  <w:pPr>
                    <w:topLinePunct/>
                    <w:spacing w:line="240" w:lineRule="auto"/>
                    <w:ind w:firstLine="0" w:firstLineChars="0"/>
                    <w:rPr>
                      <w:sz w:val="21"/>
                      <w:szCs w:val="21"/>
                    </w:rPr>
                  </w:pPr>
                  <w:r>
                    <w:rPr>
                      <w:sz w:val="21"/>
                      <w:szCs w:val="21"/>
                    </w:rPr>
                    <w:t>6.</w:t>
                  </w:r>
                  <w:r>
                    <w:rPr>
                      <w:rFonts w:hint="eastAsia" w:cs="宋体"/>
                      <w:sz w:val="21"/>
                      <w:szCs w:val="21"/>
                    </w:rPr>
                    <w:t>本次扩建项目不属于东江水厂库周</w:t>
                  </w:r>
                  <w:r>
                    <w:rPr>
                      <w:rFonts w:cs="宋体"/>
                      <w:sz w:val="21"/>
                      <w:szCs w:val="21"/>
                    </w:rPr>
                    <w:t>50</w:t>
                  </w:r>
                  <w:r>
                    <w:rPr>
                      <w:rFonts w:hint="eastAsia" w:cs="宋体"/>
                      <w:sz w:val="21"/>
                      <w:szCs w:val="21"/>
                    </w:rPr>
                    <w:t>米范围内。</w:t>
                  </w:r>
                </w:p>
              </w:tc>
              <w:tc>
                <w:tcPr>
                  <w:tcW w:w="670" w:type="dxa"/>
                  <w:tcBorders>
                    <w:right w:val="nil"/>
                  </w:tcBorders>
                  <w:vAlign w:val="center"/>
                </w:tcPr>
                <w:p w14:paraId="5FF1D8C8">
                  <w:pPr>
                    <w:topLinePunct/>
                    <w:spacing w:line="240" w:lineRule="auto"/>
                    <w:ind w:firstLine="0" w:firstLineChars="0"/>
                    <w:jc w:val="center"/>
                    <w:rPr>
                      <w:sz w:val="21"/>
                      <w:szCs w:val="21"/>
                    </w:rPr>
                  </w:pPr>
                  <w:r>
                    <w:rPr>
                      <w:rFonts w:hint="eastAsia" w:cs="宋体"/>
                      <w:sz w:val="21"/>
                      <w:szCs w:val="21"/>
                    </w:rPr>
                    <w:t>符合</w:t>
                  </w:r>
                </w:p>
              </w:tc>
            </w:tr>
            <w:tr w14:paraId="14C9A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639" w:hRule="atLeast"/>
                <w:jc w:val="center"/>
              </w:trPr>
              <w:tc>
                <w:tcPr>
                  <w:tcW w:w="637" w:type="dxa"/>
                  <w:tcBorders>
                    <w:left w:val="nil"/>
                  </w:tcBorders>
                  <w:vAlign w:val="center"/>
                </w:tcPr>
                <w:p w14:paraId="7AA5D349">
                  <w:pPr>
                    <w:topLinePunct/>
                    <w:spacing w:line="240" w:lineRule="auto"/>
                    <w:ind w:firstLine="0" w:firstLineChars="0"/>
                    <w:jc w:val="center"/>
                    <w:rPr>
                      <w:sz w:val="21"/>
                      <w:szCs w:val="21"/>
                    </w:rPr>
                  </w:pPr>
                  <w:r>
                    <w:rPr>
                      <w:rFonts w:hint="eastAsia" w:cs="宋体"/>
                      <w:sz w:val="21"/>
                      <w:szCs w:val="21"/>
                    </w:rPr>
                    <w:t>污染物排放管控</w:t>
                  </w:r>
                </w:p>
              </w:tc>
              <w:tc>
                <w:tcPr>
                  <w:tcW w:w="8468" w:type="dxa"/>
                  <w:vAlign w:val="center"/>
                </w:tcPr>
                <w:p w14:paraId="26DC577D">
                  <w:pPr>
                    <w:topLinePunct/>
                    <w:spacing w:line="240" w:lineRule="auto"/>
                    <w:ind w:firstLine="0" w:firstLineChars="0"/>
                    <w:rPr>
                      <w:sz w:val="21"/>
                      <w:szCs w:val="21"/>
                    </w:rPr>
                  </w:pPr>
                  <w:r>
                    <w:rPr>
                      <w:sz w:val="21"/>
                      <w:szCs w:val="21"/>
                    </w:rPr>
                    <w:t>1.</w:t>
                  </w:r>
                  <w:r>
                    <w:rPr>
                      <w:rFonts w:hint="eastAsia" w:cs="宋体"/>
                      <w:sz w:val="21"/>
                      <w:szCs w:val="21"/>
                    </w:rPr>
                    <w:t>严格环境准入，主导产业</w:t>
                  </w:r>
                  <w:r>
                    <w:rPr>
                      <w:rFonts w:cs="宋体"/>
                      <w:sz w:val="21"/>
                      <w:szCs w:val="21"/>
                    </w:rPr>
                    <w:t>MDI</w:t>
                  </w:r>
                  <w:r>
                    <w:rPr>
                      <w:rFonts w:hint="eastAsia" w:cs="宋体"/>
                      <w:sz w:val="21"/>
                      <w:szCs w:val="21"/>
                    </w:rPr>
                    <w:t>、</w:t>
                  </w:r>
                  <w:r>
                    <w:rPr>
                      <w:rFonts w:cs="宋体"/>
                      <w:sz w:val="21"/>
                      <w:szCs w:val="21"/>
                    </w:rPr>
                    <w:t>TDI</w:t>
                  </w:r>
                  <w:r>
                    <w:rPr>
                      <w:rFonts w:hint="eastAsia" w:cs="宋体"/>
                      <w:sz w:val="21"/>
                      <w:szCs w:val="21"/>
                    </w:rPr>
                    <w:t>、轻烃裂解等重大项目清洁生产需达到同行业先进水平，其他项目应达到国内先进水平；配套产业及其他产业各项目，其生产工艺、设备、污染治理技术，以及单位产品能耗、物耗、污染物排放和资源利用效率应满足行业准入要求。</w:t>
                  </w:r>
                </w:p>
                <w:p w14:paraId="6C8DA85C">
                  <w:pPr>
                    <w:topLinePunct/>
                    <w:spacing w:line="240" w:lineRule="auto"/>
                    <w:ind w:firstLine="0" w:firstLineChars="0"/>
                    <w:rPr>
                      <w:sz w:val="21"/>
                      <w:szCs w:val="21"/>
                    </w:rPr>
                  </w:pPr>
                  <w:r>
                    <w:rPr>
                      <w:sz w:val="21"/>
                      <w:szCs w:val="21"/>
                    </w:rPr>
                    <w:t>2.</w:t>
                  </w:r>
                  <w:r>
                    <w:rPr>
                      <w:rFonts w:hint="eastAsia" w:cs="宋体"/>
                      <w:sz w:val="21"/>
                      <w:szCs w:val="21"/>
                    </w:rPr>
                    <w:t>优化能源结构，逐步提高清洁能源使用比例。</w:t>
                  </w:r>
                </w:p>
                <w:p w14:paraId="64FB28D0">
                  <w:pPr>
                    <w:topLinePunct/>
                    <w:spacing w:line="240" w:lineRule="auto"/>
                    <w:ind w:firstLine="0" w:firstLineChars="0"/>
                    <w:rPr>
                      <w:sz w:val="21"/>
                      <w:szCs w:val="21"/>
                    </w:rPr>
                  </w:pPr>
                  <w:r>
                    <w:rPr>
                      <w:sz w:val="21"/>
                      <w:szCs w:val="21"/>
                    </w:rPr>
                    <w:t>3.</w:t>
                  </w:r>
                  <w:r>
                    <w:rPr>
                      <w:rFonts w:hint="eastAsia" w:cs="宋体"/>
                      <w:sz w:val="21"/>
                      <w:szCs w:val="21"/>
                    </w:rPr>
                    <w:t>从严执行污染物排放标准：</w:t>
                  </w:r>
                </w:p>
                <w:p w14:paraId="28877611">
                  <w:pPr>
                    <w:topLinePunct/>
                    <w:spacing w:line="240" w:lineRule="auto"/>
                    <w:ind w:firstLine="0" w:firstLineChars="0"/>
                    <w:rPr>
                      <w:sz w:val="21"/>
                      <w:szCs w:val="21"/>
                    </w:rPr>
                  </w:pPr>
                  <w:r>
                    <w:rPr>
                      <w:rFonts w:hint="eastAsia" w:cs="宋体"/>
                      <w:sz w:val="21"/>
                      <w:szCs w:val="21"/>
                    </w:rPr>
                    <w:t>（</w:t>
                  </w:r>
                  <w:r>
                    <w:rPr>
                      <w:rFonts w:cs="宋体"/>
                      <w:sz w:val="21"/>
                      <w:szCs w:val="21"/>
                    </w:rPr>
                    <w:t>1</w:t>
                  </w:r>
                  <w:r>
                    <w:rPr>
                      <w:rFonts w:hint="eastAsia" w:cs="宋体"/>
                      <w:sz w:val="21"/>
                      <w:szCs w:val="21"/>
                    </w:rPr>
                    <w:t>）江阴工业区污水处理厂尾水执行《城镇污水处理厂污染物排放标准》（</w:t>
                  </w:r>
                  <w:r>
                    <w:rPr>
                      <w:rFonts w:cs="宋体"/>
                      <w:sz w:val="21"/>
                      <w:szCs w:val="21"/>
                    </w:rPr>
                    <w:t>GB18918-2002</w:t>
                  </w:r>
                  <w:r>
                    <w:rPr>
                      <w:rFonts w:hint="eastAsia" w:cs="宋体"/>
                      <w:sz w:val="21"/>
                      <w:szCs w:val="21"/>
                    </w:rPr>
                    <w:t>）中一级</w:t>
                  </w:r>
                  <w:r>
                    <w:rPr>
                      <w:rFonts w:cs="宋体"/>
                      <w:sz w:val="21"/>
                      <w:szCs w:val="21"/>
                    </w:rPr>
                    <w:t>A</w:t>
                  </w:r>
                  <w:r>
                    <w:rPr>
                      <w:rFonts w:hint="eastAsia" w:cs="宋体"/>
                      <w:sz w:val="21"/>
                      <w:szCs w:val="21"/>
                    </w:rPr>
                    <w:t>标准；未规定的污染物，排放浓度对照《城镇污水处理厂污染物排放标准》（</w:t>
                  </w:r>
                  <w:r>
                    <w:rPr>
                      <w:rFonts w:cs="宋体"/>
                      <w:sz w:val="21"/>
                      <w:szCs w:val="21"/>
                    </w:rPr>
                    <w:t>GB18918-2002</w:t>
                  </w:r>
                  <w:r>
                    <w:rPr>
                      <w:rFonts w:hint="eastAsia" w:cs="宋体"/>
                      <w:sz w:val="21"/>
                      <w:szCs w:val="21"/>
                    </w:rPr>
                    <w:t>）中表</w:t>
                  </w:r>
                  <w:r>
                    <w:rPr>
                      <w:rFonts w:cs="宋体"/>
                      <w:sz w:val="21"/>
                      <w:szCs w:val="21"/>
                    </w:rPr>
                    <w:t>2</w:t>
                  </w:r>
                  <w:r>
                    <w:rPr>
                      <w:rFonts w:hint="eastAsia" w:cs="宋体"/>
                      <w:sz w:val="21"/>
                      <w:szCs w:val="21"/>
                    </w:rPr>
                    <w:t>、表</w:t>
                  </w:r>
                  <w:r>
                    <w:rPr>
                      <w:rFonts w:cs="宋体"/>
                      <w:sz w:val="21"/>
                      <w:szCs w:val="21"/>
                    </w:rPr>
                    <w:t>3</w:t>
                  </w:r>
                  <w:r>
                    <w:rPr>
                      <w:rFonts w:hint="eastAsia" w:cs="宋体"/>
                      <w:sz w:val="21"/>
                      <w:szCs w:val="21"/>
                    </w:rPr>
                    <w:t>最高允许排放浓度要求和《污水综合排放标准》（</w:t>
                  </w:r>
                  <w:r>
                    <w:rPr>
                      <w:rFonts w:cs="宋体"/>
                      <w:sz w:val="21"/>
                      <w:szCs w:val="21"/>
                    </w:rPr>
                    <w:t>GB8978-1996</w:t>
                  </w:r>
                  <w:r>
                    <w:rPr>
                      <w:rFonts w:hint="eastAsia" w:cs="宋体"/>
                      <w:sz w:val="21"/>
                      <w:szCs w:val="21"/>
                    </w:rPr>
                    <w:t>）表</w:t>
                  </w:r>
                  <w:r>
                    <w:rPr>
                      <w:rFonts w:cs="宋体"/>
                      <w:sz w:val="21"/>
                      <w:szCs w:val="21"/>
                    </w:rPr>
                    <w:t>4</w:t>
                  </w:r>
                  <w:r>
                    <w:rPr>
                      <w:rFonts w:hint="eastAsia" w:cs="宋体"/>
                      <w:sz w:val="21"/>
                      <w:szCs w:val="21"/>
                    </w:rPr>
                    <w:t>中一级标准要求，从严执行。</w:t>
                  </w:r>
                </w:p>
                <w:p w14:paraId="08EF13C2">
                  <w:pPr>
                    <w:topLinePunct/>
                    <w:spacing w:line="240" w:lineRule="auto"/>
                    <w:ind w:firstLine="0" w:firstLineChars="0"/>
                    <w:rPr>
                      <w:sz w:val="21"/>
                      <w:szCs w:val="21"/>
                    </w:rPr>
                  </w:pPr>
                  <w:r>
                    <w:rPr>
                      <w:rFonts w:hint="eastAsia" w:cs="宋体"/>
                      <w:sz w:val="21"/>
                      <w:szCs w:val="21"/>
                    </w:rPr>
                    <w:t>（</w:t>
                  </w:r>
                  <w:r>
                    <w:rPr>
                      <w:rFonts w:cs="宋体"/>
                      <w:sz w:val="21"/>
                      <w:szCs w:val="21"/>
                    </w:rPr>
                    <w:t>2</w:t>
                  </w:r>
                  <w:r>
                    <w:rPr>
                      <w:rFonts w:hint="eastAsia" w:cs="宋体"/>
                      <w:sz w:val="21"/>
                      <w:szCs w:val="21"/>
                    </w:rPr>
                    <w:t>）工业企业废水进入园区污水处理厂处理的，工业企业废水排放执行标准：取行业废水间接排放标准、《污水综合排放标准》（</w:t>
                  </w:r>
                  <w:r>
                    <w:rPr>
                      <w:rFonts w:cs="宋体"/>
                      <w:sz w:val="21"/>
                      <w:szCs w:val="21"/>
                    </w:rPr>
                    <w:t>GB8978-1996</w:t>
                  </w:r>
                  <w:r>
                    <w:rPr>
                      <w:rFonts w:hint="eastAsia" w:cs="宋体"/>
                      <w:sz w:val="21"/>
                      <w:szCs w:val="21"/>
                    </w:rPr>
                    <w:t>）、《污水排入城镇下水道水质标准》（</w:t>
                  </w:r>
                  <w:r>
                    <w:rPr>
                      <w:rFonts w:cs="宋体"/>
                      <w:sz w:val="21"/>
                      <w:szCs w:val="21"/>
                    </w:rPr>
                    <w:t>GB/T31965-2015</w:t>
                  </w:r>
                  <w:r>
                    <w:rPr>
                      <w:rFonts w:hint="eastAsia" w:cs="宋体"/>
                      <w:sz w:val="21"/>
                      <w:szCs w:val="21"/>
                    </w:rPr>
                    <w:t>）中</w:t>
                  </w:r>
                  <w:r>
                    <w:rPr>
                      <w:rFonts w:cs="宋体"/>
                      <w:sz w:val="21"/>
                      <w:szCs w:val="21"/>
                    </w:rPr>
                    <w:t>B</w:t>
                  </w:r>
                  <w:r>
                    <w:rPr>
                      <w:rFonts w:hint="eastAsia" w:cs="宋体"/>
                      <w:sz w:val="21"/>
                      <w:szCs w:val="21"/>
                    </w:rPr>
                    <w:t>级标准、企业与园区污水厂商定的标准限值（江阴污水厂纳管标准）中最严格的浓度限值；工业企业废水无法进入园区污水处理厂处理，由工业企业自行处理后经园区废水深海排放口排放的，工业企业废水排放执行标准：取行业废水直接排放标准、《污水综合排放标准》（</w:t>
                  </w:r>
                  <w:r>
                    <w:rPr>
                      <w:rFonts w:cs="宋体"/>
                      <w:sz w:val="21"/>
                      <w:szCs w:val="21"/>
                    </w:rPr>
                    <w:t>GB8978-1996</w:t>
                  </w:r>
                  <w:r>
                    <w:rPr>
                      <w:rFonts w:hint="eastAsia" w:cs="宋体"/>
                      <w:sz w:val="21"/>
                      <w:szCs w:val="21"/>
                    </w:rPr>
                    <w:t>）、《城镇污水处理厂污染物排放标准》（</w:t>
                  </w:r>
                  <w:r>
                    <w:rPr>
                      <w:rFonts w:cs="宋体"/>
                      <w:sz w:val="21"/>
                      <w:szCs w:val="21"/>
                    </w:rPr>
                    <w:t>GB18918-2002</w:t>
                  </w:r>
                  <w:r>
                    <w:rPr>
                      <w:rFonts w:hint="eastAsia" w:cs="宋体"/>
                      <w:sz w:val="21"/>
                      <w:szCs w:val="21"/>
                    </w:rPr>
                    <w:t>）表</w:t>
                  </w:r>
                  <w:r>
                    <w:rPr>
                      <w:rFonts w:cs="宋体"/>
                      <w:sz w:val="21"/>
                      <w:szCs w:val="21"/>
                    </w:rPr>
                    <w:t>1</w:t>
                  </w:r>
                  <w:r>
                    <w:rPr>
                      <w:rFonts w:hint="eastAsia" w:cs="宋体"/>
                      <w:sz w:val="21"/>
                      <w:szCs w:val="21"/>
                    </w:rPr>
                    <w:t>一级</w:t>
                  </w:r>
                  <w:r>
                    <w:rPr>
                      <w:rFonts w:cs="宋体"/>
                      <w:sz w:val="21"/>
                      <w:szCs w:val="21"/>
                    </w:rPr>
                    <w:t>A</w:t>
                  </w:r>
                  <w:r>
                    <w:rPr>
                      <w:rFonts w:hint="eastAsia" w:cs="宋体"/>
                      <w:sz w:val="21"/>
                      <w:szCs w:val="21"/>
                    </w:rPr>
                    <w:t>标准中最严格的浓度限值。</w:t>
                  </w:r>
                </w:p>
                <w:p w14:paraId="1C03442B">
                  <w:pPr>
                    <w:topLinePunct/>
                    <w:spacing w:line="240" w:lineRule="auto"/>
                    <w:ind w:firstLine="0" w:firstLineChars="0"/>
                    <w:rPr>
                      <w:sz w:val="21"/>
                      <w:szCs w:val="21"/>
                    </w:rPr>
                  </w:pPr>
                  <w:r>
                    <w:rPr>
                      <w:rFonts w:hint="eastAsia" w:cs="宋体"/>
                      <w:sz w:val="21"/>
                      <w:szCs w:val="21"/>
                    </w:rPr>
                    <w:t>（</w:t>
                  </w:r>
                  <w:r>
                    <w:rPr>
                      <w:rFonts w:cs="宋体"/>
                      <w:sz w:val="21"/>
                      <w:szCs w:val="21"/>
                    </w:rPr>
                    <w:t>3</w:t>
                  </w:r>
                  <w:r>
                    <w:rPr>
                      <w:rFonts w:hint="eastAsia" w:cs="宋体"/>
                      <w:sz w:val="21"/>
                      <w:szCs w:val="21"/>
                    </w:rPr>
                    <w:t>）规划区内石化、化工等行业以及燃煤锅炉等项目执行大气污染物特别排放限值。</w:t>
                  </w:r>
                </w:p>
                <w:p w14:paraId="67CC4C9A">
                  <w:pPr>
                    <w:topLinePunct/>
                    <w:spacing w:line="240" w:lineRule="auto"/>
                    <w:ind w:firstLine="0" w:firstLineChars="0"/>
                    <w:rPr>
                      <w:sz w:val="21"/>
                      <w:szCs w:val="21"/>
                    </w:rPr>
                  </w:pPr>
                  <w:r>
                    <w:rPr>
                      <w:rFonts w:hint="eastAsia" w:cs="宋体"/>
                      <w:sz w:val="21"/>
                      <w:szCs w:val="21"/>
                    </w:rPr>
                    <w:t>（</w:t>
                  </w:r>
                  <w:r>
                    <w:rPr>
                      <w:rFonts w:cs="宋体"/>
                      <w:sz w:val="21"/>
                      <w:szCs w:val="21"/>
                    </w:rPr>
                    <w:t>4</w:t>
                  </w:r>
                  <w:r>
                    <w:rPr>
                      <w:rFonts w:hint="eastAsia" w:cs="宋体"/>
                      <w:sz w:val="21"/>
                      <w:szCs w:val="21"/>
                    </w:rPr>
                    <w:t>）规划区新增主要水、大气污染物排放总量不得突破本规划环评的建议指标；涉新增</w:t>
                  </w:r>
                  <w:r>
                    <w:rPr>
                      <w:rFonts w:cs="宋体"/>
                      <w:sz w:val="21"/>
                      <w:szCs w:val="21"/>
                    </w:rPr>
                    <w:t>VOCs</w:t>
                  </w:r>
                  <w:r>
                    <w:rPr>
                      <w:rFonts w:hint="eastAsia" w:cs="宋体"/>
                      <w:sz w:val="21"/>
                      <w:szCs w:val="21"/>
                    </w:rPr>
                    <w:t>排放项目，应优先依托园区企业自身实现替代削减。严格控制企业废气无组织排放。</w:t>
                  </w:r>
                </w:p>
                <w:p w14:paraId="7A8EDB0A">
                  <w:pPr>
                    <w:topLinePunct/>
                    <w:spacing w:line="240" w:lineRule="auto"/>
                    <w:ind w:firstLine="0" w:firstLineChars="0"/>
                    <w:rPr>
                      <w:sz w:val="21"/>
                      <w:szCs w:val="21"/>
                    </w:rPr>
                  </w:pPr>
                  <w:r>
                    <w:rPr>
                      <w:rFonts w:hint="eastAsia" w:cs="宋体"/>
                      <w:sz w:val="21"/>
                      <w:szCs w:val="21"/>
                    </w:rPr>
                    <w:t>（</w:t>
                  </w:r>
                  <w:r>
                    <w:rPr>
                      <w:rFonts w:cs="宋体"/>
                      <w:sz w:val="21"/>
                      <w:szCs w:val="21"/>
                    </w:rPr>
                    <w:t>5</w:t>
                  </w:r>
                  <w:r>
                    <w:rPr>
                      <w:rFonts w:hint="eastAsia" w:cs="宋体"/>
                      <w:sz w:val="21"/>
                      <w:szCs w:val="21"/>
                    </w:rPr>
                    <w:t>）各入园企业严格按照项目环评要求做好企业内部分区防渗，应采取有效措施防止建设对区域地下水、土壤造成污染。建设涉及有毒有害物质的生产装置、储罐和管道，或者建设污水处理池、应急池、固体废物处置设施等存在土壤污染风险的设施，应当按照国家和地方有关标准和规范的要求，设计、建设和安装有关防腐蚀、防泄漏设施和泄漏监测装置，防止有毒有害物质污染土壤和地下水。</w:t>
                  </w:r>
                </w:p>
                <w:p w14:paraId="48BC02F7">
                  <w:pPr>
                    <w:topLinePunct/>
                    <w:spacing w:line="240" w:lineRule="auto"/>
                    <w:ind w:firstLine="0" w:firstLineChars="0"/>
                    <w:rPr>
                      <w:sz w:val="21"/>
                      <w:szCs w:val="21"/>
                    </w:rPr>
                  </w:pPr>
                  <w:r>
                    <w:rPr>
                      <w:rFonts w:hint="eastAsia" w:cs="宋体"/>
                      <w:sz w:val="21"/>
                      <w:szCs w:val="21"/>
                    </w:rPr>
                    <w:t>（</w:t>
                  </w:r>
                  <w:r>
                    <w:rPr>
                      <w:rFonts w:cs="宋体"/>
                      <w:sz w:val="21"/>
                      <w:szCs w:val="21"/>
                    </w:rPr>
                    <w:t>6</w:t>
                  </w:r>
                  <w:r>
                    <w:rPr>
                      <w:rFonts w:hint="eastAsia" w:cs="宋体"/>
                      <w:sz w:val="21"/>
                      <w:szCs w:val="21"/>
                    </w:rPr>
                    <w:t>）除符合规划产业发展方向的锂电新材料板块外，严禁引入其他排放重金属污染物的企业。</w:t>
                  </w:r>
                </w:p>
                <w:p w14:paraId="5EA32E9A">
                  <w:pPr>
                    <w:topLinePunct/>
                    <w:spacing w:line="240" w:lineRule="auto"/>
                    <w:ind w:firstLine="0" w:firstLineChars="0"/>
                    <w:rPr>
                      <w:sz w:val="21"/>
                      <w:szCs w:val="21"/>
                    </w:rPr>
                  </w:pPr>
                  <w:r>
                    <w:rPr>
                      <w:sz w:val="21"/>
                      <w:szCs w:val="21"/>
                    </w:rPr>
                    <w:t>4.</w:t>
                  </w:r>
                  <w:r>
                    <w:rPr>
                      <w:rFonts w:hint="eastAsia" w:cs="宋体"/>
                      <w:sz w:val="21"/>
                      <w:szCs w:val="21"/>
                    </w:rPr>
                    <w:t>建立健全温室气体排放管理体系，推动园区绿色低碳发展。园区及企业的碳排放应符合国家、地方下达的指标。</w:t>
                  </w:r>
                </w:p>
              </w:tc>
              <w:tc>
                <w:tcPr>
                  <w:tcW w:w="3695" w:type="dxa"/>
                  <w:vAlign w:val="center"/>
                </w:tcPr>
                <w:p w14:paraId="00AF7D67">
                  <w:pPr>
                    <w:topLinePunct/>
                    <w:spacing w:line="240" w:lineRule="auto"/>
                    <w:ind w:firstLine="0" w:firstLineChars="0"/>
                    <w:rPr>
                      <w:rFonts w:cs="宋体"/>
                      <w:sz w:val="21"/>
                      <w:szCs w:val="21"/>
                    </w:rPr>
                  </w:pPr>
                  <w:r>
                    <w:rPr>
                      <w:rFonts w:cs="宋体"/>
                      <w:sz w:val="21"/>
                      <w:szCs w:val="21"/>
                    </w:rPr>
                    <w:t>1.</w:t>
                  </w:r>
                  <w:r>
                    <w:rPr>
                      <w:rFonts w:hint="eastAsia" w:cs="宋体"/>
                      <w:sz w:val="21"/>
                      <w:szCs w:val="21"/>
                    </w:rPr>
                    <w:t xml:space="preserve"> 扩建项目属于</w:t>
                  </w:r>
                  <w:r>
                    <w:rPr>
                      <w:rFonts w:cs="宋体"/>
                      <w:sz w:val="21"/>
                      <w:szCs w:val="21"/>
                    </w:rPr>
                    <w:t>配套</w:t>
                  </w:r>
                  <w:r>
                    <w:rPr>
                      <w:rFonts w:hint="eastAsia" w:cs="宋体"/>
                      <w:sz w:val="21"/>
                      <w:szCs w:val="21"/>
                    </w:rPr>
                    <w:t>储罐项目，其生产工艺、设备、污染治理技术，以及单位产品能耗、物耗、污染物排放和资源利用效率应满足行业准入要求。</w:t>
                  </w:r>
                </w:p>
                <w:p w14:paraId="7BDE1126">
                  <w:pPr>
                    <w:topLinePunct/>
                    <w:spacing w:line="240" w:lineRule="auto"/>
                    <w:ind w:firstLine="0" w:firstLineChars="0"/>
                    <w:rPr>
                      <w:sz w:val="21"/>
                      <w:szCs w:val="21"/>
                    </w:rPr>
                  </w:pPr>
                  <w:r>
                    <w:rPr>
                      <w:rFonts w:cs="宋体"/>
                      <w:sz w:val="21"/>
                      <w:szCs w:val="21"/>
                    </w:rPr>
                    <w:t>2.</w:t>
                  </w:r>
                  <w:r>
                    <w:rPr>
                      <w:rFonts w:hint="eastAsia" w:cs="宋体"/>
                      <w:sz w:val="21"/>
                      <w:szCs w:val="21"/>
                    </w:rPr>
                    <w:t>项目采用清洁能源电能，罐区供热依托国电发电有限公司提供的蒸汽。</w:t>
                  </w:r>
                </w:p>
                <w:p w14:paraId="7CF30A80">
                  <w:pPr>
                    <w:topLinePunct/>
                    <w:spacing w:line="240" w:lineRule="auto"/>
                    <w:ind w:firstLine="0" w:firstLineChars="0"/>
                    <w:rPr>
                      <w:rFonts w:cs="宋体"/>
                      <w:sz w:val="21"/>
                      <w:szCs w:val="21"/>
                    </w:rPr>
                  </w:pPr>
                  <w:r>
                    <w:rPr>
                      <w:sz w:val="21"/>
                      <w:szCs w:val="21"/>
                    </w:rPr>
                    <w:t>3.</w:t>
                  </w:r>
                  <w:r>
                    <w:rPr>
                      <w:rFonts w:hint="eastAsia" w:cs="宋体"/>
                      <w:sz w:val="21"/>
                      <w:szCs w:val="21"/>
                    </w:rPr>
                    <w:t>（</w:t>
                  </w:r>
                  <w:r>
                    <w:rPr>
                      <w:rFonts w:cs="宋体"/>
                      <w:sz w:val="21"/>
                      <w:szCs w:val="21"/>
                    </w:rPr>
                    <w:t>1</w:t>
                  </w:r>
                  <w:r>
                    <w:rPr>
                      <w:rFonts w:hint="eastAsia" w:cs="宋体"/>
                      <w:sz w:val="21"/>
                      <w:szCs w:val="21"/>
                    </w:rPr>
                    <w:t>）</w:t>
                  </w:r>
                  <w:r>
                    <w:rPr>
                      <w:rFonts w:cs="宋体"/>
                      <w:sz w:val="21"/>
                      <w:szCs w:val="21"/>
                    </w:rPr>
                    <w:t>万景石化有限公司污水处理站</w:t>
                  </w:r>
                  <w:r>
                    <w:rPr>
                      <w:rFonts w:hint="eastAsia" w:cs="宋体"/>
                      <w:sz w:val="21"/>
                      <w:szCs w:val="21"/>
                    </w:rPr>
                    <w:t>尾水排放执行《石油化学工业污染物排放标准》（GB31571-2015）表1水污染物间接排放限值、《合成树脂工业污染物排放标准》（GB31572-2015）及其修改单表1的间接排放标准及</w:t>
                  </w:r>
                  <w:r>
                    <w:rPr>
                      <w:rFonts w:cs="宋体"/>
                      <w:sz w:val="21"/>
                      <w:szCs w:val="21"/>
                    </w:rPr>
                    <w:t>江阴污水处理厂纳管标准</w:t>
                  </w:r>
                  <w:r>
                    <w:rPr>
                      <w:rFonts w:hint="eastAsia" w:cs="宋体"/>
                      <w:sz w:val="21"/>
                      <w:szCs w:val="21"/>
                    </w:rPr>
                    <w:t>的最严值</w:t>
                  </w:r>
                  <w:r>
                    <w:rPr>
                      <w:rFonts w:cs="宋体"/>
                      <w:sz w:val="21"/>
                      <w:szCs w:val="21"/>
                    </w:rPr>
                    <w:t>，江阴污水处理厂纳管标准未规定限值的污染物执行《污水综合排放标准》（GB8978-1996）表4中三级标准，江阴污水处理厂出水执行《城镇污水处理厂</w:t>
                  </w:r>
                  <w:r>
                    <w:rPr>
                      <w:rFonts w:hint="eastAsia" w:cs="宋体"/>
                      <w:sz w:val="21"/>
                      <w:szCs w:val="21"/>
                      <w:lang w:eastAsia="zh-CN"/>
                    </w:rPr>
                    <w:t>污染物</w:t>
                  </w:r>
                  <w:r>
                    <w:rPr>
                      <w:rFonts w:cs="宋体"/>
                      <w:sz w:val="21"/>
                      <w:szCs w:val="21"/>
                    </w:rPr>
                    <w:t>排放标准》（GB18918-2002）表1一级标准A标准</w:t>
                  </w:r>
                  <w:r>
                    <w:rPr>
                      <w:rFonts w:hint="eastAsia" w:cs="宋体"/>
                      <w:sz w:val="21"/>
                      <w:szCs w:val="21"/>
                    </w:rPr>
                    <w:t>；</w:t>
                  </w:r>
                </w:p>
                <w:p w14:paraId="7D3627ED">
                  <w:pPr>
                    <w:topLinePunct/>
                    <w:spacing w:line="240" w:lineRule="auto"/>
                    <w:ind w:firstLine="0" w:firstLineChars="0"/>
                    <w:rPr>
                      <w:rFonts w:cs="宋体"/>
                      <w:sz w:val="21"/>
                      <w:szCs w:val="21"/>
                    </w:rPr>
                  </w:pPr>
                  <w:r>
                    <w:rPr>
                      <w:rFonts w:hint="eastAsia" w:cs="宋体"/>
                      <w:sz w:val="21"/>
                      <w:szCs w:val="21"/>
                    </w:rPr>
                    <w:t>（</w:t>
                  </w:r>
                  <w:r>
                    <w:rPr>
                      <w:rFonts w:cs="宋体"/>
                      <w:sz w:val="21"/>
                      <w:szCs w:val="21"/>
                    </w:rPr>
                    <w:t>2</w:t>
                  </w:r>
                  <w:r>
                    <w:rPr>
                      <w:rFonts w:hint="eastAsia" w:cs="宋体"/>
                      <w:sz w:val="21"/>
                      <w:szCs w:val="21"/>
                    </w:rPr>
                    <w:t>）扩建项目执行大气污染物特别排放限值；</w:t>
                  </w:r>
                </w:p>
                <w:p w14:paraId="78D92555">
                  <w:pPr>
                    <w:topLinePunct/>
                    <w:spacing w:line="240" w:lineRule="auto"/>
                    <w:ind w:firstLine="0" w:firstLineChars="0"/>
                    <w:rPr>
                      <w:rFonts w:cs="宋体"/>
                      <w:sz w:val="21"/>
                      <w:szCs w:val="21"/>
                    </w:rPr>
                  </w:pPr>
                  <w:r>
                    <w:rPr>
                      <w:rFonts w:hint="eastAsia" w:cs="宋体"/>
                      <w:sz w:val="21"/>
                      <w:szCs w:val="21"/>
                    </w:rPr>
                    <w:t>（</w:t>
                  </w:r>
                  <w:r>
                    <w:rPr>
                      <w:rFonts w:cs="宋体"/>
                      <w:sz w:val="21"/>
                      <w:szCs w:val="21"/>
                    </w:rPr>
                    <w:t>3</w:t>
                  </w:r>
                  <w:r>
                    <w:rPr>
                      <w:rFonts w:hint="eastAsia" w:cs="宋体"/>
                      <w:sz w:val="21"/>
                      <w:szCs w:val="21"/>
                    </w:rPr>
                    <w:t>）项目严格控制企业废气无组织排放。</w:t>
                  </w:r>
                </w:p>
                <w:p w14:paraId="13CD1693">
                  <w:pPr>
                    <w:topLinePunct/>
                    <w:spacing w:line="240" w:lineRule="auto"/>
                    <w:ind w:firstLine="0" w:firstLineChars="0"/>
                    <w:rPr>
                      <w:rFonts w:cs="宋体"/>
                      <w:sz w:val="21"/>
                      <w:szCs w:val="21"/>
                    </w:rPr>
                  </w:pPr>
                  <w:r>
                    <w:rPr>
                      <w:rFonts w:hint="eastAsia" w:cs="宋体"/>
                      <w:sz w:val="21"/>
                      <w:szCs w:val="21"/>
                    </w:rPr>
                    <w:t>（</w:t>
                  </w:r>
                  <w:r>
                    <w:rPr>
                      <w:rFonts w:cs="宋体"/>
                      <w:sz w:val="21"/>
                      <w:szCs w:val="21"/>
                    </w:rPr>
                    <w:t>4</w:t>
                  </w:r>
                  <w:r>
                    <w:rPr>
                      <w:rFonts w:hint="eastAsia" w:cs="宋体"/>
                      <w:sz w:val="21"/>
                      <w:szCs w:val="21"/>
                    </w:rPr>
                    <w:t>）项目防渗、防腐设计符合《环境影响评价技术导则地下水环境》（</w:t>
                  </w:r>
                  <w:r>
                    <w:rPr>
                      <w:rFonts w:cs="宋体"/>
                      <w:sz w:val="21"/>
                      <w:szCs w:val="21"/>
                    </w:rPr>
                    <w:t>HJ610-2016</w:t>
                  </w:r>
                  <w:r>
                    <w:rPr>
                      <w:rFonts w:hint="eastAsia" w:cs="宋体"/>
                      <w:sz w:val="21"/>
                      <w:szCs w:val="21"/>
                    </w:rPr>
                    <w:t>）要求。</w:t>
                  </w:r>
                </w:p>
                <w:p w14:paraId="03F0AD69">
                  <w:pPr>
                    <w:topLinePunct/>
                    <w:spacing w:line="240" w:lineRule="auto"/>
                    <w:ind w:firstLine="0" w:firstLineChars="0"/>
                    <w:rPr>
                      <w:rFonts w:cs="宋体"/>
                      <w:sz w:val="21"/>
                      <w:szCs w:val="21"/>
                    </w:rPr>
                  </w:pPr>
                  <w:r>
                    <w:rPr>
                      <w:rFonts w:hint="eastAsia" w:cs="宋体"/>
                      <w:sz w:val="21"/>
                      <w:szCs w:val="21"/>
                    </w:rPr>
                    <w:t>（</w:t>
                  </w:r>
                  <w:r>
                    <w:rPr>
                      <w:rFonts w:cs="宋体"/>
                      <w:sz w:val="21"/>
                      <w:szCs w:val="21"/>
                    </w:rPr>
                    <w:t>5</w:t>
                  </w:r>
                  <w:r>
                    <w:rPr>
                      <w:rFonts w:hint="eastAsia" w:cs="宋体"/>
                      <w:sz w:val="21"/>
                      <w:szCs w:val="21"/>
                    </w:rPr>
                    <w:t>）项目不排放重金属污染物。</w:t>
                  </w:r>
                </w:p>
                <w:p w14:paraId="24CEC882">
                  <w:pPr>
                    <w:topLinePunct/>
                    <w:spacing w:line="240" w:lineRule="auto"/>
                    <w:ind w:firstLine="0" w:firstLineChars="0"/>
                    <w:rPr>
                      <w:sz w:val="21"/>
                      <w:szCs w:val="21"/>
                    </w:rPr>
                  </w:pPr>
                  <w:r>
                    <w:rPr>
                      <w:sz w:val="21"/>
                      <w:szCs w:val="21"/>
                    </w:rPr>
                    <w:t>4.</w:t>
                  </w:r>
                  <w:r>
                    <w:rPr>
                      <w:rFonts w:hint="eastAsia" w:cs="宋体"/>
                      <w:sz w:val="21"/>
                      <w:szCs w:val="21"/>
                    </w:rPr>
                    <w:t>项目的碳排放应符合国家、地方下达的指标。</w:t>
                  </w:r>
                </w:p>
              </w:tc>
              <w:tc>
                <w:tcPr>
                  <w:tcW w:w="670" w:type="dxa"/>
                  <w:tcBorders>
                    <w:right w:val="nil"/>
                  </w:tcBorders>
                  <w:vAlign w:val="center"/>
                </w:tcPr>
                <w:p w14:paraId="6C44952C">
                  <w:pPr>
                    <w:topLinePunct/>
                    <w:spacing w:line="240" w:lineRule="auto"/>
                    <w:ind w:firstLine="0" w:firstLineChars="0"/>
                    <w:jc w:val="center"/>
                    <w:rPr>
                      <w:sz w:val="21"/>
                      <w:szCs w:val="21"/>
                    </w:rPr>
                  </w:pPr>
                  <w:r>
                    <w:rPr>
                      <w:rFonts w:hint="eastAsia" w:cs="宋体"/>
                      <w:sz w:val="21"/>
                      <w:szCs w:val="21"/>
                    </w:rPr>
                    <w:t>符合</w:t>
                  </w:r>
                </w:p>
              </w:tc>
            </w:tr>
            <w:tr w14:paraId="4F029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637" w:type="dxa"/>
                  <w:tcBorders>
                    <w:left w:val="nil"/>
                  </w:tcBorders>
                  <w:vAlign w:val="center"/>
                </w:tcPr>
                <w:p w14:paraId="6DA809DC">
                  <w:pPr>
                    <w:topLinePunct/>
                    <w:spacing w:line="240" w:lineRule="auto"/>
                    <w:ind w:firstLine="0" w:firstLineChars="0"/>
                    <w:rPr>
                      <w:sz w:val="21"/>
                      <w:szCs w:val="21"/>
                    </w:rPr>
                  </w:pPr>
                  <w:r>
                    <w:rPr>
                      <w:rFonts w:hint="eastAsia" w:cs="宋体"/>
                      <w:sz w:val="21"/>
                      <w:szCs w:val="21"/>
                    </w:rPr>
                    <w:t>环境风险防控</w:t>
                  </w:r>
                </w:p>
              </w:tc>
              <w:tc>
                <w:tcPr>
                  <w:tcW w:w="8468" w:type="dxa"/>
                  <w:vAlign w:val="center"/>
                </w:tcPr>
                <w:p w14:paraId="3E054AF4">
                  <w:pPr>
                    <w:topLinePunct/>
                    <w:spacing w:line="240" w:lineRule="auto"/>
                    <w:ind w:firstLine="0" w:firstLineChars="0"/>
                    <w:jc w:val="left"/>
                    <w:rPr>
                      <w:sz w:val="21"/>
                      <w:szCs w:val="21"/>
                    </w:rPr>
                  </w:pPr>
                  <w:r>
                    <w:rPr>
                      <w:sz w:val="21"/>
                      <w:szCs w:val="21"/>
                    </w:rPr>
                    <w:t>1.</w:t>
                  </w:r>
                  <w:r>
                    <w:rPr>
                      <w:rFonts w:hint="eastAsia" w:cs="宋体"/>
                      <w:sz w:val="21"/>
                      <w:szCs w:val="21"/>
                    </w:rPr>
                    <w:t>完善装置</w:t>
                  </w:r>
                  <w:r>
                    <w:rPr>
                      <w:rFonts w:cs="宋体"/>
                      <w:sz w:val="21"/>
                      <w:szCs w:val="21"/>
                    </w:rPr>
                    <w:t>/</w:t>
                  </w:r>
                  <w:r>
                    <w:rPr>
                      <w:rFonts w:hint="eastAsia" w:cs="宋体"/>
                      <w:sz w:val="21"/>
                      <w:szCs w:val="21"/>
                    </w:rPr>
                    <w:t>单元</w:t>
                  </w:r>
                  <w:r>
                    <w:rPr>
                      <w:rFonts w:cs="宋体"/>
                      <w:sz w:val="21"/>
                      <w:szCs w:val="21"/>
                    </w:rPr>
                    <w:t>-</w:t>
                  </w:r>
                  <w:r>
                    <w:rPr>
                      <w:rFonts w:hint="eastAsia" w:cs="宋体"/>
                      <w:sz w:val="21"/>
                      <w:szCs w:val="21"/>
                    </w:rPr>
                    <w:t>企业</w:t>
                  </w:r>
                  <w:r>
                    <w:rPr>
                      <w:rFonts w:cs="宋体"/>
                      <w:sz w:val="21"/>
                      <w:szCs w:val="21"/>
                    </w:rPr>
                    <w:t>-</w:t>
                  </w:r>
                  <w:r>
                    <w:rPr>
                      <w:rFonts w:hint="eastAsia" w:cs="宋体"/>
                      <w:sz w:val="21"/>
                      <w:szCs w:val="21"/>
                    </w:rPr>
                    <w:t>园区</w:t>
                  </w:r>
                  <w:r>
                    <w:rPr>
                      <w:rFonts w:cs="宋体"/>
                      <w:sz w:val="21"/>
                      <w:szCs w:val="21"/>
                    </w:rPr>
                    <w:t>-</w:t>
                  </w:r>
                  <w:r>
                    <w:rPr>
                      <w:rFonts w:hint="eastAsia" w:cs="宋体"/>
                      <w:sz w:val="21"/>
                      <w:szCs w:val="21"/>
                    </w:rPr>
                    <w:t>区域四级环境风险防控体系，完善江阴产业区西部企业与已建的公共事故应急池的联通工作；根据东部片区入驻实际核实公共事故应急池建设要求，并推进东部公共事故应急池及事故污水输送管道建设。加快满足联通条件的相邻石化、化工企业应急池互联互通工程的建设。</w:t>
                  </w:r>
                </w:p>
                <w:p w14:paraId="556334CC">
                  <w:pPr>
                    <w:topLinePunct/>
                    <w:spacing w:line="240" w:lineRule="auto"/>
                    <w:ind w:firstLine="0" w:firstLineChars="0"/>
                    <w:jc w:val="left"/>
                    <w:rPr>
                      <w:sz w:val="21"/>
                      <w:szCs w:val="21"/>
                    </w:rPr>
                  </w:pPr>
                  <w:r>
                    <w:rPr>
                      <w:sz w:val="21"/>
                      <w:szCs w:val="21"/>
                    </w:rPr>
                    <w:t>2.</w:t>
                  </w:r>
                  <w:r>
                    <w:rPr>
                      <w:rFonts w:hint="eastAsia" w:cs="宋体"/>
                      <w:sz w:val="21"/>
                      <w:szCs w:val="21"/>
                    </w:rPr>
                    <w:t>入园企业必须按照安评及环评的要求，严格落实与周边人群的防护距离。企业需加强管理，对于环境污染防治措施，尤其是废气处理措施，按时检修，做好日常维护，保证处理设备的正常运行，防止由于设备问题导致的废气事故排放，对周边居民生产生活造成影响。</w:t>
                  </w:r>
                </w:p>
                <w:p w14:paraId="3050CB89">
                  <w:pPr>
                    <w:topLinePunct/>
                    <w:spacing w:line="240" w:lineRule="auto"/>
                    <w:ind w:firstLine="0" w:firstLineChars="0"/>
                    <w:jc w:val="left"/>
                    <w:rPr>
                      <w:sz w:val="21"/>
                      <w:szCs w:val="21"/>
                    </w:rPr>
                  </w:pPr>
                  <w:r>
                    <w:rPr>
                      <w:sz w:val="21"/>
                      <w:szCs w:val="21"/>
                    </w:rPr>
                    <w:t>3.</w:t>
                  </w:r>
                  <w:r>
                    <w:rPr>
                      <w:rFonts w:hint="eastAsia" w:cs="宋体"/>
                      <w:sz w:val="21"/>
                      <w:szCs w:val="21"/>
                    </w:rPr>
                    <w:t>江阴港城经济区管委会应加强日常巡视和风险演练，涉及危险品的项目的设计施工、储存、运输、生产使用等各个环节必须高度重视安全生产，事故防范和减少环境风险，严格要求各企业针对各自重点环保设施的运行安全隐患进行定期排查，禁止违规作业。</w:t>
                  </w:r>
                </w:p>
                <w:p w14:paraId="381FA2DE">
                  <w:pPr>
                    <w:topLinePunct/>
                    <w:spacing w:line="240" w:lineRule="auto"/>
                    <w:ind w:firstLine="0" w:firstLineChars="0"/>
                    <w:jc w:val="left"/>
                    <w:rPr>
                      <w:sz w:val="21"/>
                      <w:szCs w:val="21"/>
                    </w:rPr>
                  </w:pPr>
                  <w:r>
                    <w:rPr>
                      <w:sz w:val="21"/>
                      <w:szCs w:val="21"/>
                    </w:rPr>
                    <w:t>4.</w:t>
                  </w:r>
                  <w:r>
                    <w:rPr>
                      <w:rFonts w:hint="eastAsia" w:cs="宋体"/>
                      <w:sz w:val="21"/>
                      <w:szCs w:val="21"/>
                    </w:rPr>
                    <w:t>建议应急机构和指挥协调机构每年组织</w:t>
                  </w:r>
                  <w:r>
                    <w:rPr>
                      <w:rFonts w:cs="宋体"/>
                      <w:sz w:val="21"/>
                      <w:szCs w:val="21"/>
                    </w:rPr>
                    <w:t>1~2</w:t>
                  </w:r>
                  <w:r>
                    <w:rPr>
                      <w:rFonts w:hint="eastAsia" w:cs="宋体"/>
                      <w:sz w:val="21"/>
                      <w:szCs w:val="21"/>
                    </w:rPr>
                    <w:t>次区内企业联动综合应急演练和环境事故专项演练，不断完善和提高园区环境风险防控能力。健全风险事故应急监测和监控能力。</w:t>
                  </w:r>
                </w:p>
                <w:p w14:paraId="4C540720">
                  <w:pPr>
                    <w:topLinePunct/>
                    <w:spacing w:line="240" w:lineRule="auto"/>
                    <w:ind w:firstLine="0" w:firstLineChars="0"/>
                    <w:jc w:val="left"/>
                    <w:rPr>
                      <w:sz w:val="21"/>
                      <w:szCs w:val="21"/>
                    </w:rPr>
                  </w:pPr>
                  <w:r>
                    <w:rPr>
                      <w:sz w:val="21"/>
                      <w:szCs w:val="21"/>
                    </w:rPr>
                    <w:t>5.</w:t>
                  </w:r>
                  <w:r>
                    <w:rPr>
                      <w:rFonts w:hint="eastAsia" w:cs="宋体"/>
                      <w:sz w:val="21"/>
                      <w:szCs w:val="21"/>
                    </w:rPr>
                    <w:t>规划区及区内未来入驻企业应按照有关要求编制开发区及企业应急预案，应对园区运营及企业自身生产运营期间的突发环境事件，并与上位各层级预案做好衔接。</w:t>
                  </w:r>
                </w:p>
                <w:p w14:paraId="2501EA27">
                  <w:pPr>
                    <w:topLinePunct/>
                    <w:spacing w:line="240" w:lineRule="auto"/>
                    <w:ind w:firstLine="0" w:firstLineChars="0"/>
                    <w:jc w:val="left"/>
                    <w:rPr>
                      <w:sz w:val="21"/>
                      <w:szCs w:val="21"/>
                    </w:rPr>
                  </w:pPr>
                  <w:r>
                    <w:rPr>
                      <w:sz w:val="21"/>
                      <w:szCs w:val="21"/>
                    </w:rPr>
                    <w:t>6.</w:t>
                  </w:r>
                  <w:r>
                    <w:rPr>
                      <w:rFonts w:hint="eastAsia" w:cs="宋体"/>
                      <w:sz w:val="21"/>
                      <w:szCs w:val="21"/>
                    </w:rPr>
                    <w:t>化工园区</w:t>
                  </w:r>
                  <w:r>
                    <w:rPr>
                      <w:rFonts w:hint="eastAsia" w:cs="宋体"/>
                      <w:sz w:val="21"/>
                      <w:szCs w:val="21"/>
                      <w:shd w:val="clear" w:color="auto" w:fill="FFFFFF"/>
                      <w:lang w:val="zh-CN"/>
                    </w:rPr>
                    <w:t>实行封闭化管理，建立门禁系统和视频监控系统，对涉易燃易爆、有毒有害化学品物料、车辆等进出实施全过程监管。</w:t>
                  </w:r>
                </w:p>
              </w:tc>
              <w:tc>
                <w:tcPr>
                  <w:tcW w:w="3695" w:type="dxa"/>
                  <w:vAlign w:val="center"/>
                </w:tcPr>
                <w:p w14:paraId="0858C400">
                  <w:pPr>
                    <w:topLinePunct/>
                    <w:spacing w:line="240" w:lineRule="auto"/>
                    <w:ind w:firstLine="0" w:firstLineChars="0"/>
                    <w:jc w:val="left"/>
                    <w:rPr>
                      <w:sz w:val="21"/>
                      <w:szCs w:val="21"/>
                    </w:rPr>
                  </w:pPr>
                  <w:r>
                    <w:rPr>
                      <w:sz w:val="21"/>
                      <w:szCs w:val="21"/>
                    </w:rPr>
                    <w:t>1.</w:t>
                  </w:r>
                  <w:r>
                    <w:rPr>
                      <w:rFonts w:hint="eastAsia" w:cs="宋体"/>
                      <w:sz w:val="21"/>
                      <w:szCs w:val="21"/>
                    </w:rPr>
                    <w:t>项目设置完善装置</w:t>
                  </w:r>
                  <w:r>
                    <w:rPr>
                      <w:rFonts w:cs="宋体"/>
                      <w:sz w:val="21"/>
                      <w:szCs w:val="21"/>
                    </w:rPr>
                    <w:t>/</w:t>
                  </w:r>
                  <w:r>
                    <w:rPr>
                      <w:rFonts w:hint="eastAsia" w:cs="宋体"/>
                      <w:sz w:val="21"/>
                      <w:szCs w:val="21"/>
                    </w:rPr>
                    <w:t>单元</w:t>
                  </w:r>
                  <w:r>
                    <w:rPr>
                      <w:rFonts w:cs="宋体"/>
                      <w:sz w:val="21"/>
                      <w:szCs w:val="21"/>
                    </w:rPr>
                    <w:t>-</w:t>
                  </w:r>
                  <w:r>
                    <w:rPr>
                      <w:rFonts w:hint="eastAsia" w:cs="宋体"/>
                      <w:sz w:val="21"/>
                      <w:szCs w:val="21"/>
                    </w:rPr>
                    <w:t>企业</w:t>
                  </w:r>
                  <w:r>
                    <w:rPr>
                      <w:rFonts w:cs="宋体"/>
                      <w:sz w:val="21"/>
                      <w:szCs w:val="21"/>
                    </w:rPr>
                    <w:t>-</w:t>
                  </w:r>
                  <w:r>
                    <w:rPr>
                      <w:rFonts w:hint="eastAsia" w:cs="宋体"/>
                      <w:sz w:val="21"/>
                      <w:szCs w:val="21"/>
                    </w:rPr>
                    <w:t>园区</w:t>
                  </w:r>
                  <w:r>
                    <w:rPr>
                      <w:rFonts w:cs="宋体"/>
                      <w:sz w:val="21"/>
                      <w:szCs w:val="21"/>
                    </w:rPr>
                    <w:t>-</w:t>
                  </w:r>
                  <w:r>
                    <w:rPr>
                      <w:rFonts w:hint="eastAsia" w:cs="宋体"/>
                      <w:sz w:val="21"/>
                      <w:szCs w:val="21"/>
                    </w:rPr>
                    <w:t>区域环境风险防控体系，依托现有事故应急池，已与园区公共事故应急池联通。</w:t>
                  </w:r>
                </w:p>
                <w:p w14:paraId="3584CF62">
                  <w:pPr>
                    <w:topLinePunct/>
                    <w:spacing w:line="240" w:lineRule="auto"/>
                    <w:ind w:firstLine="0" w:firstLineChars="0"/>
                    <w:jc w:val="left"/>
                    <w:rPr>
                      <w:sz w:val="21"/>
                      <w:szCs w:val="21"/>
                    </w:rPr>
                  </w:pPr>
                  <w:r>
                    <w:rPr>
                      <w:sz w:val="21"/>
                      <w:szCs w:val="21"/>
                    </w:rPr>
                    <w:t>2.</w:t>
                  </w:r>
                  <w:r>
                    <w:rPr>
                      <w:rFonts w:hint="eastAsia" w:cs="宋体"/>
                      <w:sz w:val="21"/>
                      <w:szCs w:val="21"/>
                    </w:rPr>
                    <w:t>项目防护距离内无敏感点，对于环境污染防治措施，尤其是废气处理措施，按时检修，做好日常维护，保证处理设备的正常运行，防止由于设备问题导致的废气事故排放。</w:t>
                  </w:r>
                </w:p>
                <w:p w14:paraId="157FB4E8">
                  <w:pPr>
                    <w:topLinePunct/>
                    <w:spacing w:line="240" w:lineRule="auto"/>
                    <w:ind w:firstLine="0" w:firstLineChars="0"/>
                    <w:jc w:val="left"/>
                    <w:rPr>
                      <w:sz w:val="21"/>
                      <w:szCs w:val="21"/>
                    </w:rPr>
                  </w:pPr>
                  <w:r>
                    <w:rPr>
                      <w:sz w:val="21"/>
                      <w:szCs w:val="21"/>
                    </w:rPr>
                    <w:t>3.</w:t>
                  </w:r>
                  <w:r>
                    <w:rPr>
                      <w:rFonts w:hint="eastAsia" w:cs="宋体"/>
                      <w:sz w:val="21"/>
                      <w:szCs w:val="21"/>
                    </w:rPr>
                    <w:t>落实园区管理要求。</w:t>
                  </w:r>
                </w:p>
                <w:p w14:paraId="5636E226">
                  <w:pPr>
                    <w:topLinePunct/>
                    <w:spacing w:line="240" w:lineRule="auto"/>
                    <w:ind w:firstLine="0" w:firstLineChars="0"/>
                    <w:jc w:val="left"/>
                    <w:rPr>
                      <w:sz w:val="21"/>
                      <w:szCs w:val="21"/>
                    </w:rPr>
                  </w:pPr>
                  <w:r>
                    <w:rPr>
                      <w:sz w:val="21"/>
                      <w:szCs w:val="21"/>
                    </w:rPr>
                    <w:t>4.</w:t>
                  </w:r>
                  <w:r>
                    <w:rPr>
                      <w:rFonts w:hint="eastAsia" w:cs="宋体"/>
                      <w:sz w:val="21"/>
                      <w:szCs w:val="21"/>
                    </w:rPr>
                    <w:t>积极配合园区企业联动综合应急演练和环境事故专项演练。</w:t>
                  </w:r>
                </w:p>
                <w:p w14:paraId="36C04F90">
                  <w:pPr>
                    <w:topLinePunct/>
                    <w:spacing w:line="240" w:lineRule="auto"/>
                    <w:ind w:firstLine="0" w:firstLineChars="0"/>
                    <w:jc w:val="left"/>
                    <w:rPr>
                      <w:sz w:val="21"/>
                      <w:szCs w:val="21"/>
                    </w:rPr>
                  </w:pPr>
                  <w:r>
                    <w:rPr>
                      <w:sz w:val="21"/>
                      <w:szCs w:val="21"/>
                    </w:rPr>
                    <w:t>5.</w:t>
                  </w:r>
                  <w:r>
                    <w:rPr>
                      <w:rFonts w:hint="eastAsia" w:cs="宋体"/>
                      <w:sz w:val="21"/>
                      <w:szCs w:val="21"/>
                    </w:rPr>
                    <w:t>现有工程已按相关规定编制应急预案并且与园区的应急预案联动，本次扩建后及时修编，并与上位各层级预案做好衔接。</w:t>
                  </w:r>
                </w:p>
                <w:p w14:paraId="3CDB54AF">
                  <w:pPr>
                    <w:topLinePunct/>
                    <w:spacing w:line="240" w:lineRule="auto"/>
                    <w:ind w:firstLine="0" w:firstLineChars="0"/>
                    <w:jc w:val="left"/>
                    <w:rPr>
                      <w:sz w:val="21"/>
                      <w:szCs w:val="21"/>
                    </w:rPr>
                  </w:pPr>
                  <w:r>
                    <w:rPr>
                      <w:sz w:val="21"/>
                      <w:szCs w:val="21"/>
                    </w:rPr>
                    <w:t>6.</w:t>
                  </w:r>
                  <w:r>
                    <w:rPr>
                      <w:rFonts w:hint="eastAsia" w:cs="宋体"/>
                      <w:sz w:val="21"/>
                      <w:szCs w:val="21"/>
                    </w:rPr>
                    <w:t>落实园区管理要求</w:t>
                  </w:r>
                  <w:r>
                    <w:rPr>
                      <w:rFonts w:hint="eastAsia" w:cs="宋体"/>
                      <w:sz w:val="21"/>
                      <w:szCs w:val="21"/>
                      <w:shd w:val="clear" w:color="auto" w:fill="FFFFFF"/>
                      <w:lang w:val="zh-CN"/>
                    </w:rPr>
                    <w:t>。</w:t>
                  </w:r>
                </w:p>
              </w:tc>
              <w:tc>
                <w:tcPr>
                  <w:tcW w:w="670" w:type="dxa"/>
                  <w:tcBorders>
                    <w:right w:val="nil"/>
                  </w:tcBorders>
                  <w:vAlign w:val="center"/>
                </w:tcPr>
                <w:p w14:paraId="5339EBEC">
                  <w:pPr>
                    <w:topLinePunct/>
                    <w:spacing w:line="240" w:lineRule="auto"/>
                    <w:ind w:firstLine="0" w:firstLineChars="0"/>
                    <w:jc w:val="left"/>
                    <w:rPr>
                      <w:sz w:val="21"/>
                      <w:szCs w:val="21"/>
                    </w:rPr>
                  </w:pPr>
                  <w:r>
                    <w:rPr>
                      <w:rFonts w:hint="eastAsia" w:cs="宋体"/>
                      <w:sz w:val="21"/>
                      <w:szCs w:val="21"/>
                    </w:rPr>
                    <w:t>符合</w:t>
                  </w:r>
                </w:p>
              </w:tc>
            </w:tr>
          </w:tbl>
          <w:p w14:paraId="68231045">
            <w:pPr>
              <w:ind w:firstLine="480"/>
            </w:pPr>
            <w:r>
              <w:rPr>
                <w:rFonts w:hint="eastAsia"/>
                <w:szCs w:val="21"/>
              </w:rPr>
              <w:t>根据上述分析，扩建项目与《福州江阴港城经济区产业发展规划环境影响报告书》中的相关规定是符合的。</w:t>
            </w:r>
          </w:p>
        </w:tc>
      </w:tr>
    </w:tbl>
    <w:p w14:paraId="55250DD6">
      <w:pPr>
        <w:pStyle w:val="139"/>
        <w:ind w:firstLine="480"/>
        <w:rPr>
          <w:lang w:val="en-US"/>
        </w:rPr>
        <w:sectPr>
          <w:pgSz w:w="16838" w:h="11905" w:orient="landscape"/>
          <w:pgMar w:top="1417" w:right="1417" w:bottom="1417" w:left="1417" w:header="851" w:footer="850" w:gutter="0"/>
          <w:cols w:space="720" w:num="1"/>
          <w:docGrid w:linePitch="326"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612"/>
      </w:tblGrid>
      <w:tr w14:paraId="6DAD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48F63B">
            <w:pPr>
              <w:ind w:firstLine="0" w:firstLineChars="0"/>
              <w:outlineLvl w:val="0"/>
              <w:rPr>
                <w:rFonts w:eastAsia="黑体"/>
                <w:sz w:val="21"/>
                <w:szCs w:val="21"/>
              </w:rPr>
            </w:pPr>
            <w:r>
              <w:rPr>
                <w:sz w:val="21"/>
                <w:szCs w:val="21"/>
              </w:rPr>
              <w:t>规划及规划环境影响评价符合性分析</w:t>
            </w:r>
          </w:p>
        </w:tc>
        <w:tc>
          <w:tcPr>
            <w:tcW w:w="8612" w:type="dxa"/>
            <w:vAlign w:val="center"/>
          </w:tcPr>
          <w:p w14:paraId="124CAF36">
            <w:pPr>
              <w:snapToGrid w:val="0"/>
              <w:ind w:firstLine="482"/>
              <w:rPr>
                <w:b/>
              </w:rPr>
            </w:pPr>
            <w:r>
              <w:rPr>
                <w:b/>
              </w:rPr>
              <w:t>（2）与规划环评审查意见的符合性</w:t>
            </w:r>
          </w:p>
          <w:p w14:paraId="47060809">
            <w:pPr>
              <w:snapToGrid w:val="0"/>
              <w:ind w:firstLine="482"/>
              <w:rPr>
                <w:b/>
              </w:rPr>
            </w:pPr>
            <w:r>
              <w:rPr>
                <w:b/>
              </w:rPr>
              <w:t>1、与《福州港总体规划（修订）环境影响报告书》审查意见符合性分析</w:t>
            </w:r>
          </w:p>
          <w:p w14:paraId="4FE814C2">
            <w:pPr>
              <w:snapToGrid w:val="0"/>
              <w:ind w:firstLine="480"/>
            </w:pPr>
            <w:r>
              <w:t>根据《福州港总体规划（修订）环境影响报告书》的审查意见中，关于优化调整和实施的意见：</w:t>
            </w:r>
          </w:p>
          <w:p w14:paraId="501BD063">
            <w:pPr>
              <w:snapToGrid w:val="0"/>
              <w:ind w:firstLine="480"/>
            </w:pPr>
            <w:r>
              <w:t>（一）处理好保护和发展的关系；</w:t>
            </w:r>
          </w:p>
          <w:p w14:paraId="2D48FD8D">
            <w:pPr>
              <w:snapToGrid w:val="0"/>
              <w:ind w:firstLine="480"/>
            </w:pPr>
            <w:r>
              <w:t>（二）严守生态保护红线，取消不符合法律法规、政策及生态环境保护要求的码头作业区；优先避让相关敏感区域，优化江阴港区（壁头作业区5万吨级危险品应急锚地、5千吨级危险品1号和2号应急锚地）；</w:t>
            </w:r>
          </w:p>
          <w:p w14:paraId="328C487F">
            <w:pPr>
              <w:snapToGrid w:val="0"/>
              <w:ind w:firstLine="480"/>
            </w:pPr>
            <w:r>
              <w:t>（三）优化港口布局与功能，取消《规划》新增围填海；</w:t>
            </w:r>
          </w:p>
          <w:p w14:paraId="482D2508">
            <w:pPr>
              <w:snapToGrid w:val="0"/>
              <w:ind w:firstLine="480"/>
            </w:pPr>
            <w:r>
              <w:t>（四）加强环境风险防范：加强港区环境风险管理，</w:t>
            </w:r>
            <w:r>
              <w:rPr>
                <w:b/>
              </w:rPr>
              <w:t>落实港区环境准入要求和负面清单，严格限定各港区运输和存储的危险品货种；</w:t>
            </w:r>
            <w:r>
              <w:t>加大船舶航行安全保障和风险防范力度。建设与港区环境风险相匹配的应急能力，提出应急物资、人员等配备要求，制定突发生态环境事件应急预案，建立区域环境风险联防联控机制，有效防控区域环境风险。</w:t>
            </w:r>
          </w:p>
          <w:p w14:paraId="6DDC246A">
            <w:pPr>
              <w:snapToGrid w:val="0"/>
              <w:ind w:firstLine="480"/>
            </w:pPr>
            <w:r>
              <w:t>（五）强化并落实</w:t>
            </w:r>
            <w:r>
              <w:rPr>
                <w:rFonts w:hint="eastAsia"/>
                <w:lang w:eastAsia="zh-CN"/>
              </w:rPr>
              <w:t>污染防治</w:t>
            </w:r>
            <w:r>
              <w:t>措施；</w:t>
            </w:r>
          </w:p>
          <w:p w14:paraId="7F9E6D3B">
            <w:pPr>
              <w:snapToGrid w:val="0"/>
              <w:ind w:firstLine="480"/>
            </w:pPr>
            <w:r>
              <w:t>（六）进一步加强生态保护；</w:t>
            </w:r>
          </w:p>
          <w:p w14:paraId="18586BED">
            <w:pPr>
              <w:snapToGrid w:val="0"/>
              <w:ind w:firstLine="480"/>
            </w:pPr>
            <w:r>
              <w:t>（七）建立健全生态环境长期监测体系；</w:t>
            </w:r>
          </w:p>
          <w:p w14:paraId="28CDA86B">
            <w:pPr>
              <w:snapToGrid w:val="0"/>
              <w:ind w:firstLine="480"/>
            </w:pPr>
            <w:r>
              <w:t>（八）《规划》实施五年后，应开展环境影响跟踪评价。</w:t>
            </w:r>
          </w:p>
          <w:p w14:paraId="40647BD6">
            <w:pPr>
              <w:snapToGrid w:val="0"/>
              <w:ind w:firstLine="480"/>
            </w:pPr>
            <w:r>
              <w:t>符合性分析：</w:t>
            </w:r>
          </w:p>
          <w:p w14:paraId="699469DD">
            <w:pPr>
              <w:snapToGrid w:val="0"/>
              <w:ind w:firstLine="480"/>
            </w:pPr>
            <w:r>
              <w:t>根据规划环评的负面清单，本</w:t>
            </w:r>
            <w:r>
              <w:rPr>
                <w:rFonts w:hint="eastAsia"/>
              </w:rPr>
              <w:t>次扩建项目</w:t>
            </w:r>
            <w:r>
              <w:t>属于福州港江阴港区壁头作业区12#泊位工程的配套罐区项目，符合壁头岸段的开发利用方向。负面清单限制发展货类为油品，</w:t>
            </w:r>
            <w:r>
              <w:rPr>
                <w:rFonts w:hint="eastAsia"/>
              </w:rPr>
              <w:t>扩建项目</w:t>
            </w:r>
            <w:r>
              <w:t>主要储存的产品为</w:t>
            </w:r>
            <w:r>
              <w:rPr>
                <w:rFonts w:hint="eastAsia"/>
              </w:rPr>
              <w:t>MA、BDO、THF</w:t>
            </w:r>
            <w:r>
              <w:t>，不属于《福州港总体规划（修订）环境影响报告书》的负面清单</w:t>
            </w:r>
            <w:r>
              <w:rPr>
                <w:rFonts w:hint="eastAsia"/>
              </w:rPr>
              <w:t>中限制或禁止类。</w:t>
            </w:r>
          </w:p>
          <w:p w14:paraId="4DA94BC6">
            <w:pPr>
              <w:pStyle w:val="2"/>
              <w:ind w:firstLine="482"/>
              <w:rPr>
                <w:b/>
                <w:lang w:val="en-US" w:eastAsia="zh-CN"/>
              </w:rPr>
            </w:pPr>
            <w:r>
              <w:rPr>
                <w:b/>
                <w:lang w:val="en-US" w:eastAsia="zh-CN"/>
              </w:rPr>
              <w:t>2、</w:t>
            </w:r>
            <w:r>
              <w:rPr>
                <w:rFonts w:hint="eastAsia"/>
                <w:b/>
                <w:lang w:val="en-US" w:eastAsia="zh-CN"/>
              </w:rPr>
              <w:t>与</w:t>
            </w:r>
            <w:r>
              <w:rPr>
                <w:b/>
                <w:lang w:val="en-US" w:eastAsia="zh-CN"/>
              </w:rPr>
              <w:t>《福州江阴港城总体规划（2018-2035年）环境影响报告书》规划环评审查意见</w:t>
            </w:r>
            <w:r>
              <w:rPr>
                <w:rFonts w:hint="eastAsia"/>
                <w:b/>
                <w:lang w:val="en-US" w:eastAsia="zh-CN"/>
              </w:rPr>
              <w:t>符合性分析</w:t>
            </w:r>
          </w:p>
          <w:p w14:paraId="6EF6C9C0">
            <w:pPr>
              <w:pStyle w:val="68"/>
              <w:rPr>
                <w:lang w:val="en-US" w:eastAsia="zh-CN"/>
              </w:rPr>
            </w:pPr>
            <w:r>
              <w:rPr>
                <w:rFonts w:hint="eastAsia"/>
                <w:kern w:val="2"/>
                <w:sz w:val="24"/>
                <w:szCs w:val="24"/>
                <w:lang w:val="en-US" w:eastAsia="zh-CN"/>
              </w:rPr>
              <w:t>表1.2-4项目与规划环评审查意见的符合性分析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27"/>
              <w:gridCol w:w="3173"/>
              <w:gridCol w:w="3566"/>
              <w:gridCol w:w="604"/>
            </w:tblGrid>
            <w:tr w14:paraId="32CA2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2F0A48C8">
                  <w:pPr>
                    <w:adjustRightInd w:val="0"/>
                    <w:snapToGrid w:val="0"/>
                    <w:spacing w:line="240" w:lineRule="auto"/>
                    <w:ind w:firstLine="0" w:firstLineChars="0"/>
                    <w:jc w:val="center"/>
                    <w:rPr>
                      <w:sz w:val="21"/>
                      <w:szCs w:val="21"/>
                    </w:rPr>
                  </w:pPr>
                  <w:r>
                    <w:rPr>
                      <w:sz w:val="21"/>
                      <w:szCs w:val="21"/>
                    </w:rPr>
                    <w:t>序号</w:t>
                  </w:r>
                </w:p>
              </w:tc>
              <w:tc>
                <w:tcPr>
                  <w:tcW w:w="386" w:type="pct"/>
                  <w:vAlign w:val="center"/>
                </w:tcPr>
                <w:p w14:paraId="27AB07AD">
                  <w:pPr>
                    <w:adjustRightInd w:val="0"/>
                    <w:snapToGrid w:val="0"/>
                    <w:spacing w:line="240" w:lineRule="auto"/>
                    <w:ind w:firstLine="0" w:firstLineChars="0"/>
                    <w:jc w:val="center"/>
                    <w:rPr>
                      <w:sz w:val="21"/>
                      <w:szCs w:val="21"/>
                    </w:rPr>
                  </w:pPr>
                  <w:r>
                    <w:rPr>
                      <w:sz w:val="21"/>
                      <w:szCs w:val="21"/>
                    </w:rPr>
                    <w:t>项目</w:t>
                  </w:r>
                </w:p>
              </w:tc>
              <w:tc>
                <w:tcPr>
                  <w:tcW w:w="1902" w:type="pct"/>
                  <w:vAlign w:val="center"/>
                </w:tcPr>
                <w:p w14:paraId="6EB2776E">
                  <w:pPr>
                    <w:adjustRightInd w:val="0"/>
                    <w:snapToGrid w:val="0"/>
                    <w:spacing w:line="240" w:lineRule="auto"/>
                    <w:ind w:firstLine="0" w:firstLineChars="0"/>
                    <w:jc w:val="center"/>
                    <w:rPr>
                      <w:sz w:val="21"/>
                      <w:szCs w:val="21"/>
                    </w:rPr>
                  </w:pPr>
                  <w:r>
                    <w:rPr>
                      <w:sz w:val="21"/>
                      <w:szCs w:val="21"/>
                    </w:rPr>
                    <w:t>规划环评及审查意见要求</w:t>
                  </w:r>
                </w:p>
              </w:tc>
              <w:tc>
                <w:tcPr>
                  <w:tcW w:w="2136" w:type="pct"/>
                  <w:vAlign w:val="center"/>
                </w:tcPr>
                <w:p w14:paraId="7A686A7C">
                  <w:pPr>
                    <w:adjustRightInd w:val="0"/>
                    <w:snapToGrid w:val="0"/>
                    <w:spacing w:line="240" w:lineRule="auto"/>
                    <w:ind w:firstLine="0" w:firstLineChars="0"/>
                    <w:jc w:val="center"/>
                    <w:rPr>
                      <w:sz w:val="21"/>
                      <w:szCs w:val="21"/>
                    </w:rPr>
                  </w:pPr>
                  <w:r>
                    <w:rPr>
                      <w:sz w:val="21"/>
                      <w:szCs w:val="21"/>
                    </w:rPr>
                    <w:t>拟建项目情况</w:t>
                  </w:r>
                </w:p>
              </w:tc>
              <w:tc>
                <w:tcPr>
                  <w:tcW w:w="372" w:type="pct"/>
                  <w:vAlign w:val="center"/>
                </w:tcPr>
                <w:p w14:paraId="5425A8C6">
                  <w:pPr>
                    <w:adjustRightInd w:val="0"/>
                    <w:snapToGrid w:val="0"/>
                    <w:spacing w:line="240" w:lineRule="auto"/>
                    <w:ind w:firstLine="0" w:firstLineChars="0"/>
                    <w:jc w:val="center"/>
                    <w:rPr>
                      <w:sz w:val="21"/>
                      <w:szCs w:val="21"/>
                    </w:rPr>
                  </w:pPr>
                  <w:r>
                    <w:rPr>
                      <w:sz w:val="21"/>
                      <w:szCs w:val="21"/>
                    </w:rPr>
                    <w:t>符合性</w:t>
                  </w:r>
                </w:p>
              </w:tc>
            </w:tr>
            <w:tr w14:paraId="509FC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39749A90">
                  <w:pPr>
                    <w:adjustRightInd w:val="0"/>
                    <w:snapToGrid w:val="0"/>
                    <w:spacing w:line="240" w:lineRule="auto"/>
                    <w:ind w:firstLine="0" w:firstLineChars="0"/>
                    <w:jc w:val="center"/>
                    <w:rPr>
                      <w:sz w:val="21"/>
                      <w:szCs w:val="21"/>
                    </w:rPr>
                  </w:pPr>
                  <w:r>
                    <w:rPr>
                      <w:sz w:val="21"/>
                      <w:szCs w:val="21"/>
                    </w:rPr>
                    <w:t>1</w:t>
                  </w:r>
                </w:p>
              </w:tc>
              <w:tc>
                <w:tcPr>
                  <w:tcW w:w="386" w:type="pct"/>
                  <w:vAlign w:val="center"/>
                </w:tcPr>
                <w:p w14:paraId="36EE4872">
                  <w:pPr>
                    <w:adjustRightInd w:val="0"/>
                    <w:snapToGrid w:val="0"/>
                    <w:spacing w:line="240" w:lineRule="auto"/>
                    <w:ind w:firstLine="0" w:firstLineChars="0"/>
                    <w:jc w:val="center"/>
                    <w:rPr>
                      <w:sz w:val="21"/>
                      <w:szCs w:val="21"/>
                    </w:rPr>
                  </w:pPr>
                  <w:r>
                    <w:rPr>
                      <w:sz w:val="21"/>
                      <w:szCs w:val="21"/>
                    </w:rPr>
                    <w:t>空间布局</w:t>
                  </w:r>
                </w:p>
              </w:tc>
              <w:tc>
                <w:tcPr>
                  <w:tcW w:w="1902" w:type="pct"/>
                  <w:vAlign w:val="center"/>
                </w:tcPr>
                <w:p w14:paraId="6D073594">
                  <w:pPr>
                    <w:adjustRightInd w:val="0"/>
                    <w:snapToGrid w:val="0"/>
                    <w:spacing w:line="240" w:lineRule="auto"/>
                    <w:ind w:firstLine="0" w:firstLineChars="0"/>
                    <w:jc w:val="center"/>
                    <w:rPr>
                      <w:sz w:val="21"/>
                      <w:szCs w:val="21"/>
                    </w:rPr>
                  </w:pPr>
                  <w:r>
                    <w:rPr>
                      <w:sz w:val="21"/>
                      <w:szCs w:val="21"/>
                    </w:rPr>
                    <w:t>进一步优化区域内空间布局，处理好与城镇发展的布局性矛盾。严格控制东部临港产业区、西部临港产业区和港口运输物流仓储区周边用地规划，污染重、环境风险大的生产装置、储罐应远离居民区。</w:t>
                  </w:r>
                </w:p>
              </w:tc>
              <w:tc>
                <w:tcPr>
                  <w:tcW w:w="2136" w:type="pct"/>
                  <w:vAlign w:val="center"/>
                </w:tcPr>
                <w:p w14:paraId="210A5D29">
                  <w:pPr>
                    <w:adjustRightInd w:val="0"/>
                    <w:snapToGrid w:val="0"/>
                    <w:spacing w:line="240" w:lineRule="auto"/>
                    <w:ind w:firstLine="0" w:firstLineChars="0"/>
                    <w:jc w:val="center"/>
                    <w:rPr>
                      <w:sz w:val="21"/>
                      <w:szCs w:val="21"/>
                    </w:rPr>
                  </w:pPr>
                  <w:r>
                    <w:rPr>
                      <w:rFonts w:hint="eastAsia"/>
                      <w:sz w:val="21"/>
                      <w:szCs w:val="21"/>
                    </w:rPr>
                    <w:t>扩建</w:t>
                  </w:r>
                  <w:r>
                    <w:rPr>
                      <w:sz w:val="21"/>
                      <w:szCs w:val="21"/>
                    </w:rPr>
                    <w:t>工程处于福州港江阴港区壁头作业区，项目远离居民区，距离项目最近敏感点为</w:t>
                  </w:r>
                  <w:r>
                    <w:rPr>
                      <w:rFonts w:hint="eastAsia"/>
                      <w:sz w:val="21"/>
                      <w:szCs w:val="21"/>
                    </w:rPr>
                    <w:t>2692m</w:t>
                  </w:r>
                  <w:r>
                    <w:rPr>
                      <w:sz w:val="21"/>
                      <w:szCs w:val="21"/>
                    </w:rPr>
                    <w:t>外的</w:t>
                  </w:r>
                  <w:r>
                    <w:rPr>
                      <w:rFonts w:hint="eastAsia"/>
                      <w:sz w:val="21"/>
                      <w:szCs w:val="21"/>
                    </w:rPr>
                    <w:t>西后林村</w:t>
                  </w:r>
                  <w:r>
                    <w:rPr>
                      <w:sz w:val="21"/>
                      <w:szCs w:val="21"/>
                    </w:rPr>
                    <w:t>，符合规划环评要求。</w:t>
                  </w:r>
                </w:p>
              </w:tc>
              <w:tc>
                <w:tcPr>
                  <w:tcW w:w="372" w:type="pct"/>
                  <w:vAlign w:val="center"/>
                </w:tcPr>
                <w:p w14:paraId="4AC397B8">
                  <w:pPr>
                    <w:adjustRightInd w:val="0"/>
                    <w:snapToGrid w:val="0"/>
                    <w:spacing w:line="240" w:lineRule="auto"/>
                    <w:ind w:firstLine="0" w:firstLineChars="0"/>
                    <w:jc w:val="center"/>
                    <w:rPr>
                      <w:sz w:val="21"/>
                      <w:szCs w:val="21"/>
                    </w:rPr>
                  </w:pPr>
                  <w:r>
                    <w:rPr>
                      <w:sz w:val="21"/>
                      <w:szCs w:val="21"/>
                    </w:rPr>
                    <w:t>符合</w:t>
                  </w:r>
                </w:p>
              </w:tc>
            </w:tr>
            <w:tr w14:paraId="3DF5B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2B2ECEC2">
                  <w:pPr>
                    <w:adjustRightInd w:val="0"/>
                    <w:snapToGrid w:val="0"/>
                    <w:spacing w:line="240" w:lineRule="auto"/>
                    <w:ind w:firstLine="0" w:firstLineChars="0"/>
                    <w:jc w:val="center"/>
                    <w:rPr>
                      <w:sz w:val="21"/>
                      <w:szCs w:val="21"/>
                    </w:rPr>
                  </w:pPr>
                  <w:r>
                    <w:rPr>
                      <w:sz w:val="21"/>
                      <w:szCs w:val="21"/>
                    </w:rPr>
                    <w:t>2</w:t>
                  </w:r>
                </w:p>
              </w:tc>
              <w:tc>
                <w:tcPr>
                  <w:tcW w:w="386" w:type="pct"/>
                  <w:vAlign w:val="center"/>
                </w:tcPr>
                <w:p w14:paraId="576A4055">
                  <w:pPr>
                    <w:adjustRightInd w:val="0"/>
                    <w:snapToGrid w:val="0"/>
                    <w:spacing w:line="240" w:lineRule="auto"/>
                    <w:ind w:firstLine="0" w:firstLineChars="0"/>
                    <w:jc w:val="center"/>
                    <w:rPr>
                      <w:sz w:val="21"/>
                      <w:szCs w:val="21"/>
                    </w:rPr>
                  </w:pPr>
                  <w:r>
                    <w:rPr>
                      <w:sz w:val="21"/>
                      <w:szCs w:val="21"/>
                    </w:rPr>
                    <w:t>功能定位和产业布局</w:t>
                  </w:r>
                </w:p>
              </w:tc>
              <w:tc>
                <w:tcPr>
                  <w:tcW w:w="1902" w:type="pct"/>
                  <w:vAlign w:val="center"/>
                </w:tcPr>
                <w:p w14:paraId="70DB0CF2">
                  <w:pPr>
                    <w:adjustRightInd w:val="0"/>
                    <w:snapToGrid w:val="0"/>
                    <w:spacing w:line="240" w:lineRule="auto"/>
                    <w:ind w:firstLine="0" w:firstLineChars="0"/>
                    <w:jc w:val="center"/>
                    <w:rPr>
                      <w:sz w:val="21"/>
                      <w:szCs w:val="21"/>
                    </w:rPr>
                  </w:pPr>
                  <w:r>
                    <w:rPr>
                      <w:sz w:val="21"/>
                      <w:szCs w:val="21"/>
                    </w:rPr>
                    <w:t>优化产业发展功能定位和产业布局、严格控制发展规模。临港产业化工区应重点发展以非炼化一体化的化工新材料为主导的产业链，适度布局异氰酸酯、聚碳酸酯、己内酰胺、丙烷脱氢项目。不得在新厝先进制造业基地和月亮湾先进制造业基地的工业用地引入以气污染为主的产业。</w:t>
                  </w:r>
                </w:p>
              </w:tc>
              <w:tc>
                <w:tcPr>
                  <w:tcW w:w="2136" w:type="pct"/>
                  <w:vAlign w:val="center"/>
                </w:tcPr>
                <w:p w14:paraId="3B290664">
                  <w:pPr>
                    <w:adjustRightInd w:val="0"/>
                    <w:snapToGrid w:val="0"/>
                    <w:spacing w:line="240" w:lineRule="auto"/>
                    <w:ind w:firstLine="0" w:firstLineChars="0"/>
                    <w:jc w:val="center"/>
                    <w:rPr>
                      <w:sz w:val="21"/>
                      <w:szCs w:val="21"/>
                    </w:rPr>
                  </w:pPr>
                  <w:r>
                    <w:rPr>
                      <w:sz w:val="21"/>
                      <w:szCs w:val="21"/>
                    </w:rPr>
                    <w:t>根据规划环评江阴港城产业引进的环保准入条件一览表，</w:t>
                  </w:r>
                  <w:r>
                    <w:rPr>
                      <w:rFonts w:hint="eastAsia"/>
                      <w:sz w:val="21"/>
                      <w:szCs w:val="21"/>
                    </w:rPr>
                    <w:t>扩建</w:t>
                  </w:r>
                  <w:r>
                    <w:rPr>
                      <w:sz w:val="21"/>
                      <w:szCs w:val="21"/>
                    </w:rPr>
                    <w:t>工程</w:t>
                  </w:r>
                  <w:r>
                    <w:rPr>
                      <w:rFonts w:hint="eastAsia"/>
                      <w:sz w:val="21"/>
                      <w:szCs w:val="21"/>
                    </w:rPr>
                    <w:t>属于仓储项目</w:t>
                  </w:r>
                  <w:r>
                    <w:rPr>
                      <w:sz w:val="21"/>
                      <w:szCs w:val="21"/>
                    </w:rPr>
                    <w:t>，不属于禁止/严格控制单元。因此，项目符合</w:t>
                  </w:r>
                  <w:r>
                    <w:rPr>
                      <w:rFonts w:hint="eastAsia"/>
                      <w:sz w:val="21"/>
                      <w:szCs w:val="21"/>
                    </w:rPr>
                    <w:t>江阴港城</w:t>
                  </w:r>
                  <w:r>
                    <w:rPr>
                      <w:sz w:val="21"/>
                      <w:szCs w:val="21"/>
                    </w:rPr>
                    <w:t>产业区布局。</w:t>
                  </w:r>
                </w:p>
              </w:tc>
              <w:tc>
                <w:tcPr>
                  <w:tcW w:w="372" w:type="pct"/>
                  <w:vAlign w:val="center"/>
                </w:tcPr>
                <w:p w14:paraId="75621EE4">
                  <w:pPr>
                    <w:adjustRightInd w:val="0"/>
                    <w:snapToGrid w:val="0"/>
                    <w:spacing w:line="240" w:lineRule="auto"/>
                    <w:ind w:firstLine="0" w:firstLineChars="0"/>
                    <w:jc w:val="center"/>
                    <w:rPr>
                      <w:sz w:val="21"/>
                      <w:szCs w:val="21"/>
                    </w:rPr>
                  </w:pPr>
                  <w:r>
                    <w:rPr>
                      <w:sz w:val="21"/>
                      <w:szCs w:val="21"/>
                    </w:rPr>
                    <w:t>符合</w:t>
                  </w:r>
                </w:p>
              </w:tc>
            </w:tr>
            <w:tr w14:paraId="35D76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63312CCC">
                  <w:pPr>
                    <w:adjustRightInd w:val="0"/>
                    <w:snapToGrid w:val="0"/>
                    <w:spacing w:line="240" w:lineRule="auto"/>
                    <w:ind w:firstLine="0" w:firstLineChars="0"/>
                    <w:jc w:val="center"/>
                    <w:rPr>
                      <w:sz w:val="21"/>
                      <w:szCs w:val="21"/>
                    </w:rPr>
                  </w:pPr>
                  <w:r>
                    <w:rPr>
                      <w:sz w:val="21"/>
                      <w:szCs w:val="21"/>
                    </w:rPr>
                    <w:t>3</w:t>
                  </w:r>
                </w:p>
              </w:tc>
              <w:tc>
                <w:tcPr>
                  <w:tcW w:w="386" w:type="pct"/>
                  <w:vAlign w:val="center"/>
                </w:tcPr>
                <w:p w14:paraId="47959718">
                  <w:pPr>
                    <w:adjustRightInd w:val="0"/>
                    <w:snapToGrid w:val="0"/>
                    <w:spacing w:line="240" w:lineRule="auto"/>
                    <w:ind w:firstLine="0" w:firstLineChars="0"/>
                    <w:jc w:val="center"/>
                    <w:rPr>
                      <w:sz w:val="21"/>
                      <w:szCs w:val="21"/>
                    </w:rPr>
                  </w:pPr>
                  <w:r>
                    <w:rPr>
                      <w:sz w:val="21"/>
                      <w:szCs w:val="21"/>
                    </w:rPr>
                    <w:t>严格入园企业环境管理</w:t>
                  </w:r>
                </w:p>
              </w:tc>
              <w:tc>
                <w:tcPr>
                  <w:tcW w:w="1902" w:type="pct"/>
                  <w:vAlign w:val="center"/>
                </w:tcPr>
                <w:p w14:paraId="1E52DBE9">
                  <w:pPr>
                    <w:adjustRightInd w:val="0"/>
                    <w:snapToGrid w:val="0"/>
                    <w:spacing w:line="240" w:lineRule="auto"/>
                    <w:ind w:firstLine="0" w:firstLineChars="0"/>
                    <w:jc w:val="center"/>
                    <w:rPr>
                      <w:sz w:val="21"/>
                      <w:szCs w:val="21"/>
                    </w:rPr>
                  </w:pPr>
                  <w:r>
                    <w:rPr>
                      <w:sz w:val="21"/>
                      <w:szCs w:val="21"/>
                    </w:rPr>
                    <w:t>严格控制入区项目的环境准入条件，入园企业的清洁生产至少要达到国内先进水平，逐步推进现有污染企业的升级改造。</w:t>
                  </w:r>
                </w:p>
              </w:tc>
              <w:tc>
                <w:tcPr>
                  <w:tcW w:w="2136" w:type="pct"/>
                  <w:vAlign w:val="center"/>
                </w:tcPr>
                <w:p w14:paraId="5A71A282">
                  <w:pPr>
                    <w:adjustRightInd w:val="0"/>
                    <w:snapToGrid w:val="0"/>
                    <w:spacing w:line="240" w:lineRule="auto"/>
                    <w:ind w:firstLine="0" w:firstLineChars="0"/>
                    <w:jc w:val="center"/>
                    <w:rPr>
                      <w:sz w:val="21"/>
                      <w:szCs w:val="21"/>
                    </w:rPr>
                  </w:pPr>
                  <w:r>
                    <w:rPr>
                      <w:rFonts w:hint="eastAsia" w:cs="宋体"/>
                      <w:sz w:val="21"/>
                      <w:szCs w:val="21"/>
                    </w:rPr>
                    <w:t>扩建项目属于</w:t>
                  </w:r>
                  <w:r>
                    <w:rPr>
                      <w:rFonts w:cs="宋体"/>
                      <w:sz w:val="21"/>
                      <w:szCs w:val="21"/>
                    </w:rPr>
                    <w:t>配套</w:t>
                  </w:r>
                  <w:r>
                    <w:rPr>
                      <w:rFonts w:hint="eastAsia" w:cs="宋体"/>
                      <w:sz w:val="21"/>
                      <w:szCs w:val="21"/>
                    </w:rPr>
                    <w:t>储罐项目，其生产工艺、设备、污染治理技术，以及单位产品能耗、物耗、污染物排放和资源利用效率应满足行业准入要求。</w:t>
                  </w:r>
                </w:p>
              </w:tc>
              <w:tc>
                <w:tcPr>
                  <w:tcW w:w="372" w:type="pct"/>
                  <w:vAlign w:val="center"/>
                </w:tcPr>
                <w:p w14:paraId="14D57388">
                  <w:pPr>
                    <w:adjustRightInd w:val="0"/>
                    <w:snapToGrid w:val="0"/>
                    <w:spacing w:line="240" w:lineRule="auto"/>
                    <w:ind w:firstLine="0" w:firstLineChars="0"/>
                    <w:jc w:val="center"/>
                    <w:rPr>
                      <w:sz w:val="21"/>
                      <w:szCs w:val="21"/>
                    </w:rPr>
                  </w:pPr>
                  <w:r>
                    <w:rPr>
                      <w:sz w:val="21"/>
                      <w:szCs w:val="21"/>
                    </w:rPr>
                    <w:t>符合</w:t>
                  </w:r>
                </w:p>
              </w:tc>
            </w:tr>
            <w:tr w14:paraId="7AF42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7F3447FD">
                  <w:pPr>
                    <w:adjustRightInd w:val="0"/>
                    <w:snapToGrid w:val="0"/>
                    <w:spacing w:line="240" w:lineRule="auto"/>
                    <w:ind w:firstLine="0" w:firstLineChars="0"/>
                    <w:jc w:val="center"/>
                    <w:rPr>
                      <w:sz w:val="21"/>
                      <w:szCs w:val="21"/>
                    </w:rPr>
                  </w:pPr>
                  <w:r>
                    <w:rPr>
                      <w:sz w:val="21"/>
                      <w:szCs w:val="21"/>
                    </w:rPr>
                    <w:t>4</w:t>
                  </w:r>
                </w:p>
              </w:tc>
              <w:tc>
                <w:tcPr>
                  <w:tcW w:w="386" w:type="pct"/>
                  <w:vAlign w:val="center"/>
                </w:tcPr>
                <w:p w14:paraId="120D29D8">
                  <w:pPr>
                    <w:adjustRightInd w:val="0"/>
                    <w:snapToGrid w:val="0"/>
                    <w:spacing w:line="240" w:lineRule="auto"/>
                    <w:ind w:firstLine="0" w:firstLineChars="0"/>
                    <w:jc w:val="center"/>
                    <w:rPr>
                      <w:sz w:val="21"/>
                      <w:szCs w:val="21"/>
                    </w:rPr>
                  </w:pPr>
                  <w:r>
                    <w:rPr>
                      <w:sz w:val="21"/>
                      <w:szCs w:val="21"/>
                    </w:rPr>
                    <w:t>优化资源利用</w:t>
                  </w:r>
                </w:p>
              </w:tc>
              <w:tc>
                <w:tcPr>
                  <w:tcW w:w="1902" w:type="pct"/>
                  <w:vAlign w:val="center"/>
                </w:tcPr>
                <w:p w14:paraId="248F16A8">
                  <w:pPr>
                    <w:adjustRightInd w:val="0"/>
                    <w:snapToGrid w:val="0"/>
                    <w:spacing w:line="240" w:lineRule="auto"/>
                    <w:ind w:firstLine="0" w:firstLineChars="0"/>
                    <w:jc w:val="center"/>
                    <w:rPr>
                      <w:sz w:val="21"/>
                      <w:szCs w:val="21"/>
                    </w:rPr>
                  </w:pPr>
                  <w:r>
                    <w:rPr>
                      <w:sz w:val="21"/>
                      <w:szCs w:val="21"/>
                    </w:rPr>
                    <w:t>加强水资源再生利用，持续提高水资源利用率，减少跨流域调水量。优化能源结构，实施集中供热，鼓励使用清洁能源。</w:t>
                  </w:r>
                </w:p>
              </w:tc>
              <w:tc>
                <w:tcPr>
                  <w:tcW w:w="2136" w:type="pct"/>
                  <w:vAlign w:val="center"/>
                </w:tcPr>
                <w:p w14:paraId="76353525">
                  <w:pPr>
                    <w:adjustRightInd w:val="0"/>
                    <w:snapToGrid w:val="0"/>
                    <w:spacing w:line="240" w:lineRule="auto"/>
                    <w:ind w:firstLine="0" w:firstLineChars="0"/>
                    <w:jc w:val="center"/>
                    <w:rPr>
                      <w:sz w:val="21"/>
                      <w:szCs w:val="21"/>
                    </w:rPr>
                  </w:pPr>
                  <w:r>
                    <w:rPr>
                      <w:rFonts w:hint="eastAsia"/>
                      <w:sz w:val="21"/>
                      <w:szCs w:val="21"/>
                    </w:rPr>
                    <w:t>扩建项目循环冷却水循环使用，水资质利用率较高，主要使用电能及</w:t>
                  </w:r>
                  <w:r>
                    <w:rPr>
                      <w:rFonts w:hint="eastAsia" w:cs="宋体"/>
                      <w:sz w:val="21"/>
                      <w:szCs w:val="21"/>
                    </w:rPr>
                    <w:t>国电发电有限公司</w:t>
                  </w:r>
                  <w:r>
                    <w:rPr>
                      <w:sz w:val="21"/>
                      <w:szCs w:val="21"/>
                    </w:rPr>
                    <w:t>提供蒸汽。</w:t>
                  </w:r>
                </w:p>
              </w:tc>
              <w:tc>
                <w:tcPr>
                  <w:tcW w:w="372" w:type="pct"/>
                  <w:vAlign w:val="center"/>
                </w:tcPr>
                <w:p w14:paraId="2244658D">
                  <w:pPr>
                    <w:adjustRightInd w:val="0"/>
                    <w:snapToGrid w:val="0"/>
                    <w:spacing w:line="240" w:lineRule="auto"/>
                    <w:ind w:firstLine="0" w:firstLineChars="0"/>
                    <w:jc w:val="center"/>
                    <w:rPr>
                      <w:sz w:val="21"/>
                      <w:szCs w:val="21"/>
                    </w:rPr>
                  </w:pPr>
                  <w:r>
                    <w:rPr>
                      <w:sz w:val="21"/>
                      <w:szCs w:val="21"/>
                    </w:rPr>
                    <w:t>符合</w:t>
                  </w:r>
                </w:p>
              </w:tc>
            </w:tr>
            <w:tr w14:paraId="00DE4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1437E1F1">
                  <w:pPr>
                    <w:adjustRightInd w:val="0"/>
                    <w:snapToGrid w:val="0"/>
                    <w:spacing w:line="240" w:lineRule="auto"/>
                    <w:ind w:firstLine="0" w:firstLineChars="0"/>
                    <w:jc w:val="center"/>
                    <w:rPr>
                      <w:sz w:val="21"/>
                      <w:szCs w:val="21"/>
                    </w:rPr>
                  </w:pPr>
                  <w:r>
                    <w:rPr>
                      <w:sz w:val="21"/>
                      <w:szCs w:val="21"/>
                    </w:rPr>
                    <w:t>5</w:t>
                  </w:r>
                </w:p>
              </w:tc>
              <w:tc>
                <w:tcPr>
                  <w:tcW w:w="386" w:type="pct"/>
                  <w:vAlign w:val="center"/>
                </w:tcPr>
                <w:p w14:paraId="26A4324C">
                  <w:pPr>
                    <w:adjustRightInd w:val="0"/>
                    <w:snapToGrid w:val="0"/>
                    <w:spacing w:line="240" w:lineRule="auto"/>
                    <w:ind w:firstLine="0" w:firstLineChars="0"/>
                    <w:jc w:val="center"/>
                    <w:rPr>
                      <w:sz w:val="21"/>
                      <w:szCs w:val="21"/>
                    </w:rPr>
                  </w:pPr>
                  <w:r>
                    <w:rPr>
                      <w:sz w:val="21"/>
                      <w:szCs w:val="21"/>
                    </w:rPr>
                    <w:t>建立健全园区环境风险防控体系</w:t>
                  </w:r>
                </w:p>
              </w:tc>
              <w:tc>
                <w:tcPr>
                  <w:tcW w:w="1902" w:type="pct"/>
                  <w:vAlign w:val="center"/>
                </w:tcPr>
                <w:p w14:paraId="5CCA35D9">
                  <w:pPr>
                    <w:adjustRightInd w:val="0"/>
                    <w:snapToGrid w:val="0"/>
                    <w:spacing w:line="240" w:lineRule="auto"/>
                    <w:ind w:firstLine="0" w:firstLineChars="0"/>
                    <w:jc w:val="center"/>
                    <w:rPr>
                      <w:sz w:val="21"/>
                      <w:szCs w:val="21"/>
                    </w:rPr>
                  </w:pPr>
                  <w:r>
                    <w:rPr>
                      <w:sz w:val="21"/>
                      <w:szCs w:val="21"/>
                    </w:rPr>
                    <w:t>在各企业设置环境风险事故应急池的基础上，东部临港产业区、西部临港产业区分区建设足够容量的环境风险公共事故应急池，确保事故水可以通过倒流系统进入应急池中，防止事故水进入外环境。</w:t>
                  </w:r>
                </w:p>
              </w:tc>
              <w:tc>
                <w:tcPr>
                  <w:tcW w:w="2136" w:type="pct"/>
                  <w:vAlign w:val="center"/>
                </w:tcPr>
                <w:p w14:paraId="4C9BF9D8">
                  <w:pPr>
                    <w:adjustRightInd w:val="0"/>
                    <w:snapToGrid w:val="0"/>
                    <w:spacing w:line="240" w:lineRule="auto"/>
                    <w:ind w:firstLine="0" w:firstLineChars="0"/>
                    <w:jc w:val="center"/>
                    <w:rPr>
                      <w:sz w:val="21"/>
                      <w:szCs w:val="21"/>
                    </w:rPr>
                  </w:pPr>
                  <w:r>
                    <w:rPr>
                      <w:rFonts w:hint="eastAsia"/>
                      <w:sz w:val="21"/>
                      <w:szCs w:val="21"/>
                    </w:rPr>
                    <w:t>扩建项目</w:t>
                  </w:r>
                  <w:r>
                    <w:rPr>
                      <w:sz w:val="21"/>
                      <w:szCs w:val="21"/>
                    </w:rPr>
                    <w:t>罐区周围设置围堰，设置事故消防水收集系统，即将含有毒有害物料的事故消防水等收集后</w:t>
                  </w:r>
                  <w:r>
                    <w:rPr>
                      <w:rFonts w:hint="eastAsia"/>
                      <w:sz w:val="21"/>
                      <w:szCs w:val="21"/>
                    </w:rPr>
                    <w:t>，并依托中民新能源的</w:t>
                  </w:r>
                  <w:r>
                    <w:rPr>
                      <w:sz w:val="21"/>
                      <w:szCs w:val="21"/>
                    </w:rPr>
                    <w:t>事故应急池。根据以上要求可知，</w:t>
                  </w:r>
                  <w:r>
                    <w:rPr>
                      <w:rFonts w:hint="eastAsia"/>
                      <w:sz w:val="21"/>
                      <w:szCs w:val="21"/>
                    </w:rPr>
                    <w:t>扩建项目</w:t>
                  </w:r>
                  <w:r>
                    <w:rPr>
                      <w:sz w:val="21"/>
                      <w:szCs w:val="21"/>
                    </w:rPr>
                    <w:t>配套有完善的</w:t>
                  </w:r>
                  <w:r>
                    <w:rPr>
                      <w:rFonts w:hint="eastAsia"/>
                      <w:sz w:val="21"/>
                      <w:szCs w:val="21"/>
                    </w:rPr>
                    <w:t>“单元-厂区-园区/区域”的环境风险防控体系</w:t>
                  </w:r>
                  <w:r>
                    <w:rPr>
                      <w:sz w:val="21"/>
                      <w:szCs w:val="21"/>
                    </w:rPr>
                    <w:t>，满足规划环评及其审查意见的要求。</w:t>
                  </w:r>
                </w:p>
              </w:tc>
              <w:tc>
                <w:tcPr>
                  <w:tcW w:w="372" w:type="pct"/>
                  <w:vAlign w:val="center"/>
                </w:tcPr>
                <w:p w14:paraId="0ECF51B7">
                  <w:pPr>
                    <w:adjustRightInd w:val="0"/>
                    <w:snapToGrid w:val="0"/>
                    <w:spacing w:line="240" w:lineRule="auto"/>
                    <w:ind w:firstLine="0" w:firstLineChars="0"/>
                    <w:jc w:val="center"/>
                    <w:rPr>
                      <w:sz w:val="21"/>
                      <w:szCs w:val="21"/>
                    </w:rPr>
                  </w:pPr>
                  <w:r>
                    <w:rPr>
                      <w:sz w:val="21"/>
                      <w:szCs w:val="21"/>
                    </w:rPr>
                    <w:t>符合</w:t>
                  </w:r>
                </w:p>
              </w:tc>
            </w:tr>
          </w:tbl>
          <w:p w14:paraId="251284C8">
            <w:pPr>
              <w:snapToGrid w:val="0"/>
              <w:ind w:firstLine="480"/>
            </w:pPr>
            <w:r>
              <w:t>综上所述，</w:t>
            </w:r>
            <w:r>
              <w:rPr>
                <w:rFonts w:hint="eastAsia"/>
              </w:rPr>
              <w:t>扩建项目</w:t>
            </w:r>
            <w:r>
              <w:t>符合《福州港总体规划（修订）环境影响报告书》及《江阴港城总体规划（2018-2035）》规划环评审查意见。</w:t>
            </w:r>
          </w:p>
          <w:p w14:paraId="6751FC36">
            <w:pPr>
              <w:snapToGrid w:val="0"/>
              <w:ind w:firstLine="480"/>
            </w:pPr>
            <w:r>
              <w:rPr>
                <w:rFonts w:hint="eastAsia"/>
              </w:rPr>
              <w:t>根据</w:t>
            </w:r>
            <w:r>
              <w:t>《福州江阴港城总体规划（2018-2035年）环境影响报告书》</w:t>
            </w:r>
            <w:r>
              <w:rPr>
                <w:rFonts w:hint="eastAsia"/>
              </w:rPr>
              <w:t>中规划区企业</w:t>
            </w:r>
            <w:r>
              <w:t>环境风险的防范措施</w:t>
            </w:r>
            <w:r>
              <w:rPr>
                <w:rFonts w:hint="eastAsia"/>
              </w:rPr>
              <w:t>的要求。</w:t>
            </w:r>
          </w:p>
          <w:p w14:paraId="13E10BF6">
            <w:pPr>
              <w:pStyle w:val="2"/>
              <w:ind w:firstLine="480"/>
              <w:rPr>
                <w:lang w:val="en-US" w:eastAsia="zh-CN"/>
              </w:rPr>
            </w:pPr>
          </w:p>
          <w:p w14:paraId="76D8926B">
            <w:pPr>
              <w:snapToGrid w:val="0"/>
              <w:ind w:firstLine="482"/>
              <w:rPr>
                <w:b/>
              </w:rPr>
            </w:pPr>
            <w:r>
              <w:rPr>
                <w:rFonts w:hint="eastAsia"/>
                <w:b/>
              </w:rPr>
              <w:t>（一）10.2.6.2</w:t>
            </w:r>
            <w:r>
              <w:rPr>
                <w:b/>
              </w:rPr>
              <w:t>危险物质的监控和限制</w:t>
            </w:r>
          </w:p>
          <w:p w14:paraId="3EE180EB">
            <w:pPr>
              <w:snapToGrid w:val="0"/>
              <w:ind w:firstLine="480"/>
              <w:jc w:val="left"/>
              <w:rPr>
                <w:szCs w:val="22"/>
              </w:rPr>
            </w:pPr>
            <w:r>
              <w:rPr>
                <w:rFonts w:hint="eastAsia"/>
                <w:szCs w:val="22"/>
              </w:rPr>
              <w:t>东、西部产业区内规划及现有企业</w:t>
            </w:r>
            <w:r>
              <w:rPr>
                <w:szCs w:val="22"/>
              </w:rPr>
              <w:t>中</w:t>
            </w:r>
            <w:r>
              <w:rPr>
                <w:rFonts w:hint="eastAsia"/>
                <w:szCs w:val="22"/>
              </w:rPr>
              <w:t>涉及的</w:t>
            </w:r>
            <w:r>
              <w:rPr>
                <w:szCs w:val="22"/>
              </w:rPr>
              <w:t>危险物质已包括了属易燃易爆甲类、属极度危害毒物和恶臭类等多种类型，对这些物品的分布、流向、数量必须加以监控和必要的限制，建立动态管理信息库，工业区内联成网络。园区应建设完善的危险物质监控监测系统</w:t>
            </w:r>
            <w:r>
              <w:rPr>
                <w:rFonts w:hint="eastAsia"/>
                <w:szCs w:val="22"/>
              </w:rPr>
              <w:t>，</w:t>
            </w:r>
            <w:r>
              <w:rPr>
                <w:szCs w:val="22"/>
              </w:rPr>
              <w:t>加强对危险物质的监测与管控</w:t>
            </w:r>
            <w:r>
              <w:rPr>
                <w:rFonts w:hint="eastAsia"/>
                <w:szCs w:val="22"/>
              </w:rPr>
              <w:t>，</w:t>
            </w:r>
            <w:r>
              <w:rPr>
                <w:szCs w:val="22"/>
              </w:rPr>
              <w:t>具体建议如下</w:t>
            </w:r>
            <w:r>
              <w:rPr>
                <w:rFonts w:hint="eastAsia"/>
                <w:szCs w:val="22"/>
              </w:rPr>
              <w:t>：</w:t>
            </w:r>
          </w:p>
          <w:p w14:paraId="1736B37B">
            <w:pPr>
              <w:snapToGrid w:val="0"/>
              <w:ind w:firstLine="480"/>
              <w:jc w:val="left"/>
              <w:rPr>
                <w:szCs w:val="22"/>
              </w:rPr>
            </w:pPr>
            <w:r>
              <w:rPr>
                <w:rFonts w:hint="eastAsia"/>
                <w:szCs w:val="22"/>
              </w:rPr>
              <w:t>①建设企业、园区两级监控系统。企业应对于涉及危险物质的生产系统、储运系统、污染物处置系统等，设置针对性的监控监测设施，并与企业应急报警系统联网；园区针对危险性较大的风险物质，如光气、氨气、氯气等，在园区范围内设置监控监测系统，应按照监测标准和规范，综合考虑园区风向、敏感点位置等因素，合理布设监测点位，园区应至少布设2个自动监测点位；在危险物质储存、使用场所及运输路线上，设置必要的监控探头，并与应急指挥中心联网；</w:t>
            </w:r>
          </w:p>
          <w:p w14:paraId="7D4E89D6">
            <w:pPr>
              <w:snapToGrid w:val="0"/>
              <w:ind w:firstLine="480"/>
              <w:jc w:val="left"/>
              <w:rPr>
                <w:szCs w:val="22"/>
              </w:rPr>
            </w:pPr>
            <w:r>
              <w:rPr>
                <w:rFonts w:hint="eastAsia"/>
                <w:szCs w:val="22"/>
              </w:rPr>
              <w:t>②建设园区应急监控与指挥体系。园区应完善应急指挥体系建设，加强重点企业与园区监控系统、监控系统与报警、指挥系统的联网。建设统一的应急指挥平台，实现实时监控、综合汇总</w:t>
            </w:r>
            <w:r>
              <w:rPr>
                <w:rFonts w:hint="eastAsia"/>
                <w:szCs w:val="22"/>
                <w:lang w:eastAsia="zh-CN"/>
              </w:rPr>
              <w:t>及</w:t>
            </w:r>
            <w:r>
              <w:rPr>
                <w:rFonts w:hint="eastAsia"/>
                <w:szCs w:val="22"/>
              </w:rPr>
              <w:t>时发布、统一指挥等功能，应急时起到协调各部门、各企业等多方力量，统筹调配各方应急资源的目的，强化作为园区“应急指挥大脑”的功能；</w:t>
            </w:r>
          </w:p>
          <w:p w14:paraId="58631A3C">
            <w:pPr>
              <w:snapToGrid w:val="0"/>
              <w:ind w:firstLine="480"/>
              <w:jc w:val="left"/>
              <w:rPr>
                <w:szCs w:val="22"/>
              </w:rPr>
            </w:pPr>
            <w:r>
              <w:rPr>
                <w:rFonts w:hint="eastAsia"/>
                <w:szCs w:val="22"/>
              </w:rPr>
              <w:t>符合性分析：扩建项目罐区拟设置可燃气体检测设施，园区已设置</w:t>
            </w:r>
            <w:r>
              <w:rPr>
                <w:rFonts w:hint="eastAsia"/>
                <w:szCs w:val="22"/>
                <w:lang w:eastAsia="zh-CN"/>
              </w:rPr>
              <w:t>有</w:t>
            </w:r>
            <w:r>
              <w:rPr>
                <w:rFonts w:hint="eastAsia"/>
                <w:szCs w:val="22"/>
              </w:rPr>
              <w:t>毒有害气体监测站点。</w:t>
            </w:r>
          </w:p>
          <w:p w14:paraId="46EDCC94">
            <w:pPr>
              <w:snapToGrid w:val="0"/>
              <w:ind w:firstLine="480"/>
              <w:jc w:val="left"/>
              <w:rPr>
                <w:szCs w:val="22"/>
              </w:rPr>
            </w:pPr>
            <w:r>
              <w:rPr>
                <w:rFonts w:hint="eastAsia"/>
                <w:szCs w:val="22"/>
              </w:rPr>
              <w:t>目前福州新区管理委员会建设有应急指挥中心，该中心配备视频采集及显示单元、扩声单元、集中控制单元、服务器、PC机等设施。现有监控指挥中心及配套设施能够承载园区有毒有害气体环境风险预警系统的正常运转。</w:t>
            </w:r>
          </w:p>
          <w:p w14:paraId="7FD343D0">
            <w:pPr>
              <w:snapToGrid w:val="0"/>
              <w:ind w:firstLine="482"/>
              <w:rPr>
                <w:b/>
              </w:rPr>
            </w:pPr>
            <w:r>
              <w:rPr>
                <w:rFonts w:hint="eastAsia"/>
                <w:b/>
              </w:rPr>
              <w:t>（二）10.2.6.4</w:t>
            </w:r>
            <w:r>
              <w:rPr>
                <w:b/>
              </w:rPr>
              <w:t>建设项目开展安全评价和突发环境事件应急预案的编制</w:t>
            </w:r>
          </w:p>
          <w:p w14:paraId="0081B338">
            <w:pPr>
              <w:snapToGrid w:val="0"/>
              <w:ind w:firstLine="480"/>
              <w:jc w:val="left"/>
              <w:rPr>
                <w:szCs w:val="22"/>
              </w:rPr>
            </w:pPr>
            <w:r>
              <w:rPr>
                <w:rFonts w:hint="eastAsia"/>
                <w:szCs w:val="22"/>
              </w:rPr>
              <w:t>东、西部产业区内企业</w:t>
            </w:r>
            <w:r>
              <w:rPr>
                <w:szCs w:val="22"/>
              </w:rPr>
              <w:t>按国家</w:t>
            </w:r>
            <w:r>
              <w:rPr>
                <w:rFonts w:hint="eastAsia"/>
                <w:szCs w:val="22"/>
                <w:lang w:eastAsia="zh-CN"/>
              </w:rPr>
              <w:t>应急管理局</w:t>
            </w:r>
            <w:r>
              <w:rPr>
                <w:szCs w:val="22"/>
              </w:rPr>
              <w:t>颁发的建设项目</w:t>
            </w:r>
            <w:r>
              <w:rPr>
                <w:rFonts w:hint="eastAsia"/>
                <w:szCs w:val="22"/>
              </w:rPr>
              <w:t>“</w:t>
            </w:r>
            <w:r>
              <w:rPr>
                <w:szCs w:val="22"/>
              </w:rPr>
              <w:t>安全评价导则</w:t>
            </w:r>
            <w:r>
              <w:rPr>
                <w:rFonts w:hint="eastAsia"/>
                <w:szCs w:val="22"/>
              </w:rPr>
              <w:t>”</w:t>
            </w:r>
            <w:r>
              <w:rPr>
                <w:szCs w:val="22"/>
              </w:rPr>
              <w:t>与</w:t>
            </w:r>
            <w:r>
              <w:rPr>
                <w:rFonts w:hint="eastAsia"/>
                <w:szCs w:val="22"/>
              </w:rPr>
              <w:t>“</w:t>
            </w:r>
            <w:r>
              <w:rPr>
                <w:szCs w:val="22"/>
              </w:rPr>
              <w:t>安全验收评价导则</w:t>
            </w:r>
            <w:r>
              <w:rPr>
                <w:rFonts w:hint="eastAsia"/>
                <w:szCs w:val="22"/>
              </w:rPr>
              <w:t>”</w:t>
            </w:r>
            <w:r>
              <w:rPr>
                <w:szCs w:val="22"/>
              </w:rPr>
              <w:t>的要求，对新建项目于建设前进行安全预评价，并且于建设后进行安全验收评价，危害分析与风险管理，有系统地从工程、系统设计、建设、运行等过程对事故和事故隐患进行科学分析，针对事故和事故隐患发生的各种可能原因和条件，提出消除危险的最佳措施，特别是从设计上采取相应措施，实现生产过程的本质安全化，做到即使发生误操作或设备故障，也不会因此导致重大事故发生。</w:t>
            </w:r>
          </w:p>
          <w:p w14:paraId="6CC87542">
            <w:pPr>
              <w:snapToGrid w:val="0"/>
              <w:ind w:firstLine="480"/>
              <w:jc w:val="left"/>
              <w:rPr>
                <w:szCs w:val="22"/>
              </w:rPr>
            </w:pPr>
            <w:r>
              <w:rPr>
                <w:rFonts w:hint="eastAsia"/>
                <w:szCs w:val="22"/>
              </w:rPr>
              <w:t>园区内涉及环境风险物质的企业，应按照国家关于环境风险管控要求，及时编制突发环境事件应急预案，并在</w:t>
            </w:r>
            <w:r>
              <w:rPr>
                <w:rFonts w:hint="eastAsia"/>
                <w:szCs w:val="22"/>
                <w:lang w:eastAsia="zh-CN"/>
              </w:rPr>
              <w:t>生态环境部</w:t>
            </w:r>
            <w:r>
              <w:rPr>
                <w:rFonts w:hint="eastAsia"/>
                <w:szCs w:val="22"/>
              </w:rPr>
              <w:t>门备案。企业应根据《预案》要求，完善环境风险防控措施和应急救援物资储备，并定期开展应急演练。园区管理机构和</w:t>
            </w:r>
            <w:r>
              <w:rPr>
                <w:rFonts w:hint="eastAsia"/>
                <w:szCs w:val="22"/>
                <w:lang w:eastAsia="zh-CN"/>
              </w:rPr>
              <w:t>生态环境部</w:t>
            </w:r>
            <w:r>
              <w:rPr>
                <w:rFonts w:hint="eastAsia"/>
                <w:szCs w:val="22"/>
              </w:rPr>
              <w:t>门应加强对企业环境风险防控措施</w:t>
            </w:r>
            <w:r>
              <w:rPr>
                <w:rFonts w:hint="eastAsia"/>
                <w:szCs w:val="22"/>
                <w:lang w:eastAsia="zh-CN"/>
              </w:rPr>
              <w:t>和</w:t>
            </w:r>
            <w:r>
              <w:rPr>
                <w:rFonts w:hint="eastAsia"/>
                <w:szCs w:val="22"/>
              </w:rPr>
              <w:t>应急救援物资储备的落实情况进行检查。</w:t>
            </w:r>
          </w:p>
          <w:p w14:paraId="23CB7099">
            <w:pPr>
              <w:snapToGrid w:val="0"/>
              <w:ind w:firstLine="480"/>
              <w:jc w:val="left"/>
              <w:rPr>
                <w:szCs w:val="22"/>
              </w:rPr>
            </w:pPr>
            <w:r>
              <w:rPr>
                <w:rFonts w:hint="eastAsia"/>
                <w:szCs w:val="22"/>
              </w:rPr>
              <w:t>符合性分析：扩建项目已开展安全预评价，已编制</w:t>
            </w:r>
            <w:r>
              <w:rPr>
                <w:szCs w:val="22"/>
              </w:rPr>
              <w:t>突发环境事件应急预案并报生态环境部门备案</w:t>
            </w:r>
            <w:r>
              <w:rPr>
                <w:rFonts w:hint="eastAsia"/>
                <w:szCs w:val="22"/>
              </w:rPr>
              <w:t>（备案号：</w:t>
            </w:r>
            <w:r>
              <w:rPr>
                <w:szCs w:val="22"/>
              </w:rPr>
              <w:t>350181-2025-00</w:t>
            </w:r>
            <w:r>
              <w:rPr>
                <w:rFonts w:hint="eastAsia"/>
                <w:szCs w:val="22"/>
              </w:rPr>
              <w:t>3</w:t>
            </w:r>
            <w:r>
              <w:rPr>
                <w:szCs w:val="22"/>
              </w:rPr>
              <w:t>-M</w:t>
            </w:r>
            <w:r>
              <w:rPr>
                <w:rFonts w:hint="eastAsia"/>
                <w:szCs w:val="22"/>
              </w:rPr>
              <w:t>），并拟对</w:t>
            </w:r>
            <w:r>
              <w:rPr>
                <w:szCs w:val="22"/>
              </w:rPr>
              <w:t>突发环境事件应急预案</w:t>
            </w:r>
            <w:r>
              <w:rPr>
                <w:rFonts w:hint="eastAsia"/>
                <w:szCs w:val="22"/>
              </w:rPr>
              <w:t>进行修编。</w:t>
            </w:r>
          </w:p>
          <w:p w14:paraId="2A360CDF">
            <w:pPr>
              <w:snapToGrid w:val="0"/>
              <w:ind w:firstLine="482"/>
              <w:rPr>
                <w:b/>
              </w:rPr>
            </w:pPr>
            <w:r>
              <w:rPr>
                <w:rFonts w:hint="eastAsia"/>
                <w:b/>
              </w:rPr>
              <w:t>（三）10.2.6.6东、西部产业区环保</w:t>
            </w:r>
            <w:r>
              <w:rPr>
                <w:b/>
              </w:rPr>
              <w:t>隔离带和控制带设置</w:t>
            </w:r>
          </w:p>
          <w:p w14:paraId="15976F95">
            <w:pPr>
              <w:snapToGrid w:val="0"/>
              <w:ind w:firstLine="480"/>
              <w:jc w:val="left"/>
              <w:rPr>
                <w:szCs w:val="22"/>
              </w:rPr>
            </w:pPr>
            <w:r>
              <w:rPr>
                <w:szCs w:val="22"/>
              </w:rPr>
              <w:fldChar w:fldCharType="begin"/>
            </w:r>
            <w:r>
              <w:rPr>
                <w:szCs w:val="22"/>
              </w:rPr>
              <w:instrText xml:space="preserve"> </w:instrText>
            </w:r>
            <w:r>
              <w:rPr>
                <w:rFonts w:hint="eastAsia"/>
                <w:szCs w:val="22"/>
              </w:rPr>
              <w:instrText xml:space="preserve">= 1 \* GB3</w:instrText>
            </w:r>
            <w:r>
              <w:rPr>
                <w:szCs w:val="22"/>
              </w:rPr>
              <w:instrText xml:space="preserve"> </w:instrText>
            </w:r>
            <w:r>
              <w:rPr>
                <w:szCs w:val="22"/>
              </w:rPr>
              <w:fldChar w:fldCharType="separate"/>
            </w:r>
            <w:r>
              <w:rPr>
                <w:rFonts w:hint="eastAsia"/>
                <w:szCs w:val="22"/>
              </w:rPr>
              <w:t>①</w:t>
            </w:r>
            <w:r>
              <w:rPr>
                <w:szCs w:val="22"/>
              </w:rPr>
              <w:fldChar w:fldCharType="end"/>
            </w:r>
            <w:r>
              <w:rPr>
                <w:rFonts w:hint="eastAsia"/>
                <w:szCs w:val="22"/>
              </w:rPr>
              <w:t>西部产业区环保隔离带及控制带的确定</w:t>
            </w:r>
          </w:p>
          <w:p w14:paraId="3A4D0F15">
            <w:pPr>
              <w:snapToGrid w:val="0"/>
              <w:ind w:firstLine="480"/>
              <w:jc w:val="left"/>
              <w:rPr>
                <w:szCs w:val="22"/>
              </w:rPr>
            </w:pPr>
            <w:r>
              <w:rPr>
                <w:rFonts w:hint="eastAsia"/>
                <w:szCs w:val="22"/>
              </w:rPr>
              <w:t>目前西部产业区企业已基本确定，而西部产业区化工企业都位于林芝路以西地块，本次江阴港城评价在确定隔离带时，结合目前的企业布置和村庄分布情况，将西部化工区环保隔离带以西部产业区边界以东500m范围。环保隔离带内不得有集中式居民区、学校、医院等敏感目标。目前，西部产业区边界500m环保隔离带内的居民点均已完成拆迁工作，建议在环保隔离带内</w:t>
            </w:r>
            <w:r>
              <w:rPr>
                <w:szCs w:val="22"/>
              </w:rPr>
              <w:t>设置绿化防护林带</w:t>
            </w:r>
            <w:r>
              <w:rPr>
                <w:rFonts w:hint="eastAsia"/>
                <w:szCs w:val="22"/>
              </w:rPr>
              <w:t>，</w:t>
            </w:r>
            <w:r>
              <w:rPr>
                <w:szCs w:val="22"/>
              </w:rPr>
              <w:t>减少</w:t>
            </w:r>
            <w:r>
              <w:rPr>
                <w:rFonts w:hint="eastAsia"/>
                <w:szCs w:val="22"/>
              </w:rPr>
              <w:t>化工、</w:t>
            </w:r>
            <w:r>
              <w:rPr>
                <w:szCs w:val="22"/>
              </w:rPr>
              <w:t>石化无组织排放对环境影响和防范事故减低大气风险危害</w:t>
            </w:r>
            <w:r>
              <w:rPr>
                <w:rFonts w:hint="eastAsia"/>
                <w:szCs w:val="22"/>
              </w:rPr>
              <w:t>。</w:t>
            </w:r>
            <w:r>
              <w:rPr>
                <w:szCs w:val="22"/>
              </w:rPr>
              <w:t>防护林带树木的种植，可以选择耐污染类树种。</w:t>
            </w:r>
          </w:p>
          <w:p w14:paraId="73F54A67">
            <w:pPr>
              <w:snapToGrid w:val="0"/>
              <w:ind w:firstLine="480"/>
              <w:jc w:val="left"/>
              <w:rPr>
                <w:szCs w:val="22"/>
              </w:rPr>
            </w:pPr>
            <w:r>
              <w:rPr>
                <w:rFonts w:hint="eastAsia"/>
                <w:szCs w:val="22"/>
              </w:rPr>
              <w:t>符合性：</w:t>
            </w:r>
            <w:r>
              <w:rPr>
                <w:szCs w:val="22"/>
              </w:rPr>
              <w:t>项目厂界与现状居民区距离均超过</w:t>
            </w:r>
            <w:r>
              <w:rPr>
                <w:rFonts w:hint="eastAsia"/>
                <w:szCs w:val="22"/>
              </w:rPr>
              <w:t>2692m</w:t>
            </w:r>
            <w:r>
              <w:rPr>
                <w:szCs w:val="22"/>
              </w:rPr>
              <w:t>。园区设置500m环保隔离带，</w:t>
            </w:r>
            <w:r>
              <w:rPr>
                <w:rFonts w:hint="eastAsia"/>
                <w:szCs w:val="22"/>
              </w:rPr>
              <w:t>扩建项目</w:t>
            </w:r>
            <w:r>
              <w:rPr>
                <w:szCs w:val="22"/>
              </w:rPr>
              <w:t>建成后，项目防护距离内无居民住宅、学校、医院等建筑，规划部门也不应再将其规划为居住、文教等用地。符合空间布局要求。</w:t>
            </w:r>
          </w:p>
          <w:p w14:paraId="5AF54871">
            <w:pPr>
              <w:snapToGrid w:val="0"/>
              <w:ind w:firstLine="482"/>
              <w:rPr>
                <w:b/>
              </w:rPr>
            </w:pPr>
            <w:r>
              <w:rPr>
                <w:rFonts w:hint="eastAsia"/>
                <w:b/>
              </w:rPr>
              <w:t>（四）10.2.6.9建设环境风险防范措施体系</w:t>
            </w:r>
          </w:p>
          <w:p w14:paraId="7DD9632D">
            <w:pPr>
              <w:ind w:firstLine="480"/>
            </w:pPr>
            <w:bookmarkStart w:id="4" w:name="_Toc157682244"/>
            <w:r>
              <w:rPr>
                <w:rFonts w:hint="eastAsia"/>
              </w:rPr>
              <w:t>二、</w:t>
            </w:r>
            <w:r>
              <w:t>减少</w:t>
            </w:r>
            <w:r>
              <w:rPr>
                <w:rFonts w:hint="eastAsia"/>
              </w:rPr>
              <w:t>工业企业</w:t>
            </w:r>
            <w:r>
              <w:t>环境风险的防范体系</w:t>
            </w:r>
            <w:bookmarkEnd w:id="4"/>
          </w:p>
          <w:p w14:paraId="5DB3EAA7">
            <w:pPr>
              <w:ind w:firstLine="480"/>
            </w:pPr>
            <w:r>
              <w:t>鉴于装置潜在事故可能引起环境危害，造成环境风险，因此防止和减少事故对环境造成的危害是生产运行中必须十分重视的任务。环境风险防范措施主要为防止事故产生的有毒有害物质泄漏进入环境。</w:t>
            </w:r>
          </w:p>
          <w:p w14:paraId="02D4F05B">
            <w:pPr>
              <w:ind w:firstLine="480"/>
            </w:pPr>
            <w:r>
              <w:rPr>
                <w:rFonts w:hint="eastAsia"/>
              </w:rPr>
              <w:t>（1）</w:t>
            </w:r>
            <w:r>
              <w:t>建立装置环境安全保障系统</w:t>
            </w:r>
          </w:p>
          <w:p w14:paraId="45D039C3">
            <w:pPr>
              <w:ind w:firstLine="480"/>
            </w:pPr>
            <w:r>
              <w:t>建立装置环境安全保障系统主要是在装置安全防护基础上包括：</w:t>
            </w:r>
          </w:p>
          <w:p w14:paraId="712BA0D7">
            <w:pPr>
              <w:ind w:firstLine="480"/>
            </w:pPr>
            <w:r>
              <w:rPr>
                <w:rFonts w:hint="eastAsia"/>
              </w:rPr>
              <w:t>①</w:t>
            </w:r>
            <w:r>
              <w:t>装置区</w:t>
            </w:r>
            <w:r>
              <w:rPr>
                <w:rFonts w:hint="eastAsia"/>
              </w:rPr>
              <w:t>、储罐区</w:t>
            </w:r>
            <w:r>
              <w:t>建立属重大危险源</w:t>
            </w:r>
            <w:r>
              <w:rPr>
                <w:rFonts w:hint="eastAsia"/>
              </w:rPr>
              <w:t>（特别是乙烷、丙烷、光气、氯气、丙烯罐区、液氨储罐、氯乙烯储罐、乙炔气柜等）</w:t>
            </w:r>
            <w:r>
              <w:t>的特征污染的常规监测，该监测同时具有事故监测报警功能；</w:t>
            </w:r>
          </w:p>
          <w:p w14:paraId="07BE751B">
            <w:pPr>
              <w:ind w:firstLine="480"/>
            </w:pPr>
            <w:r>
              <w:rPr>
                <w:rFonts w:hint="eastAsia"/>
              </w:rPr>
              <w:t>②</w:t>
            </w:r>
            <w:r>
              <w:t>建立对重大危险源自动监测报警和控制系统；</w:t>
            </w:r>
          </w:p>
          <w:p w14:paraId="138E1EEC">
            <w:pPr>
              <w:pStyle w:val="2"/>
              <w:ind w:firstLine="480"/>
              <w:rPr>
                <w:lang w:val="en-US" w:eastAsia="zh-CN"/>
              </w:rPr>
            </w:pPr>
            <w:r>
              <w:rPr>
                <w:rFonts w:hint="eastAsia"/>
                <w:lang w:val="en-US" w:eastAsia="zh-CN"/>
              </w:rPr>
              <w:t>……</w:t>
            </w:r>
          </w:p>
          <w:p w14:paraId="52688A16">
            <w:pPr>
              <w:ind w:firstLine="480"/>
            </w:pPr>
            <w:r>
              <w:rPr>
                <w:rFonts w:hint="eastAsia"/>
              </w:rPr>
              <w:t>（2）</w:t>
            </w:r>
            <w:r>
              <w:t>防止事故污染物通过大气直接进入环境</w:t>
            </w:r>
          </w:p>
          <w:p w14:paraId="5BB5A186">
            <w:pPr>
              <w:ind w:firstLine="480"/>
            </w:pPr>
            <w:r>
              <w:t>装置防止有毒有害物质泄漏进入大气环境的防范措施主要为：</w:t>
            </w:r>
          </w:p>
          <w:p w14:paraId="5A06B22B">
            <w:pPr>
              <w:ind w:firstLine="480"/>
            </w:pPr>
            <w:r>
              <w:rPr>
                <w:rFonts w:hint="eastAsia"/>
              </w:rPr>
              <w:t>①</w:t>
            </w:r>
            <w:r>
              <w:t>积极响应迅速切断事故源；</w:t>
            </w:r>
          </w:p>
          <w:p w14:paraId="2B5C03E4">
            <w:pPr>
              <w:ind w:firstLine="480"/>
            </w:pPr>
            <w:r>
              <w:rPr>
                <w:rFonts w:hint="eastAsia"/>
              </w:rPr>
              <w:t>②</w:t>
            </w:r>
            <w:r>
              <w:t>建立移动式水幕喷淋系统，配备对毒物的消除剂，事故时进行喷淋，减少进入大气系统毒物；</w:t>
            </w:r>
          </w:p>
          <w:p w14:paraId="7E34F117">
            <w:pPr>
              <w:ind w:firstLine="480"/>
            </w:pPr>
            <w:r>
              <w:rPr>
                <w:rFonts w:hint="eastAsia"/>
              </w:rPr>
              <w:t>……</w:t>
            </w:r>
          </w:p>
          <w:p w14:paraId="79154074">
            <w:pPr>
              <w:ind w:firstLine="480"/>
            </w:pPr>
            <w:r>
              <w:rPr>
                <w:rFonts w:hint="eastAsia"/>
              </w:rPr>
              <w:t>三、</w:t>
            </w:r>
            <w:r>
              <w:t>装置防止事故污染物通过水排放直接进入环境</w:t>
            </w:r>
          </w:p>
          <w:p w14:paraId="30BC5AB4">
            <w:pPr>
              <w:ind w:firstLine="480"/>
            </w:pPr>
            <w:r>
              <w:t>为了阻断事故泄漏液和消防废水进入环境，立足工程配套设施，采取</w:t>
            </w:r>
            <w:r>
              <w:rPr>
                <w:rFonts w:hint="eastAsia"/>
              </w:rPr>
              <w:t>“</w:t>
            </w:r>
            <w:r>
              <w:t>收→调→输→储→处理</w:t>
            </w:r>
            <w:r>
              <w:rPr>
                <w:rFonts w:hint="eastAsia"/>
              </w:rPr>
              <w:t>”</w:t>
            </w:r>
            <w:r>
              <w:t>事故泄漏和事故消防污水，项目设置</w:t>
            </w:r>
            <w:r>
              <w:rPr>
                <w:rFonts w:hint="eastAsia"/>
              </w:rPr>
              <w:t>“</w:t>
            </w:r>
            <w:r>
              <w:t>四级防控措施</w:t>
            </w:r>
            <w:r>
              <w:rPr>
                <w:rFonts w:hint="eastAsia"/>
              </w:rPr>
              <w:t>”</w:t>
            </w:r>
            <w:r>
              <w:t>防范事故泄漏液和消防污水进入外环境和海域水环境。</w:t>
            </w:r>
          </w:p>
          <w:p w14:paraId="67605260">
            <w:pPr>
              <w:ind w:firstLine="480"/>
            </w:pPr>
            <w:r>
              <w:rPr>
                <w:rFonts w:hint="eastAsia"/>
              </w:rPr>
              <w:t>符合性：扩建项目罐区拟设置可燃气体检测设施，设置DCS系统、SIS系统、GDS系统、PLC系统，能够</w:t>
            </w:r>
            <w:r>
              <w:t>迅速切断事故源</w:t>
            </w:r>
            <w:r>
              <w:rPr>
                <w:rFonts w:hint="eastAsia"/>
              </w:rPr>
              <w:t>，消防水喷淋降温系统、消防水能够溶解事故时逸出的MA、BDO、THF气体，减少其进入大气系统。</w:t>
            </w:r>
            <w:r>
              <w:t>项目建设事故废水</w:t>
            </w:r>
            <w:r>
              <w:rPr>
                <w:rFonts w:hint="eastAsia"/>
              </w:rPr>
              <w:t>“单元-厂区-园区/区域”的环境风险防控体系</w:t>
            </w:r>
            <w:r>
              <w:t>，确保有效拦截、降污和导流。另外以工业区防海堤和水闸作为项目的第四级防线，防止事故废水流入海域。</w:t>
            </w:r>
          </w:p>
          <w:p w14:paraId="5D9FECE3">
            <w:pPr>
              <w:pStyle w:val="2"/>
              <w:ind w:firstLine="482"/>
              <w:rPr>
                <w:b/>
                <w:lang w:val="en-US" w:eastAsia="zh-CN"/>
              </w:rPr>
            </w:pPr>
            <w:r>
              <w:rPr>
                <w:rFonts w:hint="eastAsia"/>
                <w:b/>
                <w:lang w:val="en-US" w:eastAsia="zh-CN"/>
              </w:rPr>
              <w:t>3</w:t>
            </w:r>
            <w:r>
              <w:rPr>
                <w:b/>
                <w:lang w:val="en-US" w:eastAsia="zh-CN"/>
              </w:rPr>
              <w:t>、</w:t>
            </w:r>
            <w:r>
              <w:rPr>
                <w:rFonts w:hint="eastAsia"/>
                <w:b/>
              </w:rPr>
              <w:t>《江阴港城经济区产业发展规划环境影响报告书》</w:t>
            </w:r>
            <w:r>
              <w:rPr>
                <w:b/>
                <w:lang w:val="en-US" w:eastAsia="zh-CN"/>
              </w:rPr>
              <w:t>规划环评审查意见</w:t>
            </w:r>
            <w:r>
              <w:rPr>
                <w:rFonts w:hint="eastAsia"/>
                <w:b/>
                <w:lang w:val="en-US" w:eastAsia="zh-CN"/>
              </w:rPr>
              <w:t>符合性分析</w:t>
            </w:r>
          </w:p>
          <w:p w14:paraId="2868D64D">
            <w:pPr>
              <w:pStyle w:val="2"/>
              <w:ind w:firstLine="480"/>
              <w:rPr>
                <w:lang w:val="en-US" w:eastAsia="zh-CN"/>
              </w:rPr>
            </w:pPr>
          </w:p>
          <w:p w14:paraId="5EA69366">
            <w:pPr>
              <w:ind w:firstLine="480"/>
            </w:pPr>
          </w:p>
          <w:p w14:paraId="64B8B618">
            <w:pPr>
              <w:pStyle w:val="3"/>
              <w:ind w:firstLine="480"/>
            </w:pPr>
          </w:p>
        </w:tc>
      </w:tr>
    </w:tbl>
    <w:p w14:paraId="03863600">
      <w:pPr>
        <w:ind w:firstLine="600"/>
        <w:outlineLvl w:val="0"/>
        <w:rPr>
          <w:rFonts w:eastAsia="黑体"/>
          <w:sz w:val="30"/>
        </w:rPr>
      </w:pPr>
    </w:p>
    <w:p w14:paraId="567FC05D">
      <w:pPr>
        <w:ind w:firstLine="600"/>
        <w:rPr>
          <w:rFonts w:eastAsia="黑体"/>
          <w:sz w:val="30"/>
        </w:rPr>
        <w:sectPr>
          <w:footerReference r:id="rId18" w:type="default"/>
          <w:pgSz w:w="11905" w:h="16838"/>
          <w:pgMar w:top="1417" w:right="1417" w:bottom="1417" w:left="1417" w:header="851" w:footer="850" w:gutter="0"/>
          <w:cols w:space="720" w:num="1"/>
          <w:docGrid w:linePitch="312" w:charSpace="0"/>
        </w:sectPr>
      </w:pPr>
    </w:p>
    <w:tbl>
      <w:tblPr>
        <w:tblStyle w:val="30"/>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86"/>
      </w:tblGrid>
      <w:tr w14:paraId="1EAF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E508DE7">
            <w:pPr>
              <w:ind w:firstLine="0" w:firstLineChars="0"/>
              <w:outlineLvl w:val="0"/>
              <w:rPr>
                <w:rFonts w:eastAsia="黑体"/>
                <w:sz w:val="21"/>
                <w:szCs w:val="21"/>
              </w:rPr>
            </w:pPr>
            <w:r>
              <w:rPr>
                <w:sz w:val="21"/>
                <w:szCs w:val="21"/>
              </w:rPr>
              <w:t>规划及规划环境影响评价符合性分析</w:t>
            </w:r>
          </w:p>
        </w:tc>
        <w:tc>
          <w:tcPr>
            <w:tcW w:w="13686" w:type="dxa"/>
            <w:vAlign w:val="center"/>
          </w:tcPr>
          <w:p w14:paraId="7CC4FD05">
            <w:pPr>
              <w:pStyle w:val="68"/>
              <w:rPr>
                <w:kern w:val="2"/>
                <w:sz w:val="24"/>
                <w:szCs w:val="24"/>
                <w:lang w:val="en-US" w:eastAsia="zh-CN"/>
              </w:rPr>
            </w:pPr>
            <w:r>
              <w:rPr>
                <w:kern w:val="2"/>
                <w:sz w:val="24"/>
                <w:szCs w:val="24"/>
                <w:lang w:val="en-US" w:eastAsia="zh-CN"/>
              </w:rPr>
              <w:t>表</w:t>
            </w:r>
            <w:r>
              <w:rPr>
                <w:rFonts w:hint="eastAsia"/>
                <w:kern w:val="2"/>
                <w:sz w:val="24"/>
                <w:szCs w:val="24"/>
                <w:lang w:val="en-US" w:eastAsia="zh-CN"/>
              </w:rPr>
              <w:t>1.2-5与《福州江阴港城经济区产业发展规划环境影响报告书》审查小组意见的符合性分析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6988"/>
              <w:gridCol w:w="4537"/>
              <w:gridCol w:w="962"/>
            </w:tblGrid>
            <w:tr w14:paraId="12559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2959" w:type="pct"/>
                  <w:gridSpan w:val="2"/>
                  <w:vAlign w:val="center"/>
                </w:tcPr>
                <w:p w14:paraId="05F48A84">
                  <w:pPr>
                    <w:widowControl/>
                    <w:adjustRightInd w:val="0"/>
                    <w:snapToGrid w:val="0"/>
                    <w:spacing w:line="240" w:lineRule="auto"/>
                    <w:ind w:firstLine="0" w:firstLineChars="0"/>
                    <w:jc w:val="center"/>
                    <w:rPr>
                      <w:kern w:val="0"/>
                      <w:sz w:val="21"/>
                      <w:szCs w:val="21"/>
                    </w:rPr>
                  </w:pPr>
                  <w:r>
                    <w:rPr>
                      <w:kern w:val="0"/>
                      <w:sz w:val="21"/>
                      <w:szCs w:val="21"/>
                    </w:rPr>
                    <w:t>准入要求</w:t>
                  </w:r>
                </w:p>
              </w:tc>
              <w:tc>
                <w:tcPr>
                  <w:tcW w:w="1684" w:type="pct"/>
                  <w:vAlign w:val="center"/>
                </w:tcPr>
                <w:p w14:paraId="536BE1D0">
                  <w:pPr>
                    <w:widowControl/>
                    <w:adjustRightInd w:val="0"/>
                    <w:snapToGrid w:val="0"/>
                    <w:spacing w:line="240" w:lineRule="auto"/>
                    <w:ind w:firstLine="0" w:firstLineChars="0"/>
                    <w:jc w:val="center"/>
                    <w:rPr>
                      <w:kern w:val="0"/>
                      <w:sz w:val="21"/>
                      <w:szCs w:val="21"/>
                    </w:rPr>
                  </w:pPr>
                  <w:r>
                    <w:rPr>
                      <w:rFonts w:hint="eastAsia"/>
                      <w:kern w:val="0"/>
                      <w:sz w:val="21"/>
                      <w:szCs w:val="21"/>
                    </w:rPr>
                    <w:t>扩建项目情况</w:t>
                  </w:r>
                </w:p>
              </w:tc>
              <w:tc>
                <w:tcPr>
                  <w:tcW w:w="357" w:type="pct"/>
                  <w:vAlign w:val="center"/>
                </w:tcPr>
                <w:p w14:paraId="60BF5B1D">
                  <w:pPr>
                    <w:widowControl/>
                    <w:adjustRightInd w:val="0"/>
                    <w:snapToGrid w:val="0"/>
                    <w:spacing w:line="240" w:lineRule="auto"/>
                    <w:ind w:firstLine="0" w:firstLineChars="0"/>
                    <w:jc w:val="center"/>
                    <w:rPr>
                      <w:kern w:val="0"/>
                      <w:sz w:val="21"/>
                      <w:szCs w:val="21"/>
                    </w:rPr>
                  </w:pPr>
                  <w:r>
                    <w:rPr>
                      <w:kern w:val="0"/>
                      <w:sz w:val="21"/>
                      <w:szCs w:val="21"/>
                    </w:rPr>
                    <w:t>符合性分析</w:t>
                  </w:r>
                </w:p>
              </w:tc>
            </w:tr>
            <w:tr w14:paraId="35113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7E7E3FA6">
                  <w:pPr>
                    <w:widowControl/>
                    <w:adjustRightInd w:val="0"/>
                    <w:snapToGrid w:val="0"/>
                    <w:spacing w:line="240" w:lineRule="auto"/>
                    <w:ind w:firstLine="0" w:firstLineChars="0"/>
                    <w:jc w:val="center"/>
                    <w:rPr>
                      <w:kern w:val="0"/>
                      <w:sz w:val="21"/>
                      <w:szCs w:val="21"/>
                    </w:rPr>
                  </w:pPr>
                  <w:r>
                    <w:rPr>
                      <w:rFonts w:hint="eastAsia"/>
                      <w:kern w:val="0"/>
                      <w:sz w:val="21"/>
                      <w:szCs w:val="21"/>
                    </w:rPr>
                    <w:t>总体要求</w:t>
                  </w:r>
                </w:p>
              </w:tc>
              <w:tc>
                <w:tcPr>
                  <w:tcW w:w="2594" w:type="pct"/>
                  <w:vAlign w:val="center"/>
                </w:tcPr>
                <w:p w14:paraId="107E53D9">
                  <w:pPr>
                    <w:widowControl/>
                    <w:adjustRightInd w:val="0"/>
                    <w:snapToGrid w:val="0"/>
                    <w:spacing w:line="240" w:lineRule="auto"/>
                    <w:ind w:firstLine="0" w:firstLineChars="0"/>
                    <w:jc w:val="center"/>
                    <w:rPr>
                      <w:kern w:val="0"/>
                      <w:sz w:val="21"/>
                      <w:szCs w:val="21"/>
                    </w:rPr>
                  </w:pPr>
                  <w:r>
                    <w:rPr>
                      <w:rFonts w:hint="eastAsia"/>
                      <w:kern w:val="0"/>
                      <w:sz w:val="21"/>
                      <w:szCs w:val="21"/>
                    </w:rPr>
                    <w:t>规划实施应充分衔接区域国土空间规划及福建省、福州市生态环境分区管控方案，坚持绿色低碳高质量发展理念，进一步优化规划方案，采取有效措施，实现产业发展与生态环境保护相协调。</w:t>
                  </w:r>
                </w:p>
              </w:tc>
              <w:tc>
                <w:tcPr>
                  <w:tcW w:w="1684" w:type="pct"/>
                  <w:vAlign w:val="center"/>
                </w:tcPr>
                <w:p w14:paraId="44D1DCDF">
                  <w:pPr>
                    <w:widowControl/>
                    <w:adjustRightInd w:val="0"/>
                    <w:snapToGrid w:val="0"/>
                    <w:spacing w:line="240" w:lineRule="auto"/>
                    <w:ind w:firstLine="0" w:firstLineChars="0"/>
                    <w:jc w:val="center"/>
                    <w:rPr>
                      <w:kern w:val="0"/>
                      <w:sz w:val="21"/>
                      <w:szCs w:val="21"/>
                    </w:rPr>
                  </w:pPr>
                  <w:r>
                    <w:rPr>
                      <w:rFonts w:hint="eastAsia"/>
                      <w:kern w:val="0"/>
                      <w:sz w:val="21"/>
                      <w:szCs w:val="21"/>
                    </w:rPr>
                    <w:t>符合&lt;福州市人民政府办公厅关于印发《福州市生态环境分区管控方案（2023年更新）》的通知&gt;（榕政办规[2024]20号）中的相关规定。</w:t>
                  </w:r>
                </w:p>
              </w:tc>
              <w:tc>
                <w:tcPr>
                  <w:tcW w:w="357" w:type="pct"/>
                  <w:vAlign w:val="center"/>
                </w:tcPr>
                <w:p w14:paraId="06325164">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38EDD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5" w:type="pct"/>
                  <w:vAlign w:val="center"/>
                </w:tcPr>
                <w:p w14:paraId="16A7F636">
                  <w:pPr>
                    <w:widowControl/>
                    <w:adjustRightInd w:val="0"/>
                    <w:snapToGrid w:val="0"/>
                    <w:spacing w:line="240" w:lineRule="auto"/>
                    <w:ind w:firstLine="0" w:firstLineChars="0"/>
                    <w:jc w:val="center"/>
                    <w:rPr>
                      <w:kern w:val="0"/>
                      <w:sz w:val="21"/>
                      <w:szCs w:val="21"/>
                    </w:rPr>
                  </w:pPr>
                  <w:r>
                    <w:rPr>
                      <w:rFonts w:hint="eastAsia"/>
                      <w:kern w:val="0"/>
                      <w:sz w:val="21"/>
                      <w:szCs w:val="21"/>
                    </w:rPr>
                    <w:t>优化产业定位</w:t>
                  </w:r>
                </w:p>
              </w:tc>
              <w:tc>
                <w:tcPr>
                  <w:tcW w:w="2594" w:type="pct"/>
                  <w:vAlign w:val="center"/>
                </w:tcPr>
                <w:p w14:paraId="5BDD9E10">
                  <w:pPr>
                    <w:widowControl/>
                    <w:adjustRightInd w:val="0"/>
                    <w:snapToGrid w:val="0"/>
                    <w:spacing w:line="240" w:lineRule="auto"/>
                    <w:ind w:firstLine="0" w:firstLineChars="0"/>
                    <w:jc w:val="center"/>
                    <w:rPr>
                      <w:kern w:val="0"/>
                      <w:sz w:val="21"/>
                      <w:szCs w:val="21"/>
                    </w:rPr>
                  </w:pPr>
                  <w:r>
                    <w:rPr>
                      <w:rFonts w:hint="eastAsia"/>
                      <w:kern w:val="0"/>
                      <w:sz w:val="21"/>
                      <w:szCs w:val="21"/>
                    </w:rPr>
                    <w:t>结合区域资源环境承载力和生态环境分区管控要求，合理确定化工产业规划规模、布局和产业链，进一步细化近期发展目标布局及重点项目建设计划等内容，优化整合非化工产业定位。要以绿色现代化工产业为发展方向，实现产业链绿色化、高端化、集约化发展。</w:t>
                  </w:r>
                </w:p>
              </w:tc>
              <w:tc>
                <w:tcPr>
                  <w:tcW w:w="1684" w:type="pct"/>
                  <w:vAlign w:val="center"/>
                </w:tcPr>
                <w:p w14:paraId="1C0A53A3">
                  <w:pPr>
                    <w:widowControl/>
                    <w:adjustRightInd w:val="0"/>
                    <w:snapToGrid w:val="0"/>
                    <w:spacing w:line="240" w:lineRule="auto"/>
                    <w:ind w:firstLine="0" w:firstLineChars="0"/>
                    <w:jc w:val="center"/>
                    <w:rPr>
                      <w:kern w:val="0"/>
                      <w:sz w:val="21"/>
                      <w:szCs w:val="21"/>
                    </w:rPr>
                  </w:pPr>
                  <w:r>
                    <w:rPr>
                      <w:rFonts w:hint="eastAsia"/>
                      <w:kern w:val="0"/>
                      <w:sz w:val="21"/>
                      <w:szCs w:val="21"/>
                    </w:rPr>
                    <w:t>扩建项目</w:t>
                  </w:r>
                  <w:r>
                    <w:rPr>
                      <w:kern w:val="0"/>
                      <w:sz w:val="21"/>
                      <w:szCs w:val="21"/>
                    </w:rPr>
                    <w:t>属于福州港江阴港区壁头作业区12#泊位工程的配套罐区项目</w:t>
                  </w:r>
                  <w:r>
                    <w:rPr>
                      <w:rFonts w:hint="eastAsia"/>
                      <w:kern w:val="0"/>
                      <w:sz w:val="21"/>
                      <w:szCs w:val="21"/>
                    </w:rPr>
                    <w:t>。实现产业链集约化发展。</w:t>
                  </w:r>
                </w:p>
              </w:tc>
              <w:tc>
                <w:tcPr>
                  <w:tcW w:w="357" w:type="pct"/>
                  <w:vAlign w:val="center"/>
                </w:tcPr>
                <w:p w14:paraId="45B638DE">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2B041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4FA8883B">
                  <w:pPr>
                    <w:widowControl/>
                    <w:adjustRightInd w:val="0"/>
                    <w:snapToGrid w:val="0"/>
                    <w:spacing w:line="240" w:lineRule="auto"/>
                    <w:ind w:firstLine="0" w:firstLineChars="0"/>
                    <w:jc w:val="center"/>
                    <w:rPr>
                      <w:kern w:val="0"/>
                      <w:sz w:val="21"/>
                      <w:szCs w:val="21"/>
                    </w:rPr>
                  </w:pPr>
                  <w:r>
                    <w:rPr>
                      <w:rFonts w:hint="eastAsia"/>
                      <w:kern w:val="0"/>
                      <w:sz w:val="21"/>
                      <w:szCs w:val="21"/>
                    </w:rPr>
                    <w:t>优化空间布局</w:t>
                  </w:r>
                </w:p>
              </w:tc>
              <w:tc>
                <w:tcPr>
                  <w:tcW w:w="2594" w:type="pct"/>
                  <w:vAlign w:val="center"/>
                </w:tcPr>
                <w:p w14:paraId="06147BB8">
                  <w:pPr>
                    <w:widowControl/>
                    <w:adjustRightInd w:val="0"/>
                    <w:snapToGrid w:val="0"/>
                    <w:spacing w:line="240" w:lineRule="auto"/>
                    <w:ind w:firstLine="0" w:firstLineChars="0"/>
                    <w:jc w:val="center"/>
                    <w:rPr>
                      <w:kern w:val="0"/>
                      <w:sz w:val="21"/>
                      <w:szCs w:val="21"/>
                    </w:rPr>
                  </w:pPr>
                  <w:r>
                    <w:rPr>
                      <w:rFonts w:hint="eastAsia"/>
                      <w:kern w:val="0"/>
                      <w:sz w:val="21"/>
                      <w:szCs w:val="21"/>
                    </w:rPr>
                    <w:t>1.统筹解决产业园区发展与周边城镇发展的布局性矛盾，落实《报告书》提出的用地调整要求，位于城镇开发边界外的规划范围暂缓开发；未纳入化工园区认定范围工业用地，不得新建、改扩建化工项目。在园区与临近的居民区之间设置合理的环保控制带和环境风险防范区，并在国土空间规划成果中落实。环保隔离带内不得规划居住、教育和医疗卫生等环境敏感设施用地。环境风险防范区内应严格控制人口规模，不得新建居民住宅、学校和医院等敏感建筑。</w:t>
                  </w:r>
                </w:p>
                <w:p w14:paraId="1FB06258">
                  <w:pPr>
                    <w:widowControl/>
                    <w:adjustRightInd w:val="0"/>
                    <w:snapToGrid w:val="0"/>
                    <w:spacing w:line="240" w:lineRule="auto"/>
                    <w:ind w:firstLine="0" w:firstLineChars="0"/>
                    <w:jc w:val="center"/>
                    <w:rPr>
                      <w:kern w:val="0"/>
                      <w:sz w:val="21"/>
                      <w:szCs w:val="21"/>
                    </w:rPr>
                  </w:pPr>
                  <w:r>
                    <w:rPr>
                      <w:rFonts w:hint="eastAsia"/>
                      <w:kern w:val="0"/>
                      <w:sz w:val="21"/>
                      <w:szCs w:val="21"/>
                    </w:rPr>
                    <w:t>2.为减轻化工项目对周边居民环境影响和环境风险，应进一步优化化工产业布局。将涉及恶臭及“三致”物质等大气污染较严重、环境风险较大的装置、储罐或单元，尽可能布置在远离居民区等环境敏感目标的区域。</w:t>
                  </w:r>
                </w:p>
              </w:tc>
              <w:tc>
                <w:tcPr>
                  <w:tcW w:w="1684" w:type="pct"/>
                  <w:vAlign w:val="center"/>
                </w:tcPr>
                <w:p w14:paraId="17D04999">
                  <w:pPr>
                    <w:widowControl/>
                    <w:adjustRightInd w:val="0"/>
                    <w:snapToGrid w:val="0"/>
                    <w:spacing w:line="240" w:lineRule="auto"/>
                    <w:ind w:firstLine="0" w:firstLineChars="0"/>
                    <w:jc w:val="center"/>
                    <w:rPr>
                      <w:kern w:val="0"/>
                      <w:sz w:val="21"/>
                      <w:szCs w:val="21"/>
                    </w:rPr>
                  </w:pPr>
                  <w:r>
                    <w:rPr>
                      <w:rFonts w:hint="eastAsia"/>
                      <w:sz w:val="21"/>
                      <w:szCs w:val="21"/>
                    </w:rPr>
                    <w:t>扩建项目</w:t>
                  </w:r>
                  <w:r>
                    <w:rPr>
                      <w:sz w:val="21"/>
                      <w:szCs w:val="21"/>
                    </w:rPr>
                    <w:t>厂界与现状居民区距离均超过</w:t>
                  </w:r>
                  <w:r>
                    <w:rPr>
                      <w:rFonts w:hint="eastAsia"/>
                      <w:sz w:val="21"/>
                      <w:szCs w:val="21"/>
                    </w:rPr>
                    <w:t>2692m</w:t>
                  </w:r>
                  <w:r>
                    <w:rPr>
                      <w:sz w:val="21"/>
                      <w:szCs w:val="21"/>
                    </w:rPr>
                    <w:t>。项目周边为工业用地，园区设置500m环保隔离带，</w:t>
                  </w:r>
                  <w:r>
                    <w:rPr>
                      <w:rFonts w:hint="eastAsia"/>
                      <w:sz w:val="21"/>
                      <w:szCs w:val="21"/>
                    </w:rPr>
                    <w:t>扩建项目</w:t>
                  </w:r>
                  <w:r>
                    <w:rPr>
                      <w:sz w:val="21"/>
                      <w:szCs w:val="21"/>
                    </w:rPr>
                    <w:t>建成后，项目防护距离内无居民住宅、学校、医院等建筑，规划部门也不应再将其规划为居住、文教等用地。符合空间布局要求。</w:t>
                  </w:r>
                </w:p>
              </w:tc>
              <w:tc>
                <w:tcPr>
                  <w:tcW w:w="357" w:type="pct"/>
                  <w:vAlign w:val="center"/>
                </w:tcPr>
                <w:p w14:paraId="4DFA757A">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7BC6C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365" w:type="pct"/>
                  <w:vAlign w:val="center"/>
                </w:tcPr>
                <w:p w14:paraId="060CAEA5">
                  <w:pPr>
                    <w:widowControl/>
                    <w:adjustRightInd w:val="0"/>
                    <w:snapToGrid w:val="0"/>
                    <w:spacing w:line="240" w:lineRule="auto"/>
                    <w:ind w:firstLine="0" w:firstLineChars="0"/>
                    <w:jc w:val="center"/>
                    <w:rPr>
                      <w:kern w:val="0"/>
                      <w:sz w:val="21"/>
                      <w:szCs w:val="21"/>
                    </w:rPr>
                  </w:pPr>
                  <w:r>
                    <w:rPr>
                      <w:rFonts w:hint="eastAsia"/>
                      <w:kern w:val="0"/>
                      <w:sz w:val="21"/>
                      <w:szCs w:val="21"/>
                    </w:rPr>
                    <w:t>优化资源能源结构</w:t>
                  </w:r>
                </w:p>
              </w:tc>
              <w:tc>
                <w:tcPr>
                  <w:tcW w:w="2594" w:type="pct"/>
                  <w:vAlign w:val="center"/>
                </w:tcPr>
                <w:p w14:paraId="6BD6ACE3">
                  <w:pPr>
                    <w:widowControl/>
                    <w:adjustRightInd w:val="0"/>
                    <w:snapToGrid w:val="0"/>
                    <w:spacing w:line="240" w:lineRule="auto"/>
                    <w:ind w:firstLine="0" w:firstLineChars="0"/>
                    <w:jc w:val="center"/>
                    <w:rPr>
                      <w:kern w:val="0"/>
                      <w:sz w:val="21"/>
                      <w:szCs w:val="21"/>
                    </w:rPr>
                  </w:pPr>
                  <w:r>
                    <w:rPr>
                      <w:rFonts w:hint="eastAsia"/>
                      <w:kern w:val="0"/>
                      <w:sz w:val="21"/>
                      <w:szCs w:val="21"/>
                    </w:rPr>
                    <w:t>加强水资源利用管理，实行分级分类、梯级循环利用，推行节水和清洁利用技术，持续提高水资源利用率。实施热电联产集中供热。鼓励使用清洁能源，加热炉及导热油炉等禁止使用燃煤，重油及渣油等高污染燃料。</w:t>
                  </w:r>
                </w:p>
              </w:tc>
              <w:tc>
                <w:tcPr>
                  <w:tcW w:w="1684" w:type="pct"/>
                  <w:vAlign w:val="center"/>
                </w:tcPr>
                <w:p w14:paraId="232CBE38">
                  <w:pPr>
                    <w:widowControl/>
                    <w:adjustRightInd w:val="0"/>
                    <w:snapToGrid w:val="0"/>
                    <w:spacing w:line="240" w:lineRule="auto"/>
                    <w:ind w:firstLine="0" w:firstLineChars="0"/>
                    <w:jc w:val="center"/>
                    <w:rPr>
                      <w:kern w:val="0"/>
                      <w:sz w:val="21"/>
                      <w:szCs w:val="21"/>
                    </w:rPr>
                  </w:pPr>
                  <w:r>
                    <w:rPr>
                      <w:rFonts w:hint="eastAsia"/>
                      <w:kern w:val="0"/>
                      <w:sz w:val="21"/>
                      <w:szCs w:val="21"/>
                    </w:rPr>
                    <w:t>扩建项目循环冷却水循环使用，提高水资源利用率。主要使用</w:t>
                  </w:r>
                  <w:r>
                    <w:rPr>
                      <w:rFonts w:hint="eastAsia" w:cs="宋体"/>
                      <w:sz w:val="21"/>
                      <w:szCs w:val="21"/>
                    </w:rPr>
                    <w:t>国电发电有限公司</w:t>
                  </w:r>
                  <w:r>
                    <w:rPr>
                      <w:kern w:val="0"/>
                      <w:sz w:val="21"/>
                      <w:szCs w:val="21"/>
                    </w:rPr>
                    <w:t>提供蒸汽</w:t>
                  </w:r>
                  <w:r>
                    <w:rPr>
                      <w:rFonts w:hint="eastAsia"/>
                      <w:kern w:val="0"/>
                      <w:sz w:val="21"/>
                      <w:szCs w:val="21"/>
                    </w:rPr>
                    <w:t>。</w:t>
                  </w:r>
                </w:p>
              </w:tc>
              <w:tc>
                <w:tcPr>
                  <w:tcW w:w="357" w:type="pct"/>
                  <w:vAlign w:val="center"/>
                </w:tcPr>
                <w:p w14:paraId="0ABF5EFE">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767EB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16E27B0F">
                  <w:pPr>
                    <w:widowControl/>
                    <w:adjustRightInd w:val="0"/>
                    <w:snapToGrid w:val="0"/>
                    <w:spacing w:line="240" w:lineRule="auto"/>
                    <w:ind w:firstLine="0" w:firstLineChars="0"/>
                    <w:jc w:val="center"/>
                    <w:rPr>
                      <w:kern w:val="0"/>
                      <w:sz w:val="21"/>
                      <w:szCs w:val="21"/>
                    </w:rPr>
                  </w:pPr>
                  <w:r>
                    <w:rPr>
                      <w:rFonts w:hint="eastAsia"/>
                      <w:kern w:val="0"/>
                      <w:sz w:val="21"/>
                      <w:szCs w:val="21"/>
                    </w:rPr>
                    <w:t>落实污染物总量控制要求</w:t>
                  </w:r>
                </w:p>
              </w:tc>
              <w:tc>
                <w:tcPr>
                  <w:tcW w:w="2594" w:type="pct"/>
                  <w:vAlign w:val="center"/>
                </w:tcPr>
                <w:p w14:paraId="0FACB267">
                  <w:pPr>
                    <w:widowControl/>
                    <w:adjustRightInd w:val="0"/>
                    <w:snapToGrid w:val="0"/>
                    <w:spacing w:line="240" w:lineRule="auto"/>
                    <w:ind w:firstLine="0" w:firstLineChars="0"/>
                    <w:jc w:val="center"/>
                    <w:rPr>
                      <w:kern w:val="0"/>
                      <w:sz w:val="21"/>
                      <w:szCs w:val="21"/>
                    </w:rPr>
                  </w:pPr>
                  <w:r>
                    <w:rPr>
                      <w:rFonts w:hint="eastAsia"/>
                      <w:kern w:val="0"/>
                      <w:sz w:val="21"/>
                      <w:szCs w:val="21"/>
                    </w:rPr>
                    <w:t>规划产业项目全面执行大气污染物排放特别排放限值，采取有效措施减少二氧化硫、氮氧化物、颗粒物和挥发性有机物的排放量；推行园区再生水回用，严格控制氨氮、总氮、总磷和石油类等污染物排放量。结合园区存在环境问题，制定并落实区域总量削减、环境质量改善方案，园区污染物排放总量应纳入当地政府污染物排放总量控制计划。新增污染物应优先依托园区企业自身削减实现替代。</w:t>
                  </w:r>
                </w:p>
              </w:tc>
              <w:tc>
                <w:tcPr>
                  <w:tcW w:w="1684" w:type="pct"/>
                  <w:vAlign w:val="center"/>
                </w:tcPr>
                <w:p w14:paraId="527F25D9">
                  <w:pPr>
                    <w:widowControl/>
                    <w:adjustRightInd w:val="0"/>
                    <w:snapToGrid w:val="0"/>
                    <w:spacing w:line="240" w:lineRule="auto"/>
                    <w:ind w:firstLine="0" w:firstLineChars="0"/>
                    <w:jc w:val="center"/>
                    <w:rPr>
                      <w:kern w:val="0"/>
                      <w:sz w:val="21"/>
                      <w:szCs w:val="21"/>
                    </w:rPr>
                  </w:pPr>
                  <w:r>
                    <w:rPr>
                      <w:rFonts w:hint="eastAsia"/>
                      <w:kern w:val="0"/>
                      <w:sz w:val="21"/>
                      <w:szCs w:val="21"/>
                    </w:rPr>
                    <w:t>扩建项目执行大气污染物排放特别排放限值，并采取有效的废气处理措施减少挥发性有机物的排放量。</w:t>
                  </w:r>
                </w:p>
                <w:p w14:paraId="74B065EE">
                  <w:pPr>
                    <w:widowControl/>
                    <w:adjustRightInd w:val="0"/>
                    <w:snapToGrid w:val="0"/>
                    <w:spacing w:line="240" w:lineRule="auto"/>
                    <w:ind w:firstLine="0" w:firstLineChars="0"/>
                    <w:jc w:val="center"/>
                    <w:rPr>
                      <w:kern w:val="0"/>
                      <w:sz w:val="21"/>
                      <w:szCs w:val="21"/>
                    </w:rPr>
                  </w:pPr>
                  <w:r>
                    <w:rPr>
                      <w:rFonts w:hint="eastAsia"/>
                      <w:kern w:val="0"/>
                      <w:sz w:val="21"/>
                      <w:szCs w:val="21"/>
                    </w:rPr>
                    <w:t>扩建项目新增水污染物化学需氧量及氨氮由福州万景石化有限公司污水处理站，</w:t>
                  </w:r>
                  <w:r>
                    <w:rPr>
                      <w:kern w:val="0"/>
                      <w:sz w:val="21"/>
                      <w:szCs w:val="21"/>
                    </w:rPr>
                    <w:t>处理达到江阴工业集中区污水处理厂纳管标准后，排入江阴工业集中区污水处理厂进一步处理</w:t>
                  </w:r>
                  <w:r>
                    <w:rPr>
                      <w:rFonts w:hint="eastAsia"/>
                      <w:kern w:val="0"/>
                      <w:sz w:val="21"/>
                      <w:szCs w:val="21"/>
                    </w:rPr>
                    <w:t>。</w:t>
                  </w:r>
                </w:p>
              </w:tc>
              <w:tc>
                <w:tcPr>
                  <w:tcW w:w="357" w:type="pct"/>
                  <w:vAlign w:val="center"/>
                </w:tcPr>
                <w:p w14:paraId="77AF38DC">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bl>
          <w:p w14:paraId="0346C9B0">
            <w:pPr>
              <w:ind w:firstLine="480"/>
            </w:pPr>
            <w:r>
              <w:rPr>
                <w:rFonts w:hint="eastAsia"/>
                <w:szCs w:val="21"/>
              </w:rPr>
              <w:t>根据上述分析，扩建项目与《福州江阴港城经济区产业发展规划环境影响报告书》审查小组意见中的相关规定是符合的。</w:t>
            </w:r>
          </w:p>
        </w:tc>
      </w:tr>
    </w:tbl>
    <w:p w14:paraId="66DA3862">
      <w:pPr>
        <w:ind w:firstLine="600"/>
        <w:rPr>
          <w:rFonts w:eastAsia="黑体"/>
          <w:sz w:val="30"/>
        </w:rPr>
        <w:sectPr>
          <w:footerReference r:id="rId19" w:type="default"/>
          <w:pgSz w:w="16838" w:h="11905" w:orient="landscape"/>
          <w:pgMar w:top="1417" w:right="1417" w:bottom="1417" w:left="1417" w:header="851" w:footer="850" w:gutter="0"/>
          <w:cols w:space="720" w:num="1"/>
          <w:docGrid w:linePitch="326"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612"/>
      </w:tblGrid>
      <w:tr w14:paraId="230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tcPr>
          <w:p w14:paraId="55AE60D0">
            <w:pPr>
              <w:ind w:firstLine="0" w:firstLineChars="0"/>
              <w:rPr>
                <w:rFonts w:eastAsia="黑体"/>
                <w:sz w:val="30"/>
              </w:rPr>
            </w:pPr>
            <w:r>
              <w:t>其他符合性分析</w:t>
            </w:r>
          </w:p>
        </w:tc>
        <w:tc>
          <w:tcPr>
            <w:tcW w:w="8612" w:type="dxa"/>
          </w:tcPr>
          <w:p w14:paraId="335924E4">
            <w:pPr>
              <w:ind w:firstLine="0" w:firstLineChars="0"/>
              <w:rPr>
                <w:b/>
                <w:bCs/>
              </w:rPr>
            </w:pPr>
            <w:r>
              <w:rPr>
                <w:b/>
                <w:bCs/>
              </w:rPr>
              <w:t>1.</w:t>
            </w:r>
            <w:r>
              <w:rPr>
                <w:rFonts w:hint="eastAsia"/>
                <w:b/>
                <w:bCs/>
              </w:rPr>
              <w:t>3</w:t>
            </w:r>
            <w:r>
              <w:rPr>
                <w:b/>
                <w:bCs/>
              </w:rPr>
              <w:t>项目产业政策符合性分析</w:t>
            </w:r>
          </w:p>
          <w:p w14:paraId="197B8329">
            <w:pPr>
              <w:ind w:firstLine="480"/>
            </w:pPr>
            <w:r>
              <w:t>本</w:t>
            </w:r>
            <w:r>
              <w:rPr>
                <w:rFonts w:hint="eastAsia"/>
              </w:rPr>
              <w:t>次扩建项目</w:t>
            </w:r>
            <w:r>
              <w:t>主要从事危险化学品仓储，对照《产业结构调整指导目录（20</w:t>
            </w:r>
            <w:r>
              <w:rPr>
                <w:rFonts w:hint="eastAsia"/>
              </w:rPr>
              <w:t>24</w:t>
            </w:r>
            <w:r>
              <w:t>年本）》，项目生产的产品、规模、生产设备、生产工艺等均不属于该目录中限制或淘汰之列；同时项目也不属于《限制用地项目目录（2012年本）》、《禁止用地项目目录（2012年本）》中所列禁止或限制的工艺技术、装备的建设项目。项目已取得了福清</w:t>
            </w:r>
            <w:r>
              <w:rPr>
                <w:rFonts w:hint="eastAsia"/>
                <w:lang w:eastAsia="zh-CN"/>
              </w:rPr>
              <w:t>市</w:t>
            </w:r>
            <w:r>
              <w:t>发展和改革局的备案（闽发改备[2025]A060183号），详见附件</w:t>
            </w:r>
            <w:r>
              <w:rPr>
                <w:rFonts w:hint="eastAsia"/>
              </w:rPr>
              <w:t>5</w:t>
            </w:r>
            <w:r>
              <w:t>。因此，扩建项目的建设符合国家当前的产业政策和环保政策。</w:t>
            </w:r>
          </w:p>
          <w:p w14:paraId="343B2291">
            <w:pPr>
              <w:ind w:firstLine="0" w:firstLineChars="0"/>
              <w:rPr>
                <w:b/>
                <w:bCs/>
              </w:rPr>
            </w:pPr>
            <w:r>
              <w:rPr>
                <w:rFonts w:hint="eastAsia"/>
                <w:b/>
                <w:bCs/>
              </w:rPr>
              <w:t>1.4项目规划选址</w:t>
            </w:r>
            <w:r>
              <w:rPr>
                <w:b/>
                <w:bCs/>
              </w:rPr>
              <w:t>符合性分析</w:t>
            </w:r>
          </w:p>
          <w:p w14:paraId="13B3C02B">
            <w:pPr>
              <w:ind w:firstLine="480"/>
            </w:pPr>
            <w:r>
              <w:t>根据建设单位提供的码头罐区土地证（编号：闽[2021]福清市不动产权第0010829号）。码头罐区不动产权证（编号：闽（2020）福清市不动产权第0000079号）。本次扩建项目主要储存的产品为</w:t>
            </w:r>
            <w:r>
              <w:rPr>
                <w:rFonts w:hint="eastAsia"/>
              </w:rPr>
              <w:t>MA、BDO、THF，属于危险化学品仓储，规划选址</w:t>
            </w:r>
            <w:r>
              <w:t>符合</w:t>
            </w:r>
            <w:r>
              <w:rPr>
                <w:rFonts w:hint="eastAsia"/>
              </w:rPr>
              <w:t>当地</w:t>
            </w:r>
            <w:r>
              <w:t>土地利用规划</w:t>
            </w:r>
            <w:r>
              <w:rPr>
                <w:rFonts w:hint="eastAsia"/>
              </w:rPr>
              <w:t>。</w:t>
            </w:r>
          </w:p>
          <w:p w14:paraId="73F89373">
            <w:pPr>
              <w:ind w:firstLine="0" w:firstLineChars="0"/>
              <w:rPr>
                <w:b/>
                <w:bCs/>
              </w:rPr>
            </w:pPr>
            <w:r>
              <w:rPr>
                <w:b/>
                <w:bCs/>
              </w:rPr>
              <w:t>1.</w:t>
            </w:r>
            <w:r>
              <w:rPr>
                <w:rFonts w:hint="eastAsia"/>
                <w:b/>
                <w:bCs/>
              </w:rPr>
              <w:t>5与福州市生态环境分区管控要求符合性分析</w:t>
            </w:r>
          </w:p>
          <w:p w14:paraId="209ED888">
            <w:pPr>
              <w:pStyle w:val="139"/>
              <w:spacing w:before="120"/>
              <w:ind w:firstLine="480"/>
            </w:pPr>
            <w:r>
              <w:t>根据</w:t>
            </w:r>
            <w:r>
              <w:rPr>
                <w:rFonts w:hint="eastAsia"/>
                <w:lang w:eastAsia="zh-CN"/>
              </w:rPr>
              <w:t>&lt;福州市人民政府办公厅关于印发《福州市生态环境分区管控方案（2023年更新）》的通知&gt;（榕政办规[2024]20号）</w:t>
            </w:r>
            <w:r>
              <w:t>，项目与其符合性详见</w:t>
            </w:r>
            <w:r>
              <w:rPr>
                <w:rFonts w:hint="eastAsia"/>
              </w:rPr>
              <w:t>表</w:t>
            </w:r>
            <w:r>
              <w:rPr>
                <w:rFonts w:hint="eastAsia"/>
                <w:lang w:eastAsia="zh-CN"/>
              </w:rPr>
              <w:t>1.5-1、表1.5-2</w:t>
            </w:r>
            <w:r>
              <w:t>。</w:t>
            </w:r>
            <w:r>
              <w:rPr>
                <w:rFonts w:hint="eastAsia"/>
                <w:lang w:val="en-US" w:eastAsia="zh-CN"/>
              </w:rPr>
              <w:t>福建省生态环境分区管控综合查询报告</w:t>
            </w:r>
            <w:r>
              <w:rPr>
                <w:rFonts w:hint="eastAsia"/>
              </w:rPr>
              <w:t>，见</w:t>
            </w:r>
            <w:r>
              <w:rPr>
                <w:rFonts w:hint="eastAsia"/>
                <w:lang w:eastAsia="zh-CN"/>
              </w:rPr>
              <w:t>附件12</w:t>
            </w:r>
            <w:r>
              <w:rPr>
                <w:rFonts w:hint="eastAsia"/>
              </w:rPr>
              <w:t>。</w:t>
            </w:r>
          </w:p>
          <w:p w14:paraId="2533F5D2">
            <w:pPr>
              <w:ind w:firstLine="0" w:firstLineChars="0"/>
              <w:rPr>
                <w:rFonts w:eastAsia="黑体"/>
                <w:sz w:val="30"/>
              </w:rPr>
            </w:pPr>
          </w:p>
        </w:tc>
      </w:tr>
    </w:tbl>
    <w:p w14:paraId="4EAA34F1">
      <w:pPr>
        <w:ind w:firstLine="600"/>
        <w:rPr>
          <w:rFonts w:eastAsia="黑体"/>
          <w:sz w:val="30"/>
        </w:rPr>
        <w:sectPr>
          <w:footerReference r:id="rId20" w:type="default"/>
          <w:pgSz w:w="11905" w:h="16838"/>
          <w:pgMar w:top="1417" w:right="1417" w:bottom="1417" w:left="1417" w:header="851" w:footer="850" w:gutter="0"/>
          <w:cols w:space="720" w:num="1"/>
          <w:docGrid w:linePitch="312"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3685"/>
      </w:tblGrid>
      <w:tr w14:paraId="24F2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 w:type="pct"/>
            <w:vAlign w:val="center"/>
          </w:tcPr>
          <w:p w14:paraId="293E7354">
            <w:pPr>
              <w:pStyle w:val="71"/>
              <w:rPr>
                <w:lang w:val="en-US" w:eastAsia="zh-CN"/>
              </w:rPr>
            </w:pPr>
            <w:r>
              <w:rPr>
                <w:kern w:val="2"/>
                <w:szCs w:val="24"/>
                <w:lang w:val="en-US" w:eastAsia="zh-CN"/>
              </w:rPr>
              <w:t>其他符合性分析</w:t>
            </w:r>
          </w:p>
        </w:tc>
        <w:tc>
          <w:tcPr>
            <w:tcW w:w="4812" w:type="pct"/>
            <w:vAlign w:val="center"/>
          </w:tcPr>
          <w:p w14:paraId="44532BD8">
            <w:pPr>
              <w:pStyle w:val="68"/>
              <w:rPr>
                <w:kern w:val="2"/>
                <w:sz w:val="24"/>
                <w:szCs w:val="24"/>
                <w:lang w:val="en-US" w:eastAsia="zh-CN"/>
              </w:rPr>
            </w:pPr>
            <w:r>
              <w:rPr>
                <w:kern w:val="2"/>
                <w:sz w:val="24"/>
                <w:szCs w:val="24"/>
                <w:lang w:val="en-US" w:eastAsia="zh-CN"/>
              </w:rPr>
              <w:t>表</w:t>
            </w:r>
            <w:r>
              <w:rPr>
                <w:rFonts w:hint="eastAsia"/>
                <w:kern w:val="2"/>
                <w:sz w:val="24"/>
                <w:szCs w:val="24"/>
                <w:lang w:val="en-US" w:eastAsia="zh-CN"/>
              </w:rPr>
              <w:t>1.5-1</w:t>
            </w:r>
            <w:r>
              <w:rPr>
                <w:kern w:val="2"/>
                <w:sz w:val="24"/>
                <w:szCs w:val="24"/>
                <w:lang w:val="en-US" w:eastAsia="zh-CN"/>
              </w:rPr>
              <w:t>与</w:t>
            </w:r>
            <w:r>
              <w:rPr>
                <w:rFonts w:hint="eastAsia"/>
                <w:kern w:val="2"/>
                <w:sz w:val="24"/>
                <w:szCs w:val="24"/>
                <w:lang w:val="en-US" w:eastAsia="zh-CN"/>
              </w:rPr>
              <w:t>“ 福州市生态环境总体准入要求 ”符合性分析一览表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595"/>
              <w:gridCol w:w="881"/>
              <w:gridCol w:w="6115"/>
              <w:gridCol w:w="4113"/>
              <w:gridCol w:w="959"/>
            </w:tblGrid>
            <w:tr w14:paraId="5209E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520" w:type="pct"/>
                  <w:gridSpan w:val="2"/>
                  <w:vAlign w:val="center"/>
                </w:tcPr>
                <w:p w14:paraId="692D37B0">
                  <w:pPr>
                    <w:widowControl/>
                    <w:adjustRightInd w:val="0"/>
                    <w:snapToGrid w:val="0"/>
                    <w:spacing w:line="240" w:lineRule="auto"/>
                    <w:ind w:firstLine="0" w:firstLineChars="0"/>
                    <w:jc w:val="center"/>
                    <w:rPr>
                      <w:kern w:val="0"/>
                      <w:sz w:val="21"/>
                      <w:szCs w:val="21"/>
                    </w:rPr>
                  </w:pPr>
                  <w:r>
                    <w:rPr>
                      <w:kern w:val="0"/>
                      <w:sz w:val="21"/>
                      <w:szCs w:val="21"/>
                    </w:rPr>
                    <w:t>适用范围</w:t>
                  </w:r>
                </w:p>
              </w:tc>
              <w:tc>
                <w:tcPr>
                  <w:tcW w:w="2597" w:type="pct"/>
                  <w:gridSpan w:val="2"/>
                  <w:vAlign w:val="center"/>
                </w:tcPr>
                <w:p w14:paraId="59821B95">
                  <w:pPr>
                    <w:widowControl/>
                    <w:adjustRightInd w:val="0"/>
                    <w:snapToGrid w:val="0"/>
                    <w:spacing w:line="240" w:lineRule="auto"/>
                    <w:ind w:firstLine="0" w:firstLineChars="0"/>
                    <w:jc w:val="center"/>
                    <w:rPr>
                      <w:kern w:val="0"/>
                      <w:sz w:val="21"/>
                      <w:szCs w:val="21"/>
                    </w:rPr>
                  </w:pPr>
                  <w:r>
                    <w:rPr>
                      <w:kern w:val="0"/>
                      <w:sz w:val="21"/>
                      <w:szCs w:val="21"/>
                    </w:rPr>
                    <w:t>准入要求</w:t>
                  </w:r>
                </w:p>
              </w:tc>
              <w:tc>
                <w:tcPr>
                  <w:tcW w:w="1527" w:type="pct"/>
                  <w:vAlign w:val="center"/>
                </w:tcPr>
                <w:p w14:paraId="67CA2DD3">
                  <w:pPr>
                    <w:widowControl/>
                    <w:adjustRightInd w:val="0"/>
                    <w:snapToGrid w:val="0"/>
                    <w:spacing w:line="240" w:lineRule="auto"/>
                    <w:ind w:firstLine="0" w:firstLineChars="0"/>
                    <w:jc w:val="center"/>
                    <w:rPr>
                      <w:kern w:val="0"/>
                      <w:sz w:val="21"/>
                      <w:szCs w:val="21"/>
                    </w:rPr>
                  </w:pPr>
                  <w:r>
                    <w:rPr>
                      <w:rFonts w:hint="eastAsia"/>
                      <w:kern w:val="0"/>
                      <w:sz w:val="21"/>
                      <w:szCs w:val="21"/>
                    </w:rPr>
                    <w:t>项目情况</w:t>
                  </w:r>
                </w:p>
              </w:tc>
              <w:tc>
                <w:tcPr>
                  <w:tcW w:w="356" w:type="pct"/>
                  <w:vAlign w:val="center"/>
                </w:tcPr>
                <w:p w14:paraId="32213C36">
                  <w:pPr>
                    <w:widowControl/>
                    <w:adjustRightInd w:val="0"/>
                    <w:snapToGrid w:val="0"/>
                    <w:spacing w:line="240" w:lineRule="auto"/>
                    <w:ind w:firstLine="0" w:firstLineChars="0"/>
                    <w:jc w:val="center"/>
                    <w:rPr>
                      <w:kern w:val="0"/>
                      <w:sz w:val="21"/>
                      <w:szCs w:val="21"/>
                    </w:rPr>
                  </w:pPr>
                  <w:r>
                    <w:rPr>
                      <w:kern w:val="0"/>
                      <w:sz w:val="21"/>
                      <w:szCs w:val="21"/>
                    </w:rPr>
                    <w:t>符合性分析</w:t>
                  </w:r>
                </w:p>
              </w:tc>
            </w:tr>
            <w:tr w14:paraId="67ED8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Align w:val="center"/>
                </w:tcPr>
                <w:p w14:paraId="2AC874C8">
                  <w:pPr>
                    <w:widowControl/>
                    <w:adjustRightInd w:val="0"/>
                    <w:snapToGrid w:val="0"/>
                    <w:spacing w:line="240" w:lineRule="auto"/>
                    <w:ind w:firstLine="0" w:firstLineChars="0"/>
                    <w:jc w:val="center"/>
                    <w:rPr>
                      <w:kern w:val="0"/>
                      <w:sz w:val="21"/>
                      <w:szCs w:val="21"/>
                    </w:rPr>
                  </w:pPr>
                  <w:r>
                    <w:rPr>
                      <w:kern w:val="0"/>
                      <w:sz w:val="21"/>
                      <w:szCs w:val="21"/>
                    </w:rPr>
                    <w:t>福州市</w:t>
                  </w:r>
                </w:p>
              </w:tc>
              <w:tc>
                <w:tcPr>
                  <w:tcW w:w="221" w:type="pct"/>
                  <w:vMerge w:val="restart"/>
                  <w:vAlign w:val="center"/>
                </w:tcPr>
                <w:p w14:paraId="70292E57">
                  <w:pPr>
                    <w:widowControl/>
                    <w:adjustRightInd w:val="0"/>
                    <w:snapToGrid w:val="0"/>
                    <w:spacing w:line="240" w:lineRule="auto"/>
                    <w:ind w:firstLine="0" w:firstLineChars="0"/>
                    <w:jc w:val="center"/>
                    <w:rPr>
                      <w:kern w:val="0"/>
                      <w:sz w:val="21"/>
                      <w:szCs w:val="21"/>
                    </w:rPr>
                  </w:pPr>
                  <w:r>
                    <w:rPr>
                      <w:kern w:val="0"/>
                      <w:sz w:val="21"/>
                      <w:szCs w:val="21"/>
                    </w:rPr>
                    <w:t>陆域</w:t>
                  </w:r>
                </w:p>
              </w:tc>
              <w:tc>
                <w:tcPr>
                  <w:tcW w:w="327" w:type="pct"/>
                  <w:vAlign w:val="center"/>
                </w:tcPr>
                <w:p w14:paraId="2FC9A670">
                  <w:pPr>
                    <w:widowControl/>
                    <w:adjustRightInd w:val="0"/>
                    <w:snapToGrid w:val="0"/>
                    <w:spacing w:line="240" w:lineRule="auto"/>
                    <w:ind w:firstLine="0" w:firstLineChars="0"/>
                    <w:jc w:val="center"/>
                    <w:rPr>
                      <w:kern w:val="0"/>
                      <w:sz w:val="21"/>
                      <w:szCs w:val="21"/>
                    </w:rPr>
                  </w:pPr>
                  <w:r>
                    <w:rPr>
                      <w:kern w:val="0"/>
                      <w:sz w:val="21"/>
                      <w:szCs w:val="21"/>
                    </w:rPr>
                    <w:t>空间布局约束</w:t>
                  </w:r>
                </w:p>
              </w:tc>
              <w:tc>
                <w:tcPr>
                  <w:tcW w:w="2270" w:type="pct"/>
                  <w:vAlign w:val="center"/>
                </w:tcPr>
                <w:p w14:paraId="4E9F94A4">
                  <w:pPr>
                    <w:widowControl/>
                    <w:adjustRightInd w:val="0"/>
                    <w:snapToGrid w:val="0"/>
                    <w:spacing w:line="240" w:lineRule="auto"/>
                    <w:ind w:firstLine="0" w:firstLineChars="0"/>
                    <w:jc w:val="center"/>
                    <w:rPr>
                      <w:kern w:val="0"/>
                      <w:sz w:val="21"/>
                      <w:szCs w:val="21"/>
                    </w:rPr>
                  </w:pPr>
                  <w:r>
                    <w:rPr>
                      <w:rFonts w:hint="eastAsia"/>
                      <w:kern w:val="0"/>
                      <w:sz w:val="21"/>
                      <w:szCs w:val="21"/>
                    </w:rPr>
                    <w:t>1.福州市石化中上游项目重点在福州江阴港城经济区、可门港经济区化工新材料产业园布局。</w:t>
                  </w:r>
                </w:p>
                <w:p w14:paraId="04F793FD">
                  <w:pPr>
                    <w:widowControl/>
                    <w:adjustRightInd w:val="0"/>
                    <w:snapToGrid w:val="0"/>
                    <w:spacing w:line="240" w:lineRule="auto"/>
                    <w:ind w:firstLine="0" w:firstLineChars="0"/>
                    <w:jc w:val="center"/>
                    <w:rPr>
                      <w:kern w:val="0"/>
                      <w:sz w:val="21"/>
                      <w:szCs w:val="21"/>
                    </w:rPr>
                  </w:pPr>
                  <w:r>
                    <w:rPr>
                      <w:rFonts w:hint="eastAsia"/>
                      <w:kern w:val="0"/>
                      <w:sz w:val="21"/>
                      <w:szCs w:val="21"/>
                    </w:rPr>
                    <w:t>2.禁止在通风廊道和主导风向的上风向布局大气重污染企业，推进建成区大气重污染企业搬迁或升级改造、环境风险企业搬迁或关闭退出。</w:t>
                  </w:r>
                </w:p>
              </w:tc>
              <w:tc>
                <w:tcPr>
                  <w:tcW w:w="1527" w:type="pct"/>
                  <w:vAlign w:val="center"/>
                </w:tcPr>
                <w:p w14:paraId="403F6C06">
                  <w:pPr>
                    <w:widowControl/>
                    <w:adjustRightInd w:val="0"/>
                    <w:snapToGrid w:val="0"/>
                    <w:spacing w:line="240" w:lineRule="auto"/>
                    <w:ind w:firstLine="0" w:firstLineChars="0"/>
                    <w:jc w:val="center"/>
                    <w:rPr>
                      <w:kern w:val="0"/>
                      <w:sz w:val="21"/>
                      <w:szCs w:val="21"/>
                    </w:rPr>
                  </w:pPr>
                  <w:r>
                    <w:rPr>
                      <w:rFonts w:hint="eastAsia"/>
                      <w:kern w:val="0"/>
                      <w:sz w:val="21"/>
                      <w:szCs w:val="21"/>
                    </w:rPr>
                    <w:t>扩建</w:t>
                  </w:r>
                  <w:r>
                    <w:rPr>
                      <w:kern w:val="0"/>
                      <w:sz w:val="21"/>
                      <w:szCs w:val="21"/>
                    </w:rPr>
                    <w:t>项目属于</w:t>
                  </w:r>
                  <w:r>
                    <w:rPr>
                      <w:rFonts w:hint="eastAsia"/>
                      <w:kern w:val="0"/>
                      <w:sz w:val="21"/>
                      <w:szCs w:val="21"/>
                    </w:rPr>
                    <w:t>危险化学品仓储行业，为化工码头配套项目</w:t>
                  </w:r>
                  <w:r>
                    <w:rPr>
                      <w:kern w:val="0"/>
                      <w:sz w:val="21"/>
                      <w:szCs w:val="21"/>
                    </w:rPr>
                    <w:t>，位于江江阴港城经济区西部工业片区</w:t>
                  </w:r>
                  <w:r>
                    <w:rPr>
                      <w:rFonts w:hint="eastAsia"/>
                      <w:kern w:val="0"/>
                      <w:sz w:val="21"/>
                      <w:szCs w:val="21"/>
                    </w:rPr>
                    <w:t>。</w:t>
                  </w:r>
                </w:p>
              </w:tc>
              <w:tc>
                <w:tcPr>
                  <w:tcW w:w="356" w:type="pct"/>
                  <w:vAlign w:val="center"/>
                </w:tcPr>
                <w:p w14:paraId="68F340B8">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55478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299" w:type="pct"/>
                  <w:vMerge w:val="restart"/>
                  <w:vAlign w:val="center"/>
                </w:tcPr>
                <w:p w14:paraId="4433F1A6">
                  <w:pPr>
                    <w:widowControl/>
                    <w:adjustRightInd w:val="0"/>
                    <w:snapToGrid w:val="0"/>
                    <w:spacing w:line="240" w:lineRule="auto"/>
                    <w:ind w:firstLine="0" w:firstLineChars="0"/>
                    <w:jc w:val="center"/>
                    <w:rPr>
                      <w:kern w:val="0"/>
                      <w:sz w:val="21"/>
                      <w:szCs w:val="21"/>
                    </w:rPr>
                  </w:pPr>
                  <w:r>
                    <w:rPr>
                      <w:kern w:val="0"/>
                      <w:sz w:val="21"/>
                      <w:szCs w:val="21"/>
                    </w:rPr>
                    <w:t>深入推进闽江流域上生态环境综合治理工作方案</w:t>
                  </w:r>
                </w:p>
              </w:tc>
              <w:tc>
                <w:tcPr>
                  <w:tcW w:w="221" w:type="pct"/>
                  <w:vMerge w:val="continue"/>
                  <w:vAlign w:val="center"/>
                </w:tcPr>
                <w:p w14:paraId="79D68706">
                  <w:pPr>
                    <w:widowControl/>
                    <w:adjustRightInd w:val="0"/>
                    <w:snapToGrid w:val="0"/>
                    <w:spacing w:line="240" w:lineRule="auto"/>
                    <w:ind w:firstLine="0" w:firstLineChars="0"/>
                    <w:jc w:val="center"/>
                    <w:rPr>
                      <w:kern w:val="0"/>
                      <w:sz w:val="21"/>
                      <w:szCs w:val="21"/>
                    </w:rPr>
                  </w:pPr>
                </w:p>
              </w:tc>
              <w:tc>
                <w:tcPr>
                  <w:tcW w:w="327" w:type="pct"/>
                  <w:vAlign w:val="center"/>
                </w:tcPr>
                <w:p w14:paraId="7A381B03">
                  <w:pPr>
                    <w:widowControl/>
                    <w:adjustRightInd w:val="0"/>
                    <w:snapToGrid w:val="0"/>
                    <w:spacing w:line="240" w:lineRule="auto"/>
                    <w:ind w:firstLine="0" w:firstLineChars="0"/>
                    <w:jc w:val="center"/>
                    <w:rPr>
                      <w:kern w:val="0"/>
                      <w:sz w:val="21"/>
                      <w:szCs w:val="21"/>
                    </w:rPr>
                  </w:pPr>
                  <w:r>
                    <w:rPr>
                      <w:kern w:val="0"/>
                      <w:sz w:val="21"/>
                      <w:szCs w:val="21"/>
                    </w:rPr>
                    <w:t>污染物排放管控</w:t>
                  </w:r>
                </w:p>
              </w:tc>
              <w:tc>
                <w:tcPr>
                  <w:tcW w:w="2270" w:type="pct"/>
                  <w:vAlign w:val="center"/>
                </w:tcPr>
                <w:p w14:paraId="001FE072">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w:t>
                  </w:r>
                  <w:r>
                    <w:rPr>
                      <w:rFonts w:hint="eastAsia"/>
                      <w:kern w:val="0"/>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0B828830">
                  <w:pPr>
                    <w:adjustRightInd w:val="0"/>
                    <w:snapToGrid w:val="0"/>
                    <w:spacing w:line="240" w:lineRule="auto"/>
                    <w:ind w:firstLine="0" w:firstLineChars="0"/>
                    <w:rPr>
                      <w:kern w:val="0"/>
                      <w:sz w:val="21"/>
                      <w:szCs w:val="21"/>
                    </w:rPr>
                  </w:pPr>
                  <w:r>
                    <w:rPr>
                      <w:rFonts w:hint="eastAsia"/>
                      <w:kern w:val="0"/>
                      <w:sz w:val="21"/>
                      <w:szCs w:val="21"/>
                    </w:rPr>
                    <w:t>2</w:t>
                  </w:r>
                  <w:r>
                    <w:rPr>
                      <w:kern w:val="0"/>
                      <w:sz w:val="21"/>
                      <w:szCs w:val="21"/>
                    </w:rPr>
                    <w:t>.</w:t>
                  </w:r>
                  <w:r>
                    <w:rPr>
                      <w:rFonts w:hint="eastAsia"/>
                      <w:kern w:val="0"/>
                      <w:sz w:val="21"/>
                      <w:szCs w:val="21"/>
                    </w:rPr>
                    <w:t>新、改、扩建涉VOCs排放项目污染物排放量应满足《福州市“十四五”空气质量持续改善计划》（榕环保综〔2023〕40号），应从源头加强控制，使用低（无）VOCs含量的原辅材料。</w:t>
                  </w:r>
                </w:p>
                <w:p w14:paraId="1B98CDD2">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w:t>
                  </w:r>
                  <w:r>
                    <w:rPr>
                      <w:rFonts w:hint="eastAsia"/>
                      <w:kern w:val="0"/>
                      <w:sz w:val="21"/>
                      <w:szCs w:val="21"/>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tc>
              <w:tc>
                <w:tcPr>
                  <w:tcW w:w="1527" w:type="pct"/>
                  <w:vAlign w:val="center"/>
                </w:tcPr>
                <w:p w14:paraId="63E7A495">
                  <w:pPr>
                    <w:widowControl/>
                    <w:adjustRightInd w:val="0"/>
                    <w:snapToGrid w:val="0"/>
                    <w:spacing w:line="240" w:lineRule="auto"/>
                    <w:ind w:firstLine="0" w:firstLineChars="0"/>
                    <w:jc w:val="center"/>
                    <w:rPr>
                      <w:kern w:val="0"/>
                      <w:sz w:val="21"/>
                      <w:szCs w:val="21"/>
                    </w:rPr>
                  </w:pPr>
                  <w:r>
                    <w:rPr>
                      <w:rFonts w:hint="eastAsia"/>
                      <w:kern w:val="0"/>
                      <w:sz w:val="21"/>
                      <w:szCs w:val="21"/>
                    </w:rPr>
                    <w:t>1）本次扩建项目新增水污染物化学需氧量及氨氮，排放总量指标来源、审核和监督管理按照“榕环保综〔2017〕90号”等相关文件执行</w:t>
                  </w:r>
                  <w:r>
                    <w:rPr>
                      <w:kern w:val="0"/>
                      <w:sz w:val="21"/>
                      <w:szCs w:val="21"/>
                    </w:rPr>
                    <w:t>。</w:t>
                  </w:r>
                </w:p>
                <w:p w14:paraId="179AA3C3">
                  <w:pPr>
                    <w:widowControl/>
                    <w:adjustRightInd w:val="0"/>
                    <w:snapToGrid w:val="0"/>
                    <w:spacing w:line="240" w:lineRule="auto"/>
                    <w:ind w:firstLine="0" w:firstLineChars="0"/>
                    <w:jc w:val="center"/>
                    <w:rPr>
                      <w:kern w:val="0"/>
                      <w:sz w:val="21"/>
                      <w:szCs w:val="21"/>
                    </w:rPr>
                  </w:pPr>
                  <w:r>
                    <w:rPr>
                      <w:rFonts w:hint="eastAsia"/>
                      <w:kern w:val="0"/>
                      <w:sz w:val="21"/>
                      <w:szCs w:val="21"/>
                    </w:rPr>
                    <w:t>2）本次扩建项目涉VOCs排放项目污染物排放量，实施VOCs总量控制，满足《福州市“十四五”空气质量持续改善计划》（榕环保综〔2023〕40号）。</w:t>
                  </w:r>
                </w:p>
                <w:p w14:paraId="50EED861">
                  <w:pPr>
                    <w:widowControl/>
                    <w:adjustRightInd w:val="0"/>
                    <w:snapToGrid w:val="0"/>
                    <w:spacing w:line="240" w:lineRule="auto"/>
                    <w:ind w:firstLine="0" w:firstLineChars="0"/>
                    <w:jc w:val="center"/>
                    <w:rPr>
                      <w:kern w:val="0"/>
                      <w:sz w:val="21"/>
                      <w:szCs w:val="21"/>
                    </w:rPr>
                  </w:pPr>
                  <w:r>
                    <w:rPr>
                      <w:rFonts w:hint="eastAsia"/>
                      <w:kern w:val="0"/>
                      <w:sz w:val="21"/>
                      <w:szCs w:val="21"/>
                    </w:rPr>
                    <w:t>3）本次扩建项目执行大气污染物特别排放限值。</w:t>
                  </w:r>
                </w:p>
              </w:tc>
              <w:tc>
                <w:tcPr>
                  <w:tcW w:w="356" w:type="pct"/>
                  <w:vAlign w:val="center"/>
                </w:tcPr>
                <w:p w14:paraId="2FF7850B">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6C57D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continue"/>
                  <w:vAlign w:val="center"/>
                </w:tcPr>
                <w:p w14:paraId="60DC470B">
                  <w:pPr>
                    <w:widowControl/>
                    <w:adjustRightInd w:val="0"/>
                    <w:snapToGrid w:val="0"/>
                    <w:spacing w:line="240" w:lineRule="auto"/>
                    <w:ind w:firstLine="0" w:firstLineChars="0"/>
                    <w:jc w:val="center"/>
                    <w:rPr>
                      <w:kern w:val="0"/>
                      <w:sz w:val="21"/>
                      <w:szCs w:val="21"/>
                    </w:rPr>
                  </w:pPr>
                </w:p>
              </w:tc>
              <w:tc>
                <w:tcPr>
                  <w:tcW w:w="221" w:type="pct"/>
                  <w:vMerge w:val="restart"/>
                  <w:vAlign w:val="center"/>
                </w:tcPr>
                <w:p w14:paraId="4B4AD05D">
                  <w:pPr>
                    <w:widowControl/>
                    <w:adjustRightInd w:val="0"/>
                    <w:snapToGrid w:val="0"/>
                    <w:spacing w:line="240" w:lineRule="auto"/>
                    <w:ind w:firstLine="0" w:firstLineChars="0"/>
                    <w:jc w:val="center"/>
                    <w:rPr>
                      <w:kern w:val="0"/>
                      <w:sz w:val="21"/>
                      <w:szCs w:val="21"/>
                    </w:rPr>
                  </w:pPr>
                  <w:r>
                    <w:rPr>
                      <w:kern w:val="0"/>
                      <w:sz w:val="21"/>
                      <w:szCs w:val="21"/>
                    </w:rPr>
                    <w:t>近岸海域</w:t>
                  </w:r>
                </w:p>
              </w:tc>
              <w:tc>
                <w:tcPr>
                  <w:tcW w:w="327" w:type="pct"/>
                  <w:vAlign w:val="center"/>
                </w:tcPr>
                <w:p w14:paraId="7C8174A3">
                  <w:pPr>
                    <w:widowControl/>
                    <w:adjustRightInd w:val="0"/>
                    <w:snapToGrid w:val="0"/>
                    <w:spacing w:line="240" w:lineRule="auto"/>
                    <w:ind w:firstLine="0" w:firstLineChars="0"/>
                    <w:jc w:val="center"/>
                    <w:rPr>
                      <w:kern w:val="0"/>
                      <w:sz w:val="21"/>
                      <w:szCs w:val="21"/>
                    </w:rPr>
                  </w:pPr>
                  <w:r>
                    <w:rPr>
                      <w:kern w:val="0"/>
                      <w:sz w:val="21"/>
                      <w:szCs w:val="21"/>
                    </w:rPr>
                    <w:t>空间布局约束</w:t>
                  </w:r>
                </w:p>
              </w:tc>
              <w:tc>
                <w:tcPr>
                  <w:tcW w:w="2270" w:type="pct"/>
                  <w:vAlign w:val="center"/>
                </w:tcPr>
                <w:p w14:paraId="1CE9D625">
                  <w:pPr>
                    <w:widowControl/>
                    <w:adjustRightInd w:val="0"/>
                    <w:snapToGrid w:val="0"/>
                    <w:spacing w:line="240" w:lineRule="auto"/>
                    <w:ind w:firstLine="0" w:firstLineChars="0"/>
                    <w:jc w:val="center"/>
                    <w:rPr>
                      <w:kern w:val="0"/>
                      <w:sz w:val="21"/>
                      <w:szCs w:val="21"/>
                    </w:rPr>
                  </w:pPr>
                  <w:r>
                    <w:rPr>
                      <w:rFonts w:hint="eastAsia"/>
                      <w:kern w:val="0"/>
                      <w:sz w:val="21"/>
                      <w:szCs w:val="21"/>
                    </w:rPr>
                    <w:t>江阴特殊利用区内设置排污口，需严格论证并执行污水达标排放和设置深水排放口，不得影响临近的兴化湾水鸟省级自然保护区。</w:t>
                  </w:r>
                </w:p>
              </w:tc>
              <w:tc>
                <w:tcPr>
                  <w:tcW w:w="1527" w:type="pct"/>
                  <w:vAlign w:val="center"/>
                </w:tcPr>
                <w:p w14:paraId="3D496806">
                  <w:pPr>
                    <w:widowControl/>
                    <w:adjustRightInd w:val="0"/>
                    <w:snapToGrid w:val="0"/>
                    <w:spacing w:line="240" w:lineRule="auto"/>
                    <w:ind w:firstLine="0" w:firstLineChars="0"/>
                    <w:jc w:val="center"/>
                    <w:rPr>
                      <w:kern w:val="0"/>
                      <w:sz w:val="21"/>
                      <w:szCs w:val="21"/>
                    </w:rPr>
                  </w:pPr>
                  <w:r>
                    <w:rPr>
                      <w:rFonts w:hint="eastAsia"/>
                      <w:kern w:val="0"/>
                      <w:sz w:val="21"/>
                      <w:szCs w:val="21"/>
                    </w:rPr>
                    <w:t>扩建项目不涉及排污口建设。</w:t>
                  </w:r>
                </w:p>
              </w:tc>
              <w:tc>
                <w:tcPr>
                  <w:tcW w:w="356" w:type="pct"/>
                  <w:vAlign w:val="center"/>
                </w:tcPr>
                <w:p w14:paraId="55781C62">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4ED32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continue"/>
                  <w:vAlign w:val="center"/>
                </w:tcPr>
                <w:p w14:paraId="7EB24201">
                  <w:pPr>
                    <w:widowControl/>
                    <w:adjustRightInd w:val="0"/>
                    <w:snapToGrid w:val="0"/>
                    <w:spacing w:line="240" w:lineRule="auto"/>
                    <w:ind w:firstLine="0" w:firstLineChars="0"/>
                    <w:jc w:val="center"/>
                    <w:rPr>
                      <w:kern w:val="0"/>
                      <w:sz w:val="21"/>
                      <w:szCs w:val="21"/>
                    </w:rPr>
                  </w:pPr>
                </w:p>
              </w:tc>
              <w:tc>
                <w:tcPr>
                  <w:tcW w:w="221" w:type="pct"/>
                  <w:vMerge w:val="continue"/>
                  <w:vAlign w:val="center"/>
                </w:tcPr>
                <w:p w14:paraId="6A13FC34">
                  <w:pPr>
                    <w:widowControl/>
                    <w:adjustRightInd w:val="0"/>
                    <w:snapToGrid w:val="0"/>
                    <w:spacing w:line="240" w:lineRule="auto"/>
                    <w:ind w:firstLine="0" w:firstLineChars="0"/>
                    <w:jc w:val="center"/>
                    <w:rPr>
                      <w:kern w:val="0"/>
                      <w:sz w:val="21"/>
                      <w:szCs w:val="21"/>
                    </w:rPr>
                  </w:pPr>
                </w:p>
              </w:tc>
              <w:tc>
                <w:tcPr>
                  <w:tcW w:w="327" w:type="pct"/>
                  <w:vAlign w:val="center"/>
                </w:tcPr>
                <w:p w14:paraId="38619AE6">
                  <w:pPr>
                    <w:widowControl/>
                    <w:adjustRightInd w:val="0"/>
                    <w:snapToGrid w:val="0"/>
                    <w:spacing w:line="240" w:lineRule="auto"/>
                    <w:ind w:firstLine="0" w:firstLineChars="0"/>
                    <w:jc w:val="center"/>
                    <w:rPr>
                      <w:kern w:val="0"/>
                      <w:sz w:val="21"/>
                      <w:szCs w:val="21"/>
                    </w:rPr>
                  </w:pPr>
                  <w:r>
                    <w:rPr>
                      <w:kern w:val="0"/>
                      <w:sz w:val="21"/>
                      <w:szCs w:val="21"/>
                    </w:rPr>
                    <w:t>污染物排放管控</w:t>
                  </w:r>
                </w:p>
              </w:tc>
              <w:tc>
                <w:tcPr>
                  <w:tcW w:w="2270" w:type="pct"/>
                  <w:vAlign w:val="center"/>
                </w:tcPr>
                <w:p w14:paraId="58C7599F">
                  <w:pPr>
                    <w:widowControl/>
                    <w:adjustRightInd w:val="0"/>
                    <w:snapToGrid w:val="0"/>
                    <w:spacing w:line="240" w:lineRule="auto"/>
                    <w:ind w:firstLine="0" w:firstLineChars="0"/>
                    <w:jc w:val="center"/>
                    <w:rPr>
                      <w:kern w:val="0"/>
                      <w:sz w:val="21"/>
                      <w:szCs w:val="21"/>
                    </w:rPr>
                  </w:pPr>
                  <w:r>
                    <w:rPr>
                      <w:rFonts w:hint="eastAsia"/>
                      <w:kern w:val="0"/>
                      <w:sz w:val="21"/>
                      <w:szCs w:val="21"/>
                    </w:rPr>
                    <w:t>1.兴化湾实行主要污染物入海总量控制，全面开展兴化湾福州段入海排污口排查溯源和分类整治，加快推动沿岸乡镇配套污水管网建设及江阴工业区污水处理厂提标改造，湾内严格控制投饵型网箱养殖规模和密度，实行生态养殖，强化养殖污染防治和养殖尾水治理监管。</w:t>
                  </w:r>
                </w:p>
                <w:p w14:paraId="0A08280D">
                  <w:pPr>
                    <w:widowControl/>
                    <w:adjustRightInd w:val="0"/>
                    <w:snapToGrid w:val="0"/>
                    <w:spacing w:line="240" w:lineRule="auto"/>
                    <w:ind w:firstLine="0" w:firstLineChars="0"/>
                    <w:jc w:val="center"/>
                    <w:rPr>
                      <w:kern w:val="0"/>
                      <w:sz w:val="21"/>
                      <w:szCs w:val="21"/>
                    </w:rPr>
                  </w:pPr>
                  <w:r>
                    <w:rPr>
                      <w:rFonts w:hint="eastAsia"/>
                      <w:kern w:val="0"/>
                      <w:sz w:val="21"/>
                      <w:szCs w:val="21"/>
                    </w:rPr>
                    <w:t>2.近岸海域汇水区域内城镇污水处理设施执行不低于一级A排放标准，推进沿海农村生活污水收集处理。</w:t>
                  </w:r>
                </w:p>
              </w:tc>
              <w:tc>
                <w:tcPr>
                  <w:tcW w:w="1527" w:type="pct"/>
                  <w:vAlign w:val="center"/>
                </w:tcPr>
                <w:p w14:paraId="101A4AC3">
                  <w:pPr>
                    <w:widowControl/>
                    <w:adjustRightInd w:val="0"/>
                    <w:snapToGrid w:val="0"/>
                    <w:spacing w:line="240" w:lineRule="auto"/>
                    <w:ind w:firstLine="0" w:firstLineChars="0"/>
                    <w:jc w:val="center"/>
                    <w:rPr>
                      <w:kern w:val="0"/>
                      <w:sz w:val="21"/>
                      <w:szCs w:val="21"/>
                    </w:rPr>
                  </w:pPr>
                  <w:r>
                    <w:rPr>
                      <w:kern w:val="0"/>
                      <w:sz w:val="21"/>
                      <w:szCs w:val="21"/>
                    </w:rPr>
                    <w:t>生活污水经预处理后</w:t>
                  </w:r>
                  <w:r>
                    <w:rPr>
                      <w:rFonts w:hint="eastAsia"/>
                      <w:kern w:val="0"/>
                      <w:sz w:val="21"/>
                      <w:szCs w:val="21"/>
                    </w:rPr>
                    <w:t>与</w:t>
                  </w:r>
                  <w:r>
                    <w:rPr>
                      <w:kern w:val="0"/>
                      <w:sz w:val="21"/>
                      <w:szCs w:val="21"/>
                    </w:rPr>
                    <w:t>BDO/MA储罐废气水洗/碱洗废水、初期雨水、地面冲洗废水送福州万景石化有限公司污水处理站</w:t>
                  </w:r>
                  <w:r>
                    <w:rPr>
                      <w:rFonts w:hint="eastAsia"/>
                      <w:kern w:val="0"/>
                      <w:sz w:val="21"/>
                      <w:szCs w:val="21"/>
                    </w:rPr>
                    <w:t>，</w:t>
                  </w:r>
                  <w:r>
                    <w:rPr>
                      <w:kern w:val="0"/>
                      <w:sz w:val="21"/>
                      <w:szCs w:val="21"/>
                    </w:rPr>
                    <w:t>处理达到江阴工业集中区污水处理厂纳管标准后，排入江阴工业集中区污水处理厂进一步处理</w:t>
                  </w:r>
                  <w:r>
                    <w:rPr>
                      <w:rFonts w:hint="eastAsia"/>
                      <w:kern w:val="0"/>
                      <w:sz w:val="21"/>
                      <w:szCs w:val="21"/>
                    </w:rPr>
                    <w:t>，</w:t>
                  </w:r>
                  <w:r>
                    <w:rPr>
                      <w:kern w:val="0"/>
                      <w:sz w:val="21"/>
                      <w:szCs w:val="21"/>
                    </w:rPr>
                    <w:t>执行《城镇污水处理厂污染物排放标准》（GB18918-2002）一级A标准</w:t>
                  </w:r>
                  <w:r>
                    <w:rPr>
                      <w:rFonts w:hint="eastAsia"/>
                      <w:kern w:val="0"/>
                      <w:sz w:val="21"/>
                      <w:szCs w:val="21"/>
                    </w:rPr>
                    <w:t>。</w:t>
                  </w:r>
                </w:p>
              </w:tc>
              <w:tc>
                <w:tcPr>
                  <w:tcW w:w="356" w:type="pct"/>
                  <w:vAlign w:val="center"/>
                </w:tcPr>
                <w:p w14:paraId="3D3682BD">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0F931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restart"/>
                  <w:vAlign w:val="center"/>
                </w:tcPr>
                <w:p w14:paraId="521D9533">
                  <w:pPr>
                    <w:widowControl/>
                    <w:adjustRightInd w:val="0"/>
                    <w:snapToGrid w:val="0"/>
                    <w:spacing w:line="240" w:lineRule="auto"/>
                    <w:ind w:firstLine="0" w:firstLineChars="0"/>
                    <w:jc w:val="center"/>
                    <w:rPr>
                      <w:kern w:val="0"/>
                      <w:sz w:val="21"/>
                      <w:szCs w:val="21"/>
                    </w:rPr>
                  </w:pPr>
                  <w:r>
                    <w:rPr>
                      <w:kern w:val="0"/>
                      <w:sz w:val="21"/>
                      <w:szCs w:val="21"/>
                    </w:rPr>
                    <w:t>福州江阴港城经济区</w:t>
                  </w:r>
                </w:p>
              </w:tc>
              <w:tc>
                <w:tcPr>
                  <w:tcW w:w="221" w:type="pct"/>
                  <w:vMerge w:val="restart"/>
                  <w:vAlign w:val="center"/>
                </w:tcPr>
                <w:p w14:paraId="7FAB2CEA">
                  <w:pPr>
                    <w:widowControl/>
                    <w:adjustRightInd w:val="0"/>
                    <w:snapToGrid w:val="0"/>
                    <w:spacing w:line="240" w:lineRule="auto"/>
                    <w:ind w:firstLine="0" w:firstLineChars="0"/>
                    <w:jc w:val="center"/>
                    <w:rPr>
                      <w:kern w:val="0"/>
                      <w:sz w:val="21"/>
                      <w:szCs w:val="21"/>
                    </w:rPr>
                  </w:pPr>
                  <w:r>
                    <w:rPr>
                      <w:kern w:val="0"/>
                      <w:sz w:val="21"/>
                      <w:szCs w:val="21"/>
                    </w:rPr>
                    <w:t>重点管控单元</w:t>
                  </w:r>
                </w:p>
              </w:tc>
              <w:tc>
                <w:tcPr>
                  <w:tcW w:w="327" w:type="pct"/>
                  <w:vAlign w:val="center"/>
                </w:tcPr>
                <w:p w14:paraId="5C78E874">
                  <w:pPr>
                    <w:widowControl/>
                    <w:adjustRightInd w:val="0"/>
                    <w:snapToGrid w:val="0"/>
                    <w:spacing w:line="240" w:lineRule="auto"/>
                    <w:ind w:firstLine="0" w:firstLineChars="0"/>
                    <w:jc w:val="center"/>
                    <w:rPr>
                      <w:kern w:val="0"/>
                      <w:sz w:val="21"/>
                      <w:szCs w:val="21"/>
                    </w:rPr>
                  </w:pPr>
                  <w:r>
                    <w:rPr>
                      <w:kern w:val="0"/>
                      <w:sz w:val="21"/>
                      <w:szCs w:val="21"/>
                    </w:rPr>
                    <w:t>空间布局约束</w:t>
                  </w:r>
                </w:p>
              </w:tc>
              <w:tc>
                <w:tcPr>
                  <w:tcW w:w="2270" w:type="pct"/>
                  <w:vAlign w:val="center"/>
                </w:tcPr>
                <w:p w14:paraId="3E491712">
                  <w:pPr>
                    <w:widowControl/>
                    <w:adjustRightInd w:val="0"/>
                    <w:snapToGrid w:val="0"/>
                    <w:spacing w:line="240" w:lineRule="auto"/>
                    <w:ind w:firstLine="0" w:firstLineChars="0"/>
                    <w:jc w:val="center"/>
                    <w:rPr>
                      <w:kern w:val="0"/>
                      <w:sz w:val="21"/>
                      <w:szCs w:val="21"/>
                    </w:rPr>
                  </w:pPr>
                  <w:r>
                    <w:rPr>
                      <w:kern w:val="0"/>
                      <w:sz w:val="21"/>
                      <w:szCs w:val="21"/>
                    </w:rPr>
                    <w:t>1</w:t>
                  </w:r>
                  <w:r>
                    <w:rPr>
                      <w:rFonts w:hint="eastAsia"/>
                      <w:kern w:val="0"/>
                      <w:sz w:val="21"/>
                      <w:szCs w:val="21"/>
                    </w:rPr>
                    <w:t>.</w:t>
                  </w:r>
                  <w:r>
                    <w:rPr>
                      <w:kern w:val="0"/>
                      <w:sz w:val="21"/>
                      <w:szCs w:val="21"/>
                    </w:rPr>
                    <w:t>禁止新建、扩建合成革企业；禁止新建集中电镀项目，企业配套电镀工序必须达到废水零排放；严格控制排放重金属和持久性有机污染物的项目。</w:t>
                  </w:r>
                </w:p>
                <w:p w14:paraId="46F9DAEF">
                  <w:pPr>
                    <w:widowControl/>
                    <w:adjustRightInd w:val="0"/>
                    <w:snapToGrid w:val="0"/>
                    <w:spacing w:line="240" w:lineRule="auto"/>
                    <w:ind w:firstLine="0" w:firstLineChars="0"/>
                    <w:jc w:val="center"/>
                    <w:rPr>
                      <w:kern w:val="0"/>
                      <w:sz w:val="21"/>
                      <w:szCs w:val="21"/>
                    </w:rPr>
                  </w:pPr>
                  <w:r>
                    <w:rPr>
                      <w:kern w:val="0"/>
                      <w:sz w:val="21"/>
                      <w:szCs w:val="21"/>
                    </w:rPr>
                    <w:t>2</w:t>
                  </w:r>
                  <w:r>
                    <w:rPr>
                      <w:rFonts w:hint="eastAsia"/>
                      <w:kern w:val="0"/>
                      <w:sz w:val="21"/>
                      <w:szCs w:val="21"/>
                    </w:rPr>
                    <w:t>.</w:t>
                  </w:r>
                  <w:r>
                    <w:rPr>
                      <w:kern w:val="0"/>
                      <w:sz w:val="21"/>
                      <w:szCs w:val="21"/>
                    </w:rPr>
                    <w:t>禁止在新厝和月亮湾先进制造业基地的工业用地引入大气污染为主的产业。</w:t>
                  </w:r>
                </w:p>
                <w:p w14:paraId="4394BFEB">
                  <w:pPr>
                    <w:widowControl/>
                    <w:adjustRightInd w:val="0"/>
                    <w:snapToGrid w:val="0"/>
                    <w:spacing w:line="240" w:lineRule="auto"/>
                    <w:ind w:firstLine="0" w:firstLineChars="0"/>
                    <w:jc w:val="center"/>
                    <w:rPr>
                      <w:kern w:val="0"/>
                      <w:sz w:val="21"/>
                      <w:szCs w:val="21"/>
                    </w:rPr>
                  </w:pPr>
                  <w:r>
                    <w:rPr>
                      <w:kern w:val="0"/>
                      <w:sz w:val="21"/>
                      <w:szCs w:val="21"/>
                    </w:rPr>
                    <w:t>3</w:t>
                  </w:r>
                  <w:r>
                    <w:rPr>
                      <w:rFonts w:hint="eastAsia"/>
                      <w:kern w:val="0"/>
                      <w:sz w:val="21"/>
                      <w:szCs w:val="21"/>
                    </w:rPr>
                    <w:t>.</w:t>
                  </w:r>
                  <w:r>
                    <w:rPr>
                      <w:kern w:val="0"/>
                      <w:sz w:val="21"/>
                      <w:szCs w:val="21"/>
                    </w:rPr>
                    <w:t>污染重、环境风险大的生产装置、储罐应远离居民区；设置必要的环保隔离带和环境风险防范环保控制线，环保隔离带内不得有居民区、学校、医院等敏感目标，环保控制带应控制人口规模，不新增居民区、学校、医院等敏感目标。</w:t>
                  </w:r>
                </w:p>
              </w:tc>
              <w:tc>
                <w:tcPr>
                  <w:tcW w:w="1527" w:type="pct"/>
                  <w:vAlign w:val="center"/>
                </w:tcPr>
                <w:p w14:paraId="56BCBACB">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项目不属于合成革、电镀等行业</w:t>
                  </w:r>
                  <w:r>
                    <w:rPr>
                      <w:rFonts w:hint="eastAsia"/>
                      <w:kern w:val="0"/>
                      <w:sz w:val="21"/>
                      <w:szCs w:val="21"/>
                    </w:rPr>
                    <w:t>，项目不</w:t>
                  </w:r>
                  <w:r>
                    <w:rPr>
                      <w:kern w:val="0"/>
                      <w:sz w:val="21"/>
                      <w:szCs w:val="21"/>
                    </w:rPr>
                    <w:t>排放重金属和持久性有机污染物</w:t>
                  </w:r>
                  <w:r>
                    <w:rPr>
                      <w:rFonts w:hint="eastAsia"/>
                      <w:kern w:val="0"/>
                      <w:sz w:val="21"/>
                      <w:szCs w:val="21"/>
                    </w:rPr>
                    <w:t>。</w:t>
                  </w:r>
                </w:p>
                <w:p w14:paraId="7F3DB6C6">
                  <w:pPr>
                    <w:widowControl/>
                    <w:adjustRightInd w:val="0"/>
                    <w:snapToGrid w:val="0"/>
                    <w:spacing w:line="240" w:lineRule="auto"/>
                    <w:ind w:firstLine="0" w:firstLineChars="0"/>
                    <w:jc w:val="center"/>
                    <w:rPr>
                      <w:kern w:val="0"/>
                      <w:sz w:val="21"/>
                      <w:szCs w:val="21"/>
                    </w:rPr>
                  </w:pPr>
                  <w:r>
                    <w:rPr>
                      <w:rFonts w:hint="eastAsia"/>
                      <w:kern w:val="0"/>
                      <w:sz w:val="21"/>
                      <w:szCs w:val="21"/>
                    </w:rPr>
                    <w:t>2）</w:t>
                  </w:r>
                  <w:r>
                    <w:rPr>
                      <w:kern w:val="0"/>
                      <w:sz w:val="21"/>
                      <w:szCs w:val="21"/>
                    </w:rPr>
                    <w:t>项目厂界与现状居民区距离均超过</w:t>
                  </w:r>
                  <w:r>
                    <w:rPr>
                      <w:rFonts w:hint="eastAsia"/>
                      <w:kern w:val="0"/>
                      <w:sz w:val="21"/>
                      <w:szCs w:val="21"/>
                    </w:rPr>
                    <w:t>2692m</w:t>
                  </w:r>
                  <w:r>
                    <w:rPr>
                      <w:kern w:val="0"/>
                      <w:sz w:val="21"/>
                      <w:szCs w:val="21"/>
                    </w:rPr>
                    <w:t>。项目周边为工业用地，园区设置500m环保隔离带，</w:t>
                  </w:r>
                  <w:r>
                    <w:rPr>
                      <w:rFonts w:hint="eastAsia"/>
                      <w:kern w:val="0"/>
                      <w:sz w:val="21"/>
                      <w:szCs w:val="21"/>
                    </w:rPr>
                    <w:t>扩建项目</w:t>
                  </w:r>
                  <w:r>
                    <w:rPr>
                      <w:kern w:val="0"/>
                      <w:sz w:val="21"/>
                      <w:szCs w:val="21"/>
                    </w:rPr>
                    <w:t>建成后，项目防护距离内无居民住宅、学校、医院等建筑，规划部门也不应再将其规划为居住、文教等用地。符合空间布局要求。</w:t>
                  </w:r>
                </w:p>
              </w:tc>
              <w:tc>
                <w:tcPr>
                  <w:tcW w:w="356" w:type="pct"/>
                  <w:vAlign w:val="center"/>
                </w:tcPr>
                <w:p w14:paraId="3497D47E">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0A616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continue"/>
                  <w:vAlign w:val="center"/>
                </w:tcPr>
                <w:p w14:paraId="5E8781DB">
                  <w:pPr>
                    <w:widowControl/>
                    <w:adjustRightInd w:val="0"/>
                    <w:snapToGrid w:val="0"/>
                    <w:spacing w:line="240" w:lineRule="auto"/>
                    <w:ind w:firstLine="0" w:firstLineChars="0"/>
                    <w:jc w:val="center"/>
                    <w:rPr>
                      <w:kern w:val="0"/>
                      <w:sz w:val="21"/>
                      <w:szCs w:val="21"/>
                    </w:rPr>
                  </w:pPr>
                </w:p>
              </w:tc>
              <w:tc>
                <w:tcPr>
                  <w:tcW w:w="221" w:type="pct"/>
                  <w:vMerge w:val="continue"/>
                  <w:vAlign w:val="center"/>
                </w:tcPr>
                <w:p w14:paraId="46EB7ED1">
                  <w:pPr>
                    <w:widowControl/>
                    <w:adjustRightInd w:val="0"/>
                    <w:snapToGrid w:val="0"/>
                    <w:spacing w:line="240" w:lineRule="auto"/>
                    <w:ind w:firstLine="0" w:firstLineChars="0"/>
                    <w:jc w:val="center"/>
                    <w:rPr>
                      <w:kern w:val="0"/>
                      <w:sz w:val="21"/>
                      <w:szCs w:val="21"/>
                    </w:rPr>
                  </w:pPr>
                </w:p>
              </w:tc>
              <w:tc>
                <w:tcPr>
                  <w:tcW w:w="327" w:type="pct"/>
                  <w:vAlign w:val="center"/>
                </w:tcPr>
                <w:p w14:paraId="69CD2F48">
                  <w:pPr>
                    <w:widowControl/>
                    <w:adjustRightInd w:val="0"/>
                    <w:snapToGrid w:val="0"/>
                    <w:spacing w:line="240" w:lineRule="auto"/>
                    <w:ind w:firstLine="0" w:firstLineChars="0"/>
                    <w:jc w:val="center"/>
                    <w:rPr>
                      <w:kern w:val="0"/>
                      <w:sz w:val="21"/>
                      <w:szCs w:val="21"/>
                    </w:rPr>
                  </w:pPr>
                  <w:r>
                    <w:rPr>
                      <w:kern w:val="0"/>
                      <w:sz w:val="21"/>
                      <w:szCs w:val="21"/>
                    </w:rPr>
                    <w:t>污染物排放管控</w:t>
                  </w:r>
                </w:p>
              </w:tc>
              <w:tc>
                <w:tcPr>
                  <w:tcW w:w="2270" w:type="pct"/>
                  <w:vAlign w:val="center"/>
                </w:tcPr>
                <w:p w14:paraId="2BD5889B">
                  <w:pPr>
                    <w:widowControl/>
                    <w:adjustRightInd w:val="0"/>
                    <w:snapToGrid w:val="0"/>
                    <w:spacing w:line="240" w:lineRule="auto"/>
                    <w:ind w:firstLine="0" w:firstLineChars="0"/>
                    <w:jc w:val="center"/>
                    <w:rPr>
                      <w:kern w:val="0"/>
                      <w:sz w:val="21"/>
                      <w:szCs w:val="21"/>
                    </w:rPr>
                  </w:pPr>
                  <w:r>
                    <w:rPr>
                      <w:rFonts w:hint="eastAsia"/>
                      <w:kern w:val="0"/>
                      <w:sz w:val="21"/>
                      <w:szCs w:val="21"/>
                    </w:rPr>
                    <w:t>1.加快推进江阴污水处理厂、配套污水收集管网和排海工程建设。</w:t>
                  </w:r>
                </w:p>
                <w:p w14:paraId="7BE667FC">
                  <w:pPr>
                    <w:widowControl/>
                    <w:adjustRightInd w:val="0"/>
                    <w:snapToGrid w:val="0"/>
                    <w:spacing w:line="240" w:lineRule="auto"/>
                    <w:ind w:firstLine="0" w:firstLineChars="0"/>
                    <w:jc w:val="center"/>
                    <w:rPr>
                      <w:kern w:val="0"/>
                      <w:sz w:val="21"/>
                      <w:szCs w:val="21"/>
                    </w:rPr>
                  </w:pPr>
                  <w:r>
                    <w:rPr>
                      <w:rFonts w:hint="eastAsia"/>
                      <w:kern w:val="0"/>
                      <w:sz w:val="21"/>
                      <w:szCs w:val="21"/>
                    </w:rPr>
                    <w:t>2.落实新增二氧化硫、氮氧化物和VOCs排放总量控制要求。</w:t>
                  </w:r>
                </w:p>
              </w:tc>
              <w:tc>
                <w:tcPr>
                  <w:tcW w:w="1527" w:type="pct"/>
                  <w:vAlign w:val="center"/>
                </w:tcPr>
                <w:p w14:paraId="39D5DFC2">
                  <w:pPr>
                    <w:widowControl/>
                    <w:adjustRightInd w:val="0"/>
                    <w:snapToGrid w:val="0"/>
                    <w:spacing w:line="240" w:lineRule="auto"/>
                    <w:ind w:firstLine="0" w:firstLineChars="0"/>
                    <w:jc w:val="center"/>
                    <w:rPr>
                      <w:kern w:val="0"/>
                      <w:sz w:val="21"/>
                      <w:szCs w:val="21"/>
                    </w:rPr>
                  </w:pPr>
                  <w:r>
                    <w:rPr>
                      <w:kern w:val="0"/>
                      <w:sz w:val="21"/>
                      <w:szCs w:val="21"/>
                    </w:rPr>
                    <w:t>1</w:t>
                  </w:r>
                  <w:r>
                    <w:rPr>
                      <w:rFonts w:hint="eastAsia"/>
                      <w:kern w:val="0"/>
                      <w:sz w:val="21"/>
                      <w:szCs w:val="21"/>
                    </w:rPr>
                    <w:t>）</w:t>
                  </w:r>
                  <w:r>
                    <w:rPr>
                      <w:kern w:val="0"/>
                      <w:sz w:val="21"/>
                      <w:szCs w:val="21"/>
                    </w:rPr>
                    <w:t>生活污水经预处理后</w:t>
                  </w:r>
                  <w:r>
                    <w:rPr>
                      <w:rFonts w:hint="eastAsia"/>
                      <w:kern w:val="0"/>
                      <w:sz w:val="21"/>
                      <w:szCs w:val="21"/>
                    </w:rPr>
                    <w:t>与</w:t>
                  </w:r>
                  <w:r>
                    <w:rPr>
                      <w:kern w:val="0"/>
                      <w:sz w:val="21"/>
                      <w:szCs w:val="21"/>
                    </w:rPr>
                    <w:t>BDO/MA储罐废气水洗/碱洗废水、初期雨水、地面冲洗废水送福州万景石化有限公司污水处理站</w:t>
                  </w:r>
                  <w:r>
                    <w:rPr>
                      <w:rFonts w:hint="eastAsia"/>
                      <w:kern w:val="0"/>
                      <w:sz w:val="21"/>
                      <w:szCs w:val="21"/>
                    </w:rPr>
                    <w:t>，</w:t>
                  </w:r>
                  <w:r>
                    <w:rPr>
                      <w:kern w:val="0"/>
                      <w:sz w:val="21"/>
                      <w:szCs w:val="21"/>
                    </w:rPr>
                    <w:t>处理达到江阴工业集中区污水处理厂纳管标准后，排入江阴工业集中区污水处理厂进一步处理。</w:t>
                  </w:r>
                </w:p>
                <w:p w14:paraId="1F2B44C8">
                  <w:pPr>
                    <w:widowControl/>
                    <w:adjustRightInd w:val="0"/>
                    <w:snapToGrid w:val="0"/>
                    <w:spacing w:line="240" w:lineRule="auto"/>
                    <w:ind w:firstLine="0" w:firstLineChars="0"/>
                    <w:jc w:val="center"/>
                    <w:rPr>
                      <w:kern w:val="0"/>
                      <w:sz w:val="21"/>
                      <w:szCs w:val="21"/>
                    </w:rPr>
                  </w:pPr>
                  <w:r>
                    <w:rPr>
                      <w:rFonts w:hint="eastAsia"/>
                      <w:kern w:val="0"/>
                      <w:sz w:val="21"/>
                      <w:szCs w:val="21"/>
                    </w:rPr>
                    <w:t>2）</w:t>
                  </w:r>
                  <w:r>
                    <w:rPr>
                      <w:kern w:val="0"/>
                      <w:sz w:val="21"/>
                      <w:szCs w:val="21"/>
                    </w:rPr>
                    <w:t>扩建项目VOCs实行区域内倍量削减替代</w:t>
                  </w:r>
                </w:p>
              </w:tc>
              <w:tc>
                <w:tcPr>
                  <w:tcW w:w="356" w:type="pct"/>
                  <w:vAlign w:val="center"/>
                </w:tcPr>
                <w:p w14:paraId="3B26C546">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7C929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99" w:type="pct"/>
                  <w:vMerge w:val="continue"/>
                  <w:vAlign w:val="center"/>
                </w:tcPr>
                <w:p w14:paraId="7C16D72F">
                  <w:pPr>
                    <w:widowControl/>
                    <w:adjustRightInd w:val="0"/>
                    <w:snapToGrid w:val="0"/>
                    <w:spacing w:line="240" w:lineRule="auto"/>
                    <w:ind w:firstLine="0" w:firstLineChars="0"/>
                    <w:jc w:val="center"/>
                    <w:rPr>
                      <w:kern w:val="0"/>
                      <w:sz w:val="21"/>
                      <w:szCs w:val="21"/>
                    </w:rPr>
                  </w:pPr>
                </w:p>
              </w:tc>
              <w:tc>
                <w:tcPr>
                  <w:tcW w:w="221" w:type="pct"/>
                  <w:vMerge w:val="continue"/>
                  <w:vAlign w:val="center"/>
                </w:tcPr>
                <w:p w14:paraId="50C8D21D">
                  <w:pPr>
                    <w:widowControl/>
                    <w:adjustRightInd w:val="0"/>
                    <w:snapToGrid w:val="0"/>
                    <w:spacing w:line="240" w:lineRule="auto"/>
                    <w:ind w:firstLine="0" w:firstLineChars="0"/>
                    <w:jc w:val="center"/>
                    <w:rPr>
                      <w:kern w:val="0"/>
                      <w:sz w:val="21"/>
                      <w:szCs w:val="21"/>
                    </w:rPr>
                  </w:pPr>
                </w:p>
              </w:tc>
              <w:tc>
                <w:tcPr>
                  <w:tcW w:w="327" w:type="pct"/>
                  <w:vAlign w:val="center"/>
                </w:tcPr>
                <w:p w14:paraId="1ACEE5F1">
                  <w:pPr>
                    <w:widowControl/>
                    <w:adjustRightInd w:val="0"/>
                    <w:snapToGrid w:val="0"/>
                    <w:spacing w:line="240" w:lineRule="auto"/>
                    <w:ind w:firstLine="0" w:firstLineChars="0"/>
                    <w:jc w:val="center"/>
                    <w:rPr>
                      <w:kern w:val="0"/>
                      <w:sz w:val="21"/>
                      <w:szCs w:val="21"/>
                    </w:rPr>
                  </w:pPr>
                  <w:r>
                    <w:rPr>
                      <w:kern w:val="0"/>
                      <w:sz w:val="21"/>
                      <w:szCs w:val="21"/>
                    </w:rPr>
                    <w:t>环境风险防控</w:t>
                  </w:r>
                </w:p>
              </w:tc>
              <w:tc>
                <w:tcPr>
                  <w:tcW w:w="2270" w:type="pct"/>
                  <w:vAlign w:val="center"/>
                </w:tcPr>
                <w:p w14:paraId="3BA01548">
                  <w:pPr>
                    <w:widowControl/>
                    <w:adjustRightInd w:val="0"/>
                    <w:snapToGrid w:val="0"/>
                    <w:spacing w:line="240" w:lineRule="auto"/>
                    <w:ind w:firstLine="0" w:firstLineChars="0"/>
                    <w:jc w:val="center"/>
                    <w:rPr>
                      <w:kern w:val="0"/>
                      <w:sz w:val="21"/>
                      <w:szCs w:val="21"/>
                    </w:rPr>
                  </w:pPr>
                  <w:r>
                    <w:rPr>
                      <w:rFonts w:hint="eastAsia"/>
                      <w:kern w:val="0"/>
                      <w:sz w:val="21"/>
                      <w:szCs w:val="21"/>
                    </w:rPr>
                    <w:t>1.切实加强化工等重污染行业、企业污染及应急防控，所有化工</w:t>
                  </w:r>
                  <w:r>
                    <w:rPr>
                      <w:rFonts w:hint="eastAsia"/>
                      <w:kern w:val="0"/>
                      <w:sz w:val="21"/>
                      <w:szCs w:val="21"/>
                      <w:lang w:eastAsia="zh-CN"/>
                    </w:rPr>
                    <w:t>企业</w:t>
                  </w:r>
                  <w:r>
                    <w:rPr>
                      <w:rFonts w:hint="eastAsia"/>
                      <w:kern w:val="0"/>
                      <w:sz w:val="21"/>
                      <w:szCs w:val="21"/>
                    </w:rPr>
                    <w:t>，要配套建设事故应急池和雨水总排口切换阀，配备应急救援物资，安装特征污染物在线监控设施。</w:t>
                  </w:r>
                </w:p>
                <w:p w14:paraId="158AC4A6">
                  <w:pPr>
                    <w:widowControl/>
                    <w:adjustRightInd w:val="0"/>
                    <w:snapToGrid w:val="0"/>
                    <w:spacing w:line="240" w:lineRule="auto"/>
                    <w:ind w:firstLine="0" w:firstLineChars="0"/>
                    <w:jc w:val="center"/>
                    <w:rPr>
                      <w:kern w:val="0"/>
                      <w:sz w:val="21"/>
                      <w:szCs w:val="21"/>
                    </w:rPr>
                  </w:pPr>
                  <w:r>
                    <w:rPr>
                      <w:rFonts w:hint="eastAsia"/>
                      <w:kern w:val="0"/>
                      <w:sz w:val="21"/>
                      <w:szCs w:val="21"/>
                    </w:rPr>
                    <w:t>2.建设企业、园区和周边水系三级环境风险防控工程，确保有效拦截、降污和导流；受园区排污影响的周边水系应建设应急闸门，防止泄漏物和消防水等排入外环境。</w:t>
                  </w:r>
                </w:p>
                <w:p w14:paraId="2A72EA40">
                  <w:pPr>
                    <w:widowControl/>
                    <w:adjustRightInd w:val="0"/>
                    <w:snapToGrid w:val="0"/>
                    <w:spacing w:line="240" w:lineRule="auto"/>
                    <w:ind w:firstLine="0" w:firstLineChars="0"/>
                    <w:jc w:val="center"/>
                    <w:rPr>
                      <w:kern w:val="0"/>
                      <w:sz w:val="21"/>
                      <w:szCs w:val="21"/>
                    </w:rPr>
                  </w:pPr>
                  <w:r>
                    <w:rPr>
                      <w:rFonts w:hint="eastAsia"/>
                      <w:kern w:val="0"/>
                      <w:sz w:val="21"/>
                      <w:szCs w:val="21"/>
                    </w:rPr>
                    <w:t>3.应采取有效措施防止园区建设对区域地下水、土壤造成污染。</w:t>
                  </w:r>
                </w:p>
              </w:tc>
              <w:tc>
                <w:tcPr>
                  <w:tcW w:w="1527" w:type="pct"/>
                  <w:vAlign w:val="center"/>
                </w:tcPr>
                <w:p w14:paraId="14B48FD4">
                  <w:pPr>
                    <w:widowControl/>
                    <w:adjustRightInd w:val="0"/>
                    <w:snapToGrid w:val="0"/>
                    <w:spacing w:line="240" w:lineRule="auto"/>
                    <w:ind w:firstLine="0" w:firstLineChars="0"/>
                    <w:jc w:val="center"/>
                    <w:rPr>
                      <w:kern w:val="0"/>
                      <w:sz w:val="21"/>
                      <w:szCs w:val="21"/>
                    </w:rPr>
                  </w:pPr>
                  <w:r>
                    <w:rPr>
                      <w:kern w:val="0"/>
                      <w:sz w:val="21"/>
                      <w:szCs w:val="21"/>
                    </w:rPr>
                    <w:t>1</w:t>
                  </w:r>
                  <w:r>
                    <w:rPr>
                      <w:rFonts w:hint="eastAsia"/>
                      <w:kern w:val="0"/>
                      <w:sz w:val="21"/>
                      <w:szCs w:val="21"/>
                    </w:rPr>
                    <w:t>）码头罐区</w:t>
                  </w:r>
                  <w:r>
                    <w:rPr>
                      <w:kern w:val="0"/>
                      <w:sz w:val="21"/>
                      <w:szCs w:val="21"/>
                    </w:rPr>
                    <w:t>建</w:t>
                  </w:r>
                  <w:r>
                    <w:rPr>
                      <w:rFonts w:hint="eastAsia"/>
                      <w:kern w:val="0"/>
                      <w:sz w:val="21"/>
                      <w:szCs w:val="21"/>
                    </w:rPr>
                    <w:t>事故应急池</w:t>
                  </w:r>
                  <w:r>
                    <w:rPr>
                      <w:kern w:val="0"/>
                      <w:sz w:val="21"/>
                      <w:szCs w:val="21"/>
                    </w:rPr>
                    <w:t>和雨水总排口切换阀，配备应急救援物资。</w:t>
                  </w:r>
                </w:p>
                <w:p w14:paraId="64903336">
                  <w:pPr>
                    <w:widowControl/>
                    <w:adjustRightInd w:val="0"/>
                    <w:snapToGrid w:val="0"/>
                    <w:spacing w:line="240" w:lineRule="auto"/>
                    <w:ind w:firstLine="0" w:firstLineChars="0"/>
                    <w:jc w:val="center"/>
                    <w:rPr>
                      <w:kern w:val="0"/>
                      <w:sz w:val="21"/>
                      <w:szCs w:val="21"/>
                    </w:rPr>
                  </w:pPr>
                  <w:r>
                    <w:rPr>
                      <w:kern w:val="0"/>
                      <w:sz w:val="21"/>
                      <w:szCs w:val="21"/>
                    </w:rPr>
                    <w:t>2</w:t>
                  </w:r>
                  <w:r>
                    <w:rPr>
                      <w:rFonts w:hint="eastAsia"/>
                      <w:kern w:val="0"/>
                      <w:sz w:val="21"/>
                      <w:szCs w:val="21"/>
                    </w:rPr>
                    <w:t>）</w:t>
                  </w:r>
                  <w:r>
                    <w:rPr>
                      <w:kern w:val="0"/>
                      <w:sz w:val="21"/>
                      <w:szCs w:val="21"/>
                    </w:rPr>
                    <w:t>项目建设事故废水</w:t>
                  </w:r>
                  <w:r>
                    <w:rPr>
                      <w:rFonts w:hint="eastAsia"/>
                      <w:kern w:val="0"/>
                      <w:sz w:val="21"/>
                      <w:szCs w:val="21"/>
                    </w:rPr>
                    <w:t>“单元-厂区-园区/区域”的环境风险防控体系</w:t>
                  </w:r>
                  <w:r>
                    <w:rPr>
                      <w:kern w:val="0"/>
                      <w:sz w:val="21"/>
                      <w:szCs w:val="21"/>
                    </w:rPr>
                    <w:t>，确保有效拦截、降污和导流。</w:t>
                  </w:r>
                </w:p>
                <w:p w14:paraId="413C3F25">
                  <w:pPr>
                    <w:widowControl/>
                    <w:adjustRightInd w:val="0"/>
                    <w:snapToGrid w:val="0"/>
                    <w:spacing w:line="240" w:lineRule="auto"/>
                    <w:ind w:firstLine="0" w:firstLineChars="0"/>
                    <w:jc w:val="center"/>
                    <w:rPr>
                      <w:kern w:val="0"/>
                      <w:sz w:val="21"/>
                      <w:szCs w:val="21"/>
                    </w:rPr>
                  </w:pPr>
                  <w:r>
                    <w:rPr>
                      <w:kern w:val="0"/>
                      <w:sz w:val="21"/>
                      <w:szCs w:val="21"/>
                    </w:rPr>
                    <w:t>3</w:t>
                  </w:r>
                  <w:r>
                    <w:rPr>
                      <w:rFonts w:hint="eastAsia"/>
                      <w:kern w:val="0"/>
                      <w:sz w:val="21"/>
                      <w:szCs w:val="21"/>
                    </w:rPr>
                    <w:t>）</w:t>
                  </w:r>
                  <w:r>
                    <w:rPr>
                      <w:kern w:val="0"/>
                      <w:sz w:val="21"/>
                      <w:szCs w:val="21"/>
                    </w:rPr>
                    <w:t>建设单位采取防渗措施、制定了土壤自行测方案，防止项目对地下水、土壤污染。</w:t>
                  </w:r>
                </w:p>
              </w:tc>
              <w:tc>
                <w:tcPr>
                  <w:tcW w:w="356" w:type="pct"/>
                  <w:vAlign w:val="center"/>
                </w:tcPr>
                <w:p w14:paraId="057AFE64">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098F7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99" w:type="pct"/>
                  <w:vMerge w:val="continue"/>
                  <w:vAlign w:val="center"/>
                </w:tcPr>
                <w:p w14:paraId="40203936">
                  <w:pPr>
                    <w:widowControl/>
                    <w:adjustRightInd w:val="0"/>
                    <w:snapToGrid w:val="0"/>
                    <w:spacing w:line="240" w:lineRule="auto"/>
                    <w:ind w:firstLine="0" w:firstLineChars="0"/>
                    <w:jc w:val="center"/>
                    <w:rPr>
                      <w:kern w:val="0"/>
                      <w:sz w:val="21"/>
                      <w:szCs w:val="21"/>
                    </w:rPr>
                  </w:pPr>
                </w:p>
              </w:tc>
              <w:tc>
                <w:tcPr>
                  <w:tcW w:w="221" w:type="pct"/>
                  <w:vMerge w:val="continue"/>
                  <w:vAlign w:val="center"/>
                </w:tcPr>
                <w:p w14:paraId="3D89A52D">
                  <w:pPr>
                    <w:widowControl/>
                    <w:adjustRightInd w:val="0"/>
                    <w:snapToGrid w:val="0"/>
                    <w:spacing w:line="240" w:lineRule="auto"/>
                    <w:ind w:firstLine="0" w:firstLineChars="0"/>
                    <w:jc w:val="center"/>
                    <w:rPr>
                      <w:kern w:val="0"/>
                      <w:sz w:val="21"/>
                      <w:szCs w:val="21"/>
                    </w:rPr>
                  </w:pPr>
                </w:p>
              </w:tc>
              <w:tc>
                <w:tcPr>
                  <w:tcW w:w="327" w:type="pct"/>
                  <w:vAlign w:val="center"/>
                </w:tcPr>
                <w:p w14:paraId="5E9DC188">
                  <w:pPr>
                    <w:widowControl/>
                    <w:adjustRightInd w:val="0"/>
                    <w:snapToGrid w:val="0"/>
                    <w:spacing w:line="240" w:lineRule="auto"/>
                    <w:ind w:firstLine="0" w:firstLineChars="0"/>
                    <w:jc w:val="center"/>
                    <w:rPr>
                      <w:kern w:val="0"/>
                      <w:sz w:val="21"/>
                      <w:szCs w:val="21"/>
                    </w:rPr>
                  </w:pPr>
                  <w:r>
                    <w:rPr>
                      <w:rFonts w:hint="eastAsia"/>
                      <w:kern w:val="0"/>
                      <w:sz w:val="21"/>
                      <w:szCs w:val="21"/>
                    </w:rPr>
                    <w:t>资源开发效率要求</w:t>
                  </w:r>
                </w:p>
              </w:tc>
              <w:tc>
                <w:tcPr>
                  <w:tcW w:w="2270" w:type="pct"/>
                  <w:vAlign w:val="center"/>
                </w:tcPr>
                <w:p w14:paraId="362359FE">
                  <w:pPr>
                    <w:widowControl/>
                    <w:adjustRightInd w:val="0"/>
                    <w:snapToGrid w:val="0"/>
                    <w:spacing w:line="240" w:lineRule="auto"/>
                    <w:ind w:firstLine="0" w:firstLineChars="0"/>
                    <w:jc w:val="center"/>
                    <w:rPr>
                      <w:kern w:val="0"/>
                      <w:sz w:val="21"/>
                      <w:szCs w:val="21"/>
                    </w:rPr>
                  </w:pPr>
                  <w:r>
                    <w:rPr>
                      <w:rFonts w:hint="eastAsia"/>
                      <w:kern w:val="0"/>
                      <w:sz w:val="21"/>
                      <w:szCs w:val="21"/>
                    </w:rPr>
                    <w:t>推进园区集中供热，扩大产业区集中供热覆盖范围。</w:t>
                  </w:r>
                </w:p>
              </w:tc>
              <w:tc>
                <w:tcPr>
                  <w:tcW w:w="1527" w:type="pct"/>
                  <w:vAlign w:val="center"/>
                </w:tcPr>
                <w:p w14:paraId="6D609C54">
                  <w:pPr>
                    <w:widowControl/>
                    <w:adjustRightInd w:val="0"/>
                    <w:snapToGrid w:val="0"/>
                    <w:spacing w:line="240" w:lineRule="auto"/>
                    <w:ind w:firstLine="0" w:firstLineChars="0"/>
                    <w:jc w:val="center"/>
                    <w:rPr>
                      <w:kern w:val="0"/>
                      <w:sz w:val="21"/>
                      <w:szCs w:val="21"/>
                    </w:rPr>
                  </w:pPr>
                  <w:r>
                    <w:rPr>
                      <w:rFonts w:hint="eastAsia" w:cs="宋体"/>
                      <w:sz w:val="21"/>
                      <w:szCs w:val="21"/>
                    </w:rPr>
                    <w:t>国电发电有限公司提供的蒸汽</w:t>
                  </w:r>
                </w:p>
              </w:tc>
              <w:tc>
                <w:tcPr>
                  <w:tcW w:w="356" w:type="pct"/>
                  <w:vAlign w:val="center"/>
                </w:tcPr>
                <w:p w14:paraId="1B620A51">
                  <w:pPr>
                    <w:widowControl/>
                    <w:adjustRightInd w:val="0"/>
                    <w:snapToGrid w:val="0"/>
                    <w:spacing w:line="240" w:lineRule="auto"/>
                    <w:ind w:firstLine="0" w:firstLineChars="0"/>
                    <w:jc w:val="center"/>
                    <w:rPr>
                      <w:sz w:val="21"/>
                      <w:szCs w:val="21"/>
                    </w:rPr>
                  </w:pPr>
                  <w:r>
                    <w:rPr>
                      <w:rFonts w:hint="eastAsia"/>
                      <w:kern w:val="0"/>
                      <w:sz w:val="21"/>
                      <w:szCs w:val="21"/>
                    </w:rPr>
                    <w:t>符合</w:t>
                  </w:r>
                </w:p>
              </w:tc>
            </w:tr>
          </w:tbl>
          <w:p w14:paraId="15688259">
            <w:pPr>
              <w:ind w:firstLine="480"/>
              <w:rPr>
                <w:szCs w:val="21"/>
              </w:rPr>
            </w:pPr>
            <w:r>
              <w:rPr>
                <w:rFonts w:hint="eastAsia"/>
                <w:szCs w:val="21"/>
              </w:rPr>
              <w:t>根据上述分析，扩建项目与</w:t>
            </w:r>
            <w:r>
              <w:rPr>
                <w:rFonts w:hint="eastAsia"/>
              </w:rPr>
              <w:t>&lt;福州市人民政府办公厅关于印发《福州市生态环境分区管控方案（2023年更新）》的通知&gt;（榕政办规[2024]20号）</w:t>
            </w:r>
            <w:r>
              <w:rPr>
                <w:rFonts w:hint="eastAsia"/>
                <w:szCs w:val="21"/>
              </w:rPr>
              <w:t>中的相关规定是符合的。</w:t>
            </w:r>
          </w:p>
          <w:p w14:paraId="7C3B8240">
            <w:pPr>
              <w:pStyle w:val="2"/>
              <w:ind w:firstLine="480"/>
              <w:rPr>
                <w:lang w:val="en-US" w:eastAsia="zh-CN"/>
              </w:rPr>
            </w:pPr>
          </w:p>
          <w:p w14:paraId="14B4190A">
            <w:pPr>
              <w:pStyle w:val="3"/>
              <w:ind w:firstLine="480"/>
            </w:pPr>
          </w:p>
          <w:p w14:paraId="5CD7AF2B">
            <w:pPr>
              <w:pStyle w:val="68"/>
              <w:ind w:firstLine="480"/>
              <w:rPr>
                <w:kern w:val="2"/>
                <w:sz w:val="24"/>
                <w:szCs w:val="24"/>
                <w:lang w:val="en-US" w:eastAsia="zh-CN"/>
              </w:rPr>
            </w:pPr>
          </w:p>
          <w:p w14:paraId="4F1FA3C6">
            <w:pPr>
              <w:pStyle w:val="68"/>
              <w:ind w:firstLine="480"/>
              <w:rPr>
                <w:kern w:val="2"/>
                <w:sz w:val="24"/>
                <w:szCs w:val="24"/>
                <w:lang w:val="en-US" w:eastAsia="zh-CN"/>
              </w:rPr>
            </w:pPr>
            <w:r>
              <w:rPr>
                <w:kern w:val="2"/>
                <w:sz w:val="24"/>
                <w:szCs w:val="24"/>
                <w:lang w:val="en-US" w:eastAsia="zh-CN"/>
              </w:rPr>
              <w:t>表</w:t>
            </w:r>
            <w:r>
              <w:rPr>
                <w:rFonts w:hint="eastAsia"/>
                <w:kern w:val="2"/>
                <w:sz w:val="24"/>
                <w:szCs w:val="24"/>
                <w:lang w:val="en-US" w:eastAsia="zh-CN"/>
              </w:rPr>
              <w:t>1.5-2</w:t>
            </w:r>
            <w:r>
              <w:rPr>
                <w:kern w:val="2"/>
                <w:sz w:val="24"/>
                <w:szCs w:val="24"/>
                <w:lang w:val="en-US" w:eastAsia="zh-CN"/>
              </w:rPr>
              <w:t>与</w:t>
            </w:r>
            <w:r>
              <w:rPr>
                <w:rFonts w:hint="eastAsia"/>
                <w:kern w:val="2"/>
                <w:sz w:val="24"/>
                <w:szCs w:val="24"/>
                <w:lang w:val="en-US" w:eastAsia="zh-CN"/>
              </w:rPr>
              <w:t>福清市重点管控单元符合性分析一览表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34"/>
              <w:gridCol w:w="992"/>
              <w:gridCol w:w="1134"/>
              <w:gridCol w:w="5812"/>
              <w:gridCol w:w="2693"/>
              <w:gridCol w:w="816"/>
            </w:tblGrid>
            <w:tr w14:paraId="06469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14:paraId="543290CC">
                  <w:pPr>
                    <w:widowControl/>
                    <w:adjustRightInd w:val="0"/>
                    <w:snapToGrid w:val="0"/>
                    <w:spacing w:line="240" w:lineRule="auto"/>
                    <w:ind w:firstLine="0" w:firstLineChars="0"/>
                    <w:jc w:val="center"/>
                    <w:rPr>
                      <w:kern w:val="0"/>
                      <w:sz w:val="21"/>
                      <w:szCs w:val="21"/>
                    </w:rPr>
                  </w:pPr>
                  <w:r>
                    <w:rPr>
                      <w:rFonts w:hint="eastAsia"/>
                      <w:kern w:val="0"/>
                      <w:sz w:val="21"/>
                      <w:szCs w:val="21"/>
                    </w:rPr>
                    <w:t>环境管控单元编码</w:t>
                  </w:r>
                </w:p>
              </w:tc>
              <w:tc>
                <w:tcPr>
                  <w:tcW w:w="1134" w:type="dxa"/>
                  <w:vAlign w:val="center"/>
                </w:tcPr>
                <w:p w14:paraId="2B2743F6">
                  <w:pPr>
                    <w:widowControl/>
                    <w:adjustRightInd w:val="0"/>
                    <w:snapToGrid w:val="0"/>
                    <w:spacing w:line="240" w:lineRule="auto"/>
                    <w:ind w:firstLine="0" w:firstLineChars="0"/>
                    <w:jc w:val="center"/>
                    <w:rPr>
                      <w:kern w:val="0"/>
                      <w:sz w:val="21"/>
                      <w:szCs w:val="21"/>
                    </w:rPr>
                  </w:pPr>
                  <w:r>
                    <w:rPr>
                      <w:rFonts w:hint="eastAsia"/>
                      <w:kern w:val="0"/>
                      <w:sz w:val="21"/>
                      <w:szCs w:val="21"/>
                    </w:rPr>
                    <w:t>环境管控单元名称</w:t>
                  </w:r>
                </w:p>
              </w:tc>
              <w:tc>
                <w:tcPr>
                  <w:tcW w:w="992" w:type="dxa"/>
                  <w:vAlign w:val="center"/>
                </w:tcPr>
                <w:p w14:paraId="0014B066">
                  <w:pPr>
                    <w:widowControl/>
                    <w:adjustRightInd w:val="0"/>
                    <w:snapToGrid w:val="0"/>
                    <w:spacing w:line="240" w:lineRule="auto"/>
                    <w:ind w:firstLine="0" w:firstLineChars="0"/>
                    <w:jc w:val="center"/>
                    <w:rPr>
                      <w:kern w:val="0"/>
                      <w:sz w:val="21"/>
                      <w:szCs w:val="21"/>
                    </w:rPr>
                  </w:pPr>
                  <w:r>
                    <w:rPr>
                      <w:rFonts w:hint="eastAsia"/>
                      <w:kern w:val="0"/>
                      <w:sz w:val="21"/>
                      <w:szCs w:val="21"/>
                    </w:rPr>
                    <w:t>管控类别</w:t>
                  </w:r>
                </w:p>
              </w:tc>
              <w:tc>
                <w:tcPr>
                  <w:tcW w:w="6946" w:type="dxa"/>
                  <w:gridSpan w:val="2"/>
                  <w:vAlign w:val="center"/>
                </w:tcPr>
                <w:p w14:paraId="71FC93CA">
                  <w:pPr>
                    <w:widowControl/>
                    <w:adjustRightInd w:val="0"/>
                    <w:snapToGrid w:val="0"/>
                    <w:spacing w:line="240" w:lineRule="auto"/>
                    <w:ind w:firstLine="0" w:firstLineChars="0"/>
                    <w:jc w:val="center"/>
                    <w:rPr>
                      <w:kern w:val="0"/>
                      <w:sz w:val="21"/>
                      <w:szCs w:val="21"/>
                    </w:rPr>
                  </w:pPr>
                  <w:r>
                    <w:rPr>
                      <w:rFonts w:hint="eastAsia"/>
                      <w:kern w:val="0"/>
                      <w:sz w:val="21"/>
                      <w:szCs w:val="21"/>
                    </w:rPr>
                    <w:t>管控要求</w:t>
                  </w:r>
                </w:p>
              </w:tc>
              <w:tc>
                <w:tcPr>
                  <w:tcW w:w="2693" w:type="dxa"/>
                  <w:vAlign w:val="center"/>
                </w:tcPr>
                <w:p w14:paraId="5F91DE49">
                  <w:pPr>
                    <w:widowControl/>
                    <w:adjustRightInd w:val="0"/>
                    <w:snapToGrid w:val="0"/>
                    <w:spacing w:line="240" w:lineRule="auto"/>
                    <w:ind w:firstLine="0" w:firstLineChars="0"/>
                    <w:jc w:val="center"/>
                    <w:rPr>
                      <w:kern w:val="0"/>
                      <w:sz w:val="21"/>
                      <w:szCs w:val="21"/>
                    </w:rPr>
                  </w:pPr>
                  <w:r>
                    <w:rPr>
                      <w:rFonts w:hint="eastAsia"/>
                      <w:kern w:val="0"/>
                      <w:sz w:val="21"/>
                      <w:szCs w:val="21"/>
                    </w:rPr>
                    <w:t>本项目情况</w:t>
                  </w:r>
                </w:p>
              </w:tc>
              <w:tc>
                <w:tcPr>
                  <w:tcW w:w="816" w:type="dxa"/>
                  <w:vAlign w:val="center"/>
                </w:tcPr>
                <w:p w14:paraId="14237876">
                  <w:pPr>
                    <w:widowControl/>
                    <w:adjustRightInd w:val="0"/>
                    <w:snapToGrid w:val="0"/>
                    <w:spacing w:line="240" w:lineRule="auto"/>
                    <w:ind w:firstLine="0" w:firstLineChars="0"/>
                    <w:jc w:val="center"/>
                    <w:rPr>
                      <w:kern w:val="0"/>
                      <w:sz w:val="21"/>
                      <w:szCs w:val="21"/>
                    </w:rPr>
                  </w:pPr>
                  <w:r>
                    <w:rPr>
                      <w:rFonts w:hint="eastAsia"/>
                      <w:kern w:val="0"/>
                      <w:sz w:val="21"/>
                      <w:szCs w:val="21"/>
                    </w:rPr>
                    <w:t>符合性</w:t>
                  </w:r>
                </w:p>
              </w:tc>
            </w:tr>
            <w:tr w14:paraId="3B33B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restart"/>
                  <w:vAlign w:val="center"/>
                </w:tcPr>
                <w:p w14:paraId="0FEF50CB">
                  <w:pPr>
                    <w:widowControl/>
                    <w:adjustRightInd w:val="0"/>
                    <w:snapToGrid w:val="0"/>
                    <w:spacing w:line="240" w:lineRule="auto"/>
                    <w:ind w:firstLine="0" w:firstLineChars="0"/>
                    <w:jc w:val="center"/>
                    <w:rPr>
                      <w:kern w:val="0"/>
                      <w:sz w:val="21"/>
                      <w:szCs w:val="21"/>
                    </w:rPr>
                  </w:pPr>
                  <w:r>
                    <w:rPr>
                      <w:rFonts w:hint="eastAsia"/>
                      <w:kern w:val="0"/>
                      <w:sz w:val="21"/>
                      <w:szCs w:val="21"/>
                    </w:rPr>
                    <w:t>ZH35018120009</w:t>
                  </w:r>
                </w:p>
              </w:tc>
              <w:tc>
                <w:tcPr>
                  <w:tcW w:w="1134" w:type="dxa"/>
                  <w:vMerge w:val="restart"/>
                  <w:vAlign w:val="center"/>
                </w:tcPr>
                <w:p w14:paraId="38AD56F1">
                  <w:pPr>
                    <w:widowControl/>
                    <w:adjustRightInd w:val="0"/>
                    <w:snapToGrid w:val="0"/>
                    <w:spacing w:line="240" w:lineRule="auto"/>
                    <w:ind w:firstLine="0" w:firstLineChars="0"/>
                    <w:jc w:val="center"/>
                    <w:rPr>
                      <w:kern w:val="0"/>
                      <w:sz w:val="21"/>
                      <w:szCs w:val="21"/>
                    </w:rPr>
                  </w:pPr>
                  <w:r>
                    <w:rPr>
                      <w:rFonts w:hint="eastAsia"/>
                      <w:kern w:val="0"/>
                      <w:sz w:val="21"/>
                      <w:szCs w:val="21"/>
                    </w:rPr>
                    <w:t>福清市重点管控单元2</w:t>
                  </w:r>
                </w:p>
              </w:tc>
              <w:tc>
                <w:tcPr>
                  <w:tcW w:w="992" w:type="dxa"/>
                  <w:vMerge w:val="restart"/>
                  <w:vAlign w:val="center"/>
                </w:tcPr>
                <w:p w14:paraId="44431031">
                  <w:pPr>
                    <w:widowControl/>
                    <w:adjustRightInd w:val="0"/>
                    <w:snapToGrid w:val="0"/>
                    <w:spacing w:line="240" w:lineRule="auto"/>
                    <w:ind w:firstLine="0" w:firstLineChars="0"/>
                    <w:jc w:val="center"/>
                    <w:rPr>
                      <w:kern w:val="0"/>
                      <w:sz w:val="21"/>
                      <w:szCs w:val="21"/>
                    </w:rPr>
                  </w:pPr>
                  <w:r>
                    <w:rPr>
                      <w:rFonts w:hint="eastAsia"/>
                      <w:kern w:val="0"/>
                      <w:sz w:val="21"/>
                      <w:szCs w:val="21"/>
                    </w:rPr>
                    <w:t>重点管控单元</w:t>
                  </w:r>
                </w:p>
              </w:tc>
              <w:tc>
                <w:tcPr>
                  <w:tcW w:w="1134" w:type="dxa"/>
                  <w:vAlign w:val="center"/>
                </w:tcPr>
                <w:p w14:paraId="09E0D703">
                  <w:pPr>
                    <w:widowControl/>
                    <w:adjustRightInd w:val="0"/>
                    <w:snapToGrid w:val="0"/>
                    <w:spacing w:line="240" w:lineRule="auto"/>
                    <w:ind w:firstLine="0" w:firstLineChars="0"/>
                    <w:jc w:val="center"/>
                    <w:rPr>
                      <w:kern w:val="0"/>
                      <w:sz w:val="21"/>
                      <w:szCs w:val="21"/>
                    </w:rPr>
                  </w:pPr>
                  <w:r>
                    <w:rPr>
                      <w:rFonts w:hint="eastAsia"/>
                      <w:kern w:val="0"/>
                      <w:sz w:val="21"/>
                      <w:szCs w:val="21"/>
                    </w:rPr>
                    <w:t>空间布局约束</w:t>
                  </w:r>
                </w:p>
              </w:tc>
              <w:tc>
                <w:tcPr>
                  <w:tcW w:w="5812" w:type="dxa"/>
                  <w:vAlign w:val="center"/>
                </w:tcPr>
                <w:p w14:paraId="3C7F0FE9">
                  <w:pPr>
                    <w:widowControl/>
                    <w:adjustRightInd w:val="0"/>
                    <w:snapToGrid w:val="0"/>
                    <w:spacing w:line="240" w:lineRule="auto"/>
                    <w:ind w:firstLine="0" w:firstLineChars="0"/>
                    <w:jc w:val="center"/>
                    <w:rPr>
                      <w:kern w:val="0"/>
                      <w:sz w:val="21"/>
                      <w:szCs w:val="21"/>
                    </w:rPr>
                  </w:pPr>
                  <w:r>
                    <w:rPr>
                      <w:rFonts w:hint="eastAsia"/>
                      <w:kern w:val="0"/>
                      <w:sz w:val="21"/>
                      <w:szCs w:val="21"/>
                    </w:rPr>
                    <w:t>1.严禁在城镇人口密集区新建危险化学品生产企业；现有不符合安全和卫生防护距离要求的危险化学品生产企业2025年底前完成就地改造达标、搬迁进入规范化工园区或关闭退出。城市建成区内现</w:t>
                  </w:r>
                  <w:r>
                    <w:rPr>
                      <w:rFonts w:hint="eastAsia"/>
                      <w:kern w:val="0"/>
                      <w:sz w:val="21"/>
                      <w:szCs w:val="21"/>
                      <w:lang w:eastAsia="zh-CN"/>
                    </w:rPr>
                    <w:t>有</w:t>
                  </w:r>
                  <w:r>
                    <w:rPr>
                      <w:rFonts w:hint="eastAsia"/>
                      <w:kern w:val="0"/>
                      <w:sz w:val="21"/>
                      <w:szCs w:val="21"/>
                    </w:rPr>
                    <w:t>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2693" w:type="dxa"/>
                  <w:vAlign w:val="center"/>
                </w:tcPr>
                <w:p w14:paraId="7B83F30D">
                  <w:pPr>
                    <w:widowControl/>
                    <w:adjustRightInd w:val="0"/>
                    <w:snapToGrid w:val="0"/>
                    <w:spacing w:line="240" w:lineRule="auto"/>
                    <w:ind w:firstLine="0" w:firstLineChars="0"/>
                    <w:jc w:val="center"/>
                    <w:rPr>
                      <w:kern w:val="0"/>
                      <w:sz w:val="21"/>
                      <w:szCs w:val="21"/>
                    </w:rPr>
                  </w:pPr>
                  <w:r>
                    <w:rPr>
                      <w:rFonts w:hint="eastAsia"/>
                      <w:kern w:val="0"/>
                      <w:sz w:val="21"/>
                      <w:szCs w:val="21"/>
                    </w:rPr>
                    <w:t>扩建项目属于危险化学品仓储项目，位于江阴港城经济区的西部临港产业区</w:t>
                  </w:r>
                </w:p>
              </w:tc>
              <w:tc>
                <w:tcPr>
                  <w:tcW w:w="816" w:type="dxa"/>
                  <w:vAlign w:val="center"/>
                </w:tcPr>
                <w:p w14:paraId="46F4C413">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45C88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vAlign w:val="center"/>
                </w:tcPr>
                <w:p w14:paraId="15F35D7E">
                  <w:pPr>
                    <w:widowControl/>
                    <w:adjustRightInd w:val="0"/>
                    <w:snapToGrid w:val="0"/>
                    <w:spacing w:line="240" w:lineRule="auto"/>
                    <w:ind w:firstLine="0" w:firstLineChars="0"/>
                    <w:jc w:val="center"/>
                    <w:rPr>
                      <w:kern w:val="0"/>
                      <w:sz w:val="21"/>
                      <w:szCs w:val="21"/>
                    </w:rPr>
                  </w:pPr>
                </w:p>
              </w:tc>
              <w:tc>
                <w:tcPr>
                  <w:tcW w:w="1134" w:type="dxa"/>
                  <w:vMerge w:val="continue"/>
                  <w:vAlign w:val="center"/>
                </w:tcPr>
                <w:p w14:paraId="3BDDB5DF">
                  <w:pPr>
                    <w:widowControl/>
                    <w:adjustRightInd w:val="0"/>
                    <w:snapToGrid w:val="0"/>
                    <w:spacing w:line="240" w:lineRule="auto"/>
                    <w:ind w:firstLine="0" w:firstLineChars="0"/>
                    <w:jc w:val="center"/>
                    <w:rPr>
                      <w:kern w:val="0"/>
                      <w:sz w:val="21"/>
                      <w:szCs w:val="21"/>
                    </w:rPr>
                  </w:pPr>
                </w:p>
              </w:tc>
              <w:tc>
                <w:tcPr>
                  <w:tcW w:w="992" w:type="dxa"/>
                  <w:vMerge w:val="continue"/>
                  <w:vAlign w:val="center"/>
                </w:tcPr>
                <w:p w14:paraId="21595CC4">
                  <w:pPr>
                    <w:widowControl/>
                    <w:adjustRightInd w:val="0"/>
                    <w:snapToGrid w:val="0"/>
                    <w:spacing w:line="240" w:lineRule="auto"/>
                    <w:ind w:firstLine="0" w:firstLineChars="0"/>
                    <w:jc w:val="center"/>
                    <w:rPr>
                      <w:kern w:val="0"/>
                      <w:sz w:val="21"/>
                      <w:szCs w:val="21"/>
                    </w:rPr>
                  </w:pPr>
                </w:p>
              </w:tc>
              <w:tc>
                <w:tcPr>
                  <w:tcW w:w="1134" w:type="dxa"/>
                  <w:vAlign w:val="center"/>
                </w:tcPr>
                <w:p w14:paraId="564A655B">
                  <w:pPr>
                    <w:widowControl/>
                    <w:adjustRightInd w:val="0"/>
                    <w:snapToGrid w:val="0"/>
                    <w:spacing w:line="240" w:lineRule="auto"/>
                    <w:ind w:firstLine="0" w:firstLineChars="0"/>
                    <w:jc w:val="center"/>
                    <w:rPr>
                      <w:kern w:val="0"/>
                      <w:sz w:val="21"/>
                      <w:szCs w:val="21"/>
                    </w:rPr>
                  </w:pPr>
                  <w:r>
                    <w:rPr>
                      <w:rFonts w:hint="eastAsia"/>
                      <w:kern w:val="0"/>
                      <w:sz w:val="21"/>
                      <w:szCs w:val="21"/>
                    </w:rPr>
                    <w:t>污染物排放管控</w:t>
                  </w:r>
                </w:p>
              </w:tc>
              <w:tc>
                <w:tcPr>
                  <w:tcW w:w="5812" w:type="dxa"/>
                  <w:vAlign w:val="center"/>
                </w:tcPr>
                <w:p w14:paraId="72C52735">
                  <w:pPr>
                    <w:widowControl/>
                    <w:adjustRightInd w:val="0"/>
                    <w:snapToGrid w:val="0"/>
                    <w:spacing w:line="240" w:lineRule="auto"/>
                    <w:ind w:firstLine="0" w:firstLineChars="0"/>
                    <w:jc w:val="center"/>
                    <w:rPr>
                      <w:kern w:val="0"/>
                      <w:sz w:val="21"/>
                      <w:szCs w:val="21"/>
                    </w:rPr>
                  </w:pPr>
                  <w:r>
                    <w:rPr>
                      <w:rFonts w:hint="eastAsia"/>
                      <w:kern w:val="0"/>
                      <w:sz w:val="21"/>
                      <w:szCs w:val="21"/>
                    </w:rPr>
                    <w:t>落实新增二氧化硫、氮氧化物和VOCs排放总量控制要求。</w:t>
                  </w:r>
                </w:p>
              </w:tc>
              <w:tc>
                <w:tcPr>
                  <w:tcW w:w="2693" w:type="dxa"/>
                  <w:vAlign w:val="center"/>
                </w:tcPr>
                <w:p w14:paraId="0422EC09">
                  <w:pPr>
                    <w:widowControl/>
                    <w:adjustRightInd w:val="0"/>
                    <w:snapToGrid w:val="0"/>
                    <w:spacing w:line="240" w:lineRule="auto"/>
                    <w:ind w:firstLine="0" w:firstLineChars="0"/>
                    <w:jc w:val="center"/>
                    <w:rPr>
                      <w:kern w:val="0"/>
                      <w:sz w:val="21"/>
                      <w:szCs w:val="21"/>
                    </w:rPr>
                  </w:pPr>
                  <w:r>
                    <w:rPr>
                      <w:rFonts w:hint="eastAsia"/>
                      <w:kern w:val="0"/>
                      <w:sz w:val="21"/>
                      <w:szCs w:val="21"/>
                    </w:rPr>
                    <w:t>扩建项目正常工况下不排放二氧化硫和氮氧化物，排放的VOCs实行总量控制。</w:t>
                  </w:r>
                </w:p>
              </w:tc>
              <w:tc>
                <w:tcPr>
                  <w:tcW w:w="816" w:type="dxa"/>
                  <w:vAlign w:val="center"/>
                </w:tcPr>
                <w:p w14:paraId="1BB92AF6">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12E3E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vAlign w:val="center"/>
                </w:tcPr>
                <w:p w14:paraId="7DBBC2E6">
                  <w:pPr>
                    <w:widowControl/>
                    <w:adjustRightInd w:val="0"/>
                    <w:snapToGrid w:val="0"/>
                    <w:spacing w:line="240" w:lineRule="auto"/>
                    <w:ind w:firstLine="0" w:firstLineChars="0"/>
                    <w:jc w:val="center"/>
                    <w:rPr>
                      <w:kern w:val="0"/>
                      <w:sz w:val="21"/>
                      <w:szCs w:val="21"/>
                    </w:rPr>
                  </w:pPr>
                </w:p>
              </w:tc>
              <w:tc>
                <w:tcPr>
                  <w:tcW w:w="1134" w:type="dxa"/>
                  <w:vMerge w:val="continue"/>
                  <w:vAlign w:val="center"/>
                </w:tcPr>
                <w:p w14:paraId="645DE471">
                  <w:pPr>
                    <w:widowControl/>
                    <w:adjustRightInd w:val="0"/>
                    <w:snapToGrid w:val="0"/>
                    <w:spacing w:line="240" w:lineRule="auto"/>
                    <w:ind w:firstLine="0" w:firstLineChars="0"/>
                    <w:jc w:val="center"/>
                    <w:rPr>
                      <w:kern w:val="0"/>
                      <w:sz w:val="21"/>
                      <w:szCs w:val="21"/>
                    </w:rPr>
                  </w:pPr>
                </w:p>
              </w:tc>
              <w:tc>
                <w:tcPr>
                  <w:tcW w:w="992" w:type="dxa"/>
                  <w:vMerge w:val="continue"/>
                  <w:vAlign w:val="center"/>
                </w:tcPr>
                <w:p w14:paraId="46610ADF">
                  <w:pPr>
                    <w:widowControl/>
                    <w:adjustRightInd w:val="0"/>
                    <w:snapToGrid w:val="0"/>
                    <w:spacing w:line="240" w:lineRule="auto"/>
                    <w:ind w:firstLine="0" w:firstLineChars="0"/>
                    <w:jc w:val="center"/>
                    <w:rPr>
                      <w:kern w:val="0"/>
                      <w:sz w:val="21"/>
                      <w:szCs w:val="21"/>
                    </w:rPr>
                  </w:pPr>
                </w:p>
              </w:tc>
              <w:tc>
                <w:tcPr>
                  <w:tcW w:w="1134" w:type="dxa"/>
                  <w:vAlign w:val="center"/>
                </w:tcPr>
                <w:p w14:paraId="282C1094">
                  <w:pPr>
                    <w:widowControl/>
                    <w:adjustRightInd w:val="0"/>
                    <w:snapToGrid w:val="0"/>
                    <w:spacing w:line="240" w:lineRule="auto"/>
                    <w:ind w:firstLine="0" w:firstLineChars="0"/>
                    <w:jc w:val="center"/>
                    <w:rPr>
                      <w:kern w:val="0"/>
                      <w:sz w:val="21"/>
                      <w:szCs w:val="21"/>
                    </w:rPr>
                  </w:pPr>
                  <w:r>
                    <w:rPr>
                      <w:rFonts w:hint="eastAsia"/>
                      <w:kern w:val="0"/>
                      <w:sz w:val="21"/>
                      <w:szCs w:val="21"/>
                    </w:rPr>
                    <w:t>环境风险防控</w:t>
                  </w:r>
                </w:p>
              </w:tc>
              <w:tc>
                <w:tcPr>
                  <w:tcW w:w="5812" w:type="dxa"/>
                  <w:vAlign w:val="center"/>
                </w:tcPr>
                <w:p w14:paraId="1EE8DF44">
                  <w:pPr>
                    <w:widowControl/>
                    <w:adjustRightInd w:val="0"/>
                    <w:snapToGrid w:val="0"/>
                    <w:spacing w:line="240" w:lineRule="auto"/>
                    <w:ind w:firstLine="0" w:firstLineChars="0"/>
                    <w:jc w:val="center"/>
                    <w:rPr>
                      <w:kern w:val="0"/>
                      <w:sz w:val="21"/>
                      <w:szCs w:val="21"/>
                    </w:rPr>
                  </w:pPr>
                  <w:r>
                    <w:rPr>
                      <w:rFonts w:hint="eastAsia"/>
                      <w:kern w:val="0"/>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693" w:type="dxa"/>
                  <w:vAlign w:val="center"/>
                </w:tcPr>
                <w:p w14:paraId="439A06D5">
                  <w:pPr>
                    <w:widowControl/>
                    <w:adjustRightInd w:val="0"/>
                    <w:snapToGrid w:val="0"/>
                    <w:spacing w:line="240" w:lineRule="auto"/>
                    <w:ind w:firstLine="0" w:firstLineChars="0"/>
                    <w:jc w:val="center"/>
                    <w:rPr>
                      <w:kern w:val="0"/>
                      <w:sz w:val="21"/>
                      <w:szCs w:val="21"/>
                    </w:rPr>
                  </w:pPr>
                  <w:r>
                    <w:rPr>
                      <w:rFonts w:hint="eastAsia"/>
                      <w:kern w:val="0"/>
                      <w:sz w:val="21"/>
                      <w:szCs w:val="21"/>
                    </w:rPr>
                    <w:t>本项目为扩建项目，待项目停产退役后，将进行土壤环境状况评估，并根据评估结果开展相应的修复。</w:t>
                  </w:r>
                </w:p>
              </w:tc>
              <w:tc>
                <w:tcPr>
                  <w:tcW w:w="816" w:type="dxa"/>
                  <w:vAlign w:val="center"/>
                </w:tcPr>
                <w:p w14:paraId="11A441A8">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50F8F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vAlign w:val="center"/>
                </w:tcPr>
                <w:p w14:paraId="58394B0C">
                  <w:pPr>
                    <w:widowControl/>
                    <w:adjustRightInd w:val="0"/>
                    <w:snapToGrid w:val="0"/>
                    <w:spacing w:line="240" w:lineRule="auto"/>
                    <w:ind w:firstLine="0" w:firstLineChars="0"/>
                    <w:jc w:val="center"/>
                    <w:rPr>
                      <w:kern w:val="0"/>
                      <w:sz w:val="21"/>
                      <w:szCs w:val="21"/>
                    </w:rPr>
                  </w:pPr>
                </w:p>
              </w:tc>
              <w:tc>
                <w:tcPr>
                  <w:tcW w:w="1134" w:type="dxa"/>
                  <w:vMerge w:val="continue"/>
                  <w:vAlign w:val="center"/>
                </w:tcPr>
                <w:p w14:paraId="6A3681D8">
                  <w:pPr>
                    <w:widowControl/>
                    <w:adjustRightInd w:val="0"/>
                    <w:snapToGrid w:val="0"/>
                    <w:spacing w:line="240" w:lineRule="auto"/>
                    <w:ind w:firstLine="0" w:firstLineChars="0"/>
                    <w:jc w:val="center"/>
                    <w:rPr>
                      <w:kern w:val="0"/>
                      <w:sz w:val="21"/>
                      <w:szCs w:val="21"/>
                    </w:rPr>
                  </w:pPr>
                </w:p>
              </w:tc>
              <w:tc>
                <w:tcPr>
                  <w:tcW w:w="992" w:type="dxa"/>
                  <w:vMerge w:val="continue"/>
                  <w:vAlign w:val="center"/>
                </w:tcPr>
                <w:p w14:paraId="28417ACF">
                  <w:pPr>
                    <w:widowControl/>
                    <w:adjustRightInd w:val="0"/>
                    <w:snapToGrid w:val="0"/>
                    <w:spacing w:line="240" w:lineRule="auto"/>
                    <w:ind w:firstLine="0" w:firstLineChars="0"/>
                    <w:jc w:val="center"/>
                    <w:rPr>
                      <w:kern w:val="0"/>
                      <w:sz w:val="21"/>
                      <w:szCs w:val="21"/>
                    </w:rPr>
                  </w:pPr>
                </w:p>
              </w:tc>
              <w:tc>
                <w:tcPr>
                  <w:tcW w:w="1134" w:type="dxa"/>
                  <w:vAlign w:val="center"/>
                </w:tcPr>
                <w:p w14:paraId="3B549AB2">
                  <w:pPr>
                    <w:widowControl/>
                    <w:adjustRightInd w:val="0"/>
                    <w:snapToGrid w:val="0"/>
                    <w:spacing w:line="240" w:lineRule="auto"/>
                    <w:ind w:firstLine="0" w:firstLineChars="0"/>
                    <w:jc w:val="center"/>
                    <w:rPr>
                      <w:kern w:val="0"/>
                      <w:sz w:val="21"/>
                      <w:szCs w:val="21"/>
                    </w:rPr>
                  </w:pPr>
                  <w:r>
                    <w:rPr>
                      <w:rFonts w:hint="eastAsia"/>
                      <w:kern w:val="0"/>
                      <w:sz w:val="21"/>
                      <w:szCs w:val="21"/>
                    </w:rPr>
                    <w:t>资源开发效率要求</w:t>
                  </w:r>
                </w:p>
              </w:tc>
              <w:tc>
                <w:tcPr>
                  <w:tcW w:w="5812" w:type="dxa"/>
                  <w:vAlign w:val="center"/>
                </w:tcPr>
                <w:p w14:paraId="2EA85315">
                  <w:pPr>
                    <w:widowControl/>
                    <w:adjustRightInd w:val="0"/>
                    <w:snapToGrid w:val="0"/>
                    <w:spacing w:line="240" w:lineRule="auto"/>
                    <w:ind w:firstLine="0" w:firstLineChars="0"/>
                    <w:jc w:val="center"/>
                    <w:rPr>
                      <w:kern w:val="0"/>
                      <w:sz w:val="21"/>
                      <w:szCs w:val="21"/>
                    </w:rPr>
                  </w:pPr>
                  <w:r>
                    <w:rPr>
                      <w:rFonts w:hint="eastAsia"/>
                      <w:kern w:val="0"/>
                      <w:sz w:val="21"/>
                      <w:szCs w:val="21"/>
                    </w:rPr>
                    <w:t>高污染燃料禁燃区内禁止燃用高污染燃料，禁止新建、扩建燃用高污染燃料的设施。已建的燃用高污染燃料设施，限期改用电、天然气、液化石油气等清洁能源。</w:t>
                  </w:r>
                </w:p>
              </w:tc>
              <w:tc>
                <w:tcPr>
                  <w:tcW w:w="2693" w:type="dxa"/>
                  <w:vAlign w:val="center"/>
                </w:tcPr>
                <w:p w14:paraId="7B0B2715">
                  <w:pPr>
                    <w:widowControl/>
                    <w:adjustRightInd w:val="0"/>
                    <w:snapToGrid w:val="0"/>
                    <w:spacing w:line="240" w:lineRule="auto"/>
                    <w:ind w:firstLine="0" w:firstLineChars="0"/>
                    <w:jc w:val="center"/>
                    <w:rPr>
                      <w:kern w:val="0"/>
                      <w:sz w:val="21"/>
                      <w:szCs w:val="21"/>
                    </w:rPr>
                  </w:pPr>
                  <w:r>
                    <w:rPr>
                      <w:rFonts w:hint="eastAsia"/>
                      <w:kern w:val="0"/>
                      <w:sz w:val="21"/>
                      <w:szCs w:val="21"/>
                    </w:rPr>
                    <w:t>扩建项目为危险化学品仓储项目，不涉及高污染燃料的使用。</w:t>
                  </w:r>
                </w:p>
              </w:tc>
              <w:tc>
                <w:tcPr>
                  <w:tcW w:w="816" w:type="dxa"/>
                  <w:vAlign w:val="center"/>
                </w:tcPr>
                <w:p w14:paraId="2D65F62B">
                  <w:pPr>
                    <w:widowControl/>
                    <w:adjustRightInd w:val="0"/>
                    <w:snapToGrid w:val="0"/>
                    <w:spacing w:line="240" w:lineRule="auto"/>
                    <w:ind w:firstLine="0" w:firstLineChars="0"/>
                    <w:jc w:val="center"/>
                    <w:rPr>
                      <w:kern w:val="0"/>
                      <w:sz w:val="21"/>
                      <w:szCs w:val="21"/>
                    </w:rPr>
                  </w:pPr>
                  <w:r>
                    <w:rPr>
                      <w:rFonts w:hint="eastAsia"/>
                      <w:kern w:val="0"/>
                      <w:sz w:val="21"/>
                      <w:szCs w:val="21"/>
                    </w:rPr>
                    <w:t>符合</w:t>
                  </w:r>
                </w:p>
              </w:tc>
            </w:tr>
            <w:tr w14:paraId="50702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restart"/>
                  <w:vAlign w:val="center"/>
                </w:tcPr>
                <w:p w14:paraId="42C07EC0">
                  <w:pPr>
                    <w:widowControl/>
                    <w:adjustRightInd w:val="0"/>
                    <w:snapToGrid w:val="0"/>
                    <w:spacing w:line="240" w:lineRule="auto"/>
                    <w:ind w:firstLine="0" w:firstLineChars="0"/>
                    <w:jc w:val="center"/>
                    <w:rPr>
                      <w:kern w:val="0"/>
                      <w:sz w:val="21"/>
                      <w:szCs w:val="21"/>
                    </w:rPr>
                  </w:pPr>
                  <w:r>
                    <w:rPr>
                      <w:rFonts w:hint="eastAsia"/>
                      <w:kern w:val="0"/>
                      <w:sz w:val="21"/>
                      <w:szCs w:val="21"/>
                    </w:rPr>
                    <w:t>HY35010020020</w:t>
                  </w:r>
                </w:p>
              </w:tc>
              <w:tc>
                <w:tcPr>
                  <w:tcW w:w="1134" w:type="dxa"/>
                  <w:vMerge w:val="restart"/>
                  <w:vAlign w:val="center"/>
                </w:tcPr>
                <w:p w14:paraId="3A854557">
                  <w:pPr>
                    <w:widowControl/>
                    <w:adjustRightInd w:val="0"/>
                    <w:snapToGrid w:val="0"/>
                    <w:spacing w:line="240" w:lineRule="auto"/>
                    <w:ind w:firstLine="0" w:firstLineChars="0"/>
                    <w:jc w:val="center"/>
                    <w:rPr>
                      <w:kern w:val="0"/>
                      <w:sz w:val="21"/>
                      <w:szCs w:val="21"/>
                    </w:rPr>
                  </w:pPr>
                  <w:r>
                    <w:rPr>
                      <w:rFonts w:hint="eastAsia"/>
                      <w:kern w:val="0"/>
                      <w:sz w:val="21"/>
                      <w:szCs w:val="21"/>
                    </w:rPr>
                    <w:t>江阴交通运输用海区</w:t>
                  </w:r>
                </w:p>
              </w:tc>
              <w:tc>
                <w:tcPr>
                  <w:tcW w:w="992" w:type="dxa"/>
                  <w:vMerge w:val="restart"/>
                  <w:vAlign w:val="center"/>
                </w:tcPr>
                <w:p w14:paraId="3F1AC3C8">
                  <w:pPr>
                    <w:widowControl/>
                    <w:adjustRightInd w:val="0"/>
                    <w:snapToGrid w:val="0"/>
                    <w:spacing w:line="240" w:lineRule="auto"/>
                    <w:ind w:firstLine="0" w:firstLineChars="0"/>
                    <w:jc w:val="center"/>
                    <w:rPr>
                      <w:kern w:val="0"/>
                      <w:sz w:val="21"/>
                      <w:szCs w:val="21"/>
                    </w:rPr>
                  </w:pPr>
                  <w:r>
                    <w:rPr>
                      <w:rFonts w:hint="eastAsia"/>
                      <w:kern w:val="0"/>
                      <w:sz w:val="21"/>
                      <w:szCs w:val="21"/>
                    </w:rPr>
                    <w:t>重点管控单元</w:t>
                  </w:r>
                </w:p>
              </w:tc>
              <w:tc>
                <w:tcPr>
                  <w:tcW w:w="1134" w:type="dxa"/>
                  <w:vAlign w:val="center"/>
                </w:tcPr>
                <w:p w14:paraId="2DAC0E91">
                  <w:pPr>
                    <w:widowControl/>
                    <w:adjustRightInd w:val="0"/>
                    <w:snapToGrid w:val="0"/>
                    <w:spacing w:line="240" w:lineRule="auto"/>
                    <w:ind w:firstLine="0" w:firstLineChars="0"/>
                    <w:jc w:val="center"/>
                    <w:rPr>
                      <w:kern w:val="0"/>
                      <w:sz w:val="21"/>
                      <w:szCs w:val="21"/>
                    </w:rPr>
                  </w:pPr>
                  <w:r>
                    <w:rPr>
                      <w:rFonts w:hint="eastAsia"/>
                      <w:kern w:val="0"/>
                      <w:sz w:val="21"/>
                      <w:szCs w:val="21"/>
                    </w:rPr>
                    <w:t>空间布局约束</w:t>
                  </w:r>
                </w:p>
              </w:tc>
              <w:tc>
                <w:tcPr>
                  <w:tcW w:w="5812" w:type="dxa"/>
                  <w:vAlign w:val="center"/>
                </w:tcPr>
                <w:p w14:paraId="5C479CD5">
                  <w:pPr>
                    <w:widowControl/>
                    <w:adjustRightInd w:val="0"/>
                    <w:snapToGrid w:val="0"/>
                    <w:spacing w:line="240" w:lineRule="auto"/>
                    <w:ind w:firstLine="0" w:firstLineChars="0"/>
                    <w:jc w:val="center"/>
                    <w:rPr>
                      <w:kern w:val="0"/>
                      <w:sz w:val="21"/>
                      <w:szCs w:val="21"/>
                    </w:rPr>
                  </w:pPr>
                  <w:r>
                    <w:rPr>
                      <w:rFonts w:hint="eastAsia"/>
                      <w:kern w:val="0"/>
                      <w:sz w:val="21"/>
                      <w:szCs w:val="21"/>
                    </w:rPr>
                    <w:t>1.禁止在港口区进行与港口作业无关或有碍港口作业安全的活动。禁止渔业增养殖、捕捞等用海活动。禁止准入排放含油废水的项目。2.落实国家围填海管控规定，除国家重大项目外，全面禁止围填海。依法依规集约利用，强化生态保护修复。3.保障港口用海，允许适度改变海域自然属性。4.保护深水港口岸线资源，河口区域交通运输工程建设应保障泄洪通道畅通和防洪防潮安全。</w:t>
                  </w:r>
                </w:p>
              </w:tc>
              <w:tc>
                <w:tcPr>
                  <w:tcW w:w="2693" w:type="dxa"/>
                  <w:vMerge w:val="restart"/>
                  <w:vAlign w:val="center"/>
                </w:tcPr>
                <w:p w14:paraId="3C419C59">
                  <w:pPr>
                    <w:widowControl/>
                    <w:adjustRightInd w:val="0"/>
                    <w:snapToGrid w:val="0"/>
                    <w:spacing w:line="240" w:lineRule="auto"/>
                    <w:ind w:firstLine="0" w:firstLineChars="0"/>
                    <w:jc w:val="center"/>
                    <w:rPr>
                      <w:kern w:val="0"/>
                      <w:sz w:val="21"/>
                      <w:szCs w:val="21"/>
                    </w:rPr>
                  </w:pPr>
                  <w:r>
                    <w:rPr>
                      <w:rFonts w:hint="eastAsia"/>
                      <w:kern w:val="0"/>
                      <w:sz w:val="21"/>
                      <w:szCs w:val="21"/>
                    </w:rPr>
                    <w:t>扩建项目是在围填海形成的陆域上进行建设的新建项目，项目废水经处理达标后进入</w:t>
                  </w:r>
                  <w:r>
                    <w:rPr>
                      <w:kern w:val="0"/>
                      <w:sz w:val="21"/>
                      <w:szCs w:val="21"/>
                    </w:rPr>
                    <w:t>江阴工业集中区污水处理厂</w:t>
                  </w:r>
                  <w:r>
                    <w:rPr>
                      <w:rFonts w:hint="eastAsia"/>
                      <w:kern w:val="0"/>
                      <w:sz w:val="21"/>
                      <w:szCs w:val="21"/>
                    </w:rPr>
                    <w:t>集中处置；不涉及相关的海域管控约束要求。</w:t>
                  </w:r>
                </w:p>
              </w:tc>
              <w:tc>
                <w:tcPr>
                  <w:tcW w:w="816" w:type="dxa"/>
                  <w:vMerge w:val="restart"/>
                  <w:vAlign w:val="center"/>
                </w:tcPr>
                <w:p w14:paraId="64915401">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r>
            <w:tr w14:paraId="39059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vAlign w:val="center"/>
                </w:tcPr>
                <w:p w14:paraId="769CE926">
                  <w:pPr>
                    <w:widowControl/>
                    <w:adjustRightInd w:val="0"/>
                    <w:snapToGrid w:val="0"/>
                    <w:spacing w:line="240" w:lineRule="auto"/>
                    <w:ind w:firstLine="0" w:firstLineChars="0"/>
                    <w:jc w:val="center"/>
                    <w:rPr>
                      <w:kern w:val="0"/>
                      <w:sz w:val="21"/>
                      <w:szCs w:val="21"/>
                    </w:rPr>
                  </w:pPr>
                </w:p>
              </w:tc>
              <w:tc>
                <w:tcPr>
                  <w:tcW w:w="1134" w:type="dxa"/>
                  <w:vMerge w:val="continue"/>
                  <w:vAlign w:val="center"/>
                </w:tcPr>
                <w:p w14:paraId="3C85F6A9">
                  <w:pPr>
                    <w:widowControl/>
                    <w:adjustRightInd w:val="0"/>
                    <w:snapToGrid w:val="0"/>
                    <w:spacing w:line="240" w:lineRule="auto"/>
                    <w:ind w:firstLine="0" w:firstLineChars="0"/>
                    <w:jc w:val="center"/>
                    <w:rPr>
                      <w:kern w:val="0"/>
                      <w:sz w:val="21"/>
                      <w:szCs w:val="21"/>
                    </w:rPr>
                  </w:pPr>
                </w:p>
              </w:tc>
              <w:tc>
                <w:tcPr>
                  <w:tcW w:w="992" w:type="dxa"/>
                  <w:vMerge w:val="continue"/>
                  <w:vAlign w:val="center"/>
                </w:tcPr>
                <w:p w14:paraId="3E0EFAA1">
                  <w:pPr>
                    <w:widowControl/>
                    <w:adjustRightInd w:val="0"/>
                    <w:snapToGrid w:val="0"/>
                    <w:spacing w:line="240" w:lineRule="auto"/>
                    <w:ind w:firstLine="0" w:firstLineChars="0"/>
                    <w:jc w:val="center"/>
                    <w:rPr>
                      <w:kern w:val="0"/>
                      <w:sz w:val="21"/>
                      <w:szCs w:val="21"/>
                    </w:rPr>
                  </w:pPr>
                </w:p>
              </w:tc>
              <w:tc>
                <w:tcPr>
                  <w:tcW w:w="1134" w:type="dxa"/>
                  <w:vAlign w:val="center"/>
                </w:tcPr>
                <w:p w14:paraId="5CF5AFEE">
                  <w:pPr>
                    <w:widowControl/>
                    <w:adjustRightInd w:val="0"/>
                    <w:snapToGrid w:val="0"/>
                    <w:spacing w:line="240" w:lineRule="auto"/>
                    <w:ind w:firstLine="0" w:firstLineChars="0"/>
                    <w:jc w:val="center"/>
                    <w:rPr>
                      <w:kern w:val="0"/>
                      <w:sz w:val="21"/>
                      <w:szCs w:val="21"/>
                    </w:rPr>
                  </w:pPr>
                  <w:r>
                    <w:rPr>
                      <w:rFonts w:hint="eastAsia"/>
                      <w:kern w:val="0"/>
                      <w:sz w:val="21"/>
                      <w:szCs w:val="21"/>
                    </w:rPr>
                    <w:t>污染物排放管控</w:t>
                  </w:r>
                </w:p>
              </w:tc>
              <w:tc>
                <w:tcPr>
                  <w:tcW w:w="5812" w:type="dxa"/>
                  <w:vAlign w:val="center"/>
                </w:tcPr>
                <w:p w14:paraId="1BA74DFC">
                  <w:pPr>
                    <w:widowControl/>
                    <w:adjustRightInd w:val="0"/>
                    <w:snapToGrid w:val="0"/>
                    <w:spacing w:line="240" w:lineRule="auto"/>
                    <w:ind w:firstLine="0" w:firstLineChars="0"/>
                    <w:jc w:val="center"/>
                    <w:rPr>
                      <w:kern w:val="0"/>
                      <w:sz w:val="21"/>
                      <w:szCs w:val="21"/>
                    </w:rPr>
                  </w:pPr>
                  <w:r>
                    <w:rPr>
                      <w:rFonts w:hint="eastAsia"/>
                      <w:kern w:val="0"/>
                      <w:sz w:val="21"/>
                      <w:szCs w:val="21"/>
                    </w:rPr>
                    <w:t>1.建设港口船舶含油污水、压载水、洗舱水和船舶垃圾接收处理设施，严格控制港区污染物的排放，不得对周边渔业水域等海洋环境造成污染。2.禁止船舶及相关作业活动违法向海洋排放油类、油性混合物，含油污水及其他污水，船舶垃圾、废弃物和其他有毒有害物质。3.严格执行船舶污染物排放标准，实施船舶水污染物分类管理。严禁未取得船检证书的新建船舶投入运营。</w:t>
                  </w:r>
                </w:p>
              </w:tc>
              <w:tc>
                <w:tcPr>
                  <w:tcW w:w="2693" w:type="dxa"/>
                  <w:vMerge w:val="continue"/>
                  <w:vAlign w:val="center"/>
                </w:tcPr>
                <w:p w14:paraId="6FCD849A">
                  <w:pPr>
                    <w:widowControl/>
                    <w:adjustRightInd w:val="0"/>
                    <w:snapToGrid w:val="0"/>
                    <w:spacing w:line="240" w:lineRule="auto"/>
                    <w:ind w:firstLine="0" w:firstLineChars="0"/>
                    <w:jc w:val="center"/>
                    <w:rPr>
                      <w:kern w:val="0"/>
                      <w:sz w:val="21"/>
                      <w:szCs w:val="21"/>
                    </w:rPr>
                  </w:pPr>
                </w:p>
              </w:tc>
              <w:tc>
                <w:tcPr>
                  <w:tcW w:w="816" w:type="dxa"/>
                  <w:vMerge w:val="continue"/>
                  <w:vAlign w:val="center"/>
                </w:tcPr>
                <w:p w14:paraId="39D8900C">
                  <w:pPr>
                    <w:widowControl/>
                    <w:adjustRightInd w:val="0"/>
                    <w:snapToGrid w:val="0"/>
                    <w:spacing w:line="240" w:lineRule="auto"/>
                    <w:ind w:firstLine="0" w:firstLineChars="0"/>
                    <w:jc w:val="center"/>
                    <w:rPr>
                      <w:kern w:val="0"/>
                      <w:sz w:val="21"/>
                      <w:szCs w:val="21"/>
                    </w:rPr>
                  </w:pPr>
                </w:p>
              </w:tc>
            </w:tr>
            <w:tr w14:paraId="3B4C5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vAlign w:val="center"/>
                </w:tcPr>
                <w:p w14:paraId="628078AC">
                  <w:pPr>
                    <w:widowControl/>
                    <w:adjustRightInd w:val="0"/>
                    <w:snapToGrid w:val="0"/>
                    <w:spacing w:line="240" w:lineRule="auto"/>
                    <w:ind w:firstLine="0" w:firstLineChars="0"/>
                    <w:jc w:val="center"/>
                    <w:rPr>
                      <w:kern w:val="0"/>
                      <w:sz w:val="21"/>
                      <w:szCs w:val="21"/>
                    </w:rPr>
                  </w:pPr>
                </w:p>
              </w:tc>
              <w:tc>
                <w:tcPr>
                  <w:tcW w:w="1134" w:type="dxa"/>
                  <w:vMerge w:val="continue"/>
                  <w:vAlign w:val="center"/>
                </w:tcPr>
                <w:p w14:paraId="1881D853">
                  <w:pPr>
                    <w:widowControl/>
                    <w:adjustRightInd w:val="0"/>
                    <w:snapToGrid w:val="0"/>
                    <w:spacing w:line="240" w:lineRule="auto"/>
                    <w:ind w:firstLine="0" w:firstLineChars="0"/>
                    <w:jc w:val="center"/>
                    <w:rPr>
                      <w:kern w:val="0"/>
                      <w:sz w:val="21"/>
                      <w:szCs w:val="21"/>
                    </w:rPr>
                  </w:pPr>
                </w:p>
              </w:tc>
              <w:tc>
                <w:tcPr>
                  <w:tcW w:w="992" w:type="dxa"/>
                  <w:vMerge w:val="continue"/>
                  <w:vAlign w:val="center"/>
                </w:tcPr>
                <w:p w14:paraId="09823BE9">
                  <w:pPr>
                    <w:widowControl/>
                    <w:adjustRightInd w:val="0"/>
                    <w:snapToGrid w:val="0"/>
                    <w:spacing w:line="240" w:lineRule="auto"/>
                    <w:ind w:firstLine="0" w:firstLineChars="0"/>
                    <w:jc w:val="center"/>
                    <w:rPr>
                      <w:kern w:val="0"/>
                      <w:sz w:val="21"/>
                      <w:szCs w:val="21"/>
                    </w:rPr>
                  </w:pPr>
                </w:p>
              </w:tc>
              <w:tc>
                <w:tcPr>
                  <w:tcW w:w="1134" w:type="dxa"/>
                  <w:vAlign w:val="center"/>
                </w:tcPr>
                <w:p w14:paraId="529BD113">
                  <w:pPr>
                    <w:widowControl/>
                    <w:adjustRightInd w:val="0"/>
                    <w:snapToGrid w:val="0"/>
                    <w:spacing w:line="240" w:lineRule="auto"/>
                    <w:ind w:firstLine="0" w:firstLineChars="0"/>
                    <w:jc w:val="center"/>
                    <w:rPr>
                      <w:kern w:val="0"/>
                      <w:sz w:val="21"/>
                      <w:szCs w:val="21"/>
                    </w:rPr>
                  </w:pPr>
                  <w:r>
                    <w:rPr>
                      <w:rFonts w:hint="eastAsia"/>
                      <w:kern w:val="0"/>
                      <w:sz w:val="21"/>
                      <w:szCs w:val="21"/>
                    </w:rPr>
                    <w:t>环境风险防控</w:t>
                  </w:r>
                </w:p>
              </w:tc>
              <w:tc>
                <w:tcPr>
                  <w:tcW w:w="5812" w:type="dxa"/>
                  <w:vAlign w:val="center"/>
                </w:tcPr>
                <w:p w14:paraId="34566BCF">
                  <w:pPr>
                    <w:widowControl/>
                    <w:adjustRightInd w:val="0"/>
                    <w:snapToGrid w:val="0"/>
                    <w:spacing w:line="240" w:lineRule="auto"/>
                    <w:ind w:firstLine="0" w:firstLineChars="0"/>
                    <w:jc w:val="center"/>
                    <w:rPr>
                      <w:kern w:val="0"/>
                      <w:sz w:val="21"/>
                      <w:szCs w:val="21"/>
                    </w:rPr>
                  </w:pPr>
                  <w:r>
                    <w:rPr>
                      <w:rFonts w:hint="eastAsia"/>
                      <w:kern w:val="0"/>
                      <w:sz w:val="21"/>
                      <w:szCs w:val="21"/>
                    </w:rPr>
                    <w:t>开展海上溢油及危险化学品泄漏污染近岸海域风险评估，建立溢油、化学品事故环境风险防范机制，并配备相适应的应急力量。</w:t>
                  </w:r>
                </w:p>
              </w:tc>
              <w:tc>
                <w:tcPr>
                  <w:tcW w:w="2693" w:type="dxa"/>
                  <w:vMerge w:val="continue"/>
                  <w:vAlign w:val="center"/>
                </w:tcPr>
                <w:p w14:paraId="04DF49B8">
                  <w:pPr>
                    <w:widowControl/>
                    <w:adjustRightInd w:val="0"/>
                    <w:snapToGrid w:val="0"/>
                    <w:spacing w:line="240" w:lineRule="auto"/>
                    <w:ind w:firstLine="0" w:firstLineChars="0"/>
                    <w:jc w:val="center"/>
                    <w:rPr>
                      <w:kern w:val="0"/>
                      <w:sz w:val="21"/>
                      <w:szCs w:val="21"/>
                    </w:rPr>
                  </w:pPr>
                </w:p>
              </w:tc>
              <w:tc>
                <w:tcPr>
                  <w:tcW w:w="816" w:type="dxa"/>
                  <w:vMerge w:val="continue"/>
                  <w:vAlign w:val="center"/>
                </w:tcPr>
                <w:p w14:paraId="740F6530">
                  <w:pPr>
                    <w:widowControl/>
                    <w:adjustRightInd w:val="0"/>
                    <w:snapToGrid w:val="0"/>
                    <w:spacing w:line="240" w:lineRule="auto"/>
                    <w:ind w:firstLine="0" w:firstLineChars="0"/>
                    <w:jc w:val="center"/>
                    <w:rPr>
                      <w:kern w:val="0"/>
                      <w:sz w:val="21"/>
                      <w:szCs w:val="21"/>
                    </w:rPr>
                  </w:pPr>
                </w:p>
              </w:tc>
            </w:tr>
            <w:tr w14:paraId="74B6F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vAlign w:val="center"/>
                </w:tcPr>
                <w:p w14:paraId="1BE62852">
                  <w:pPr>
                    <w:widowControl/>
                    <w:adjustRightInd w:val="0"/>
                    <w:snapToGrid w:val="0"/>
                    <w:spacing w:line="240" w:lineRule="auto"/>
                    <w:ind w:firstLine="0" w:firstLineChars="0"/>
                    <w:jc w:val="center"/>
                    <w:rPr>
                      <w:kern w:val="0"/>
                      <w:sz w:val="21"/>
                      <w:szCs w:val="21"/>
                    </w:rPr>
                  </w:pPr>
                </w:p>
              </w:tc>
              <w:tc>
                <w:tcPr>
                  <w:tcW w:w="1134" w:type="dxa"/>
                  <w:vMerge w:val="continue"/>
                  <w:vAlign w:val="center"/>
                </w:tcPr>
                <w:p w14:paraId="609E5F65">
                  <w:pPr>
                    <w:widowControl/>
                    <w:adjustRightInd w:val="0"/>
                    <w:snapToGrid w:val="0"/>
                    <w:spacing w:line="240" w:lineRule="auto"/>
                    <w:ind w:firstLine="0" w:firstLineChars="0"/>
                    <w:jc w:val="center"/>
                    <w:rPr>
                      <w:kern w:val="0"/>
                      <w:sz w:val="21"/>
                      <w:szCs w:val="21"/>
                    </w:rPr>
                  </w:pPr>
                </w:p>
              </w:tc>
              <w:tc>
                <w:tcPr>
                  <w:tcW w:w="992" w:type="dxa"/>
                  <w:vMerge w:val="continue"/>
                  <w:vAlign w:val="center"/>
                </w:tcPr>
                <w:p w14:paraId="04F03AC4">
                  <w:pPr>
                    <w:widowControl/>
                    <w:adjustRightInd w:val="0"/>
                    <w:snapToGrid w:val="0"/>
                    <w:spacing w:line="240" w:lineRule="auto"/>
                    <w:ind w:firstLine="0" w:firstLineChars="0"/>
                    <w:jc w:val="center"/>
                    <w:rPr>
                      <w:kern w:val="0"/>
                      <w:sz w:val="21"/>
                      <w:szCs w:val="21"/>
                    </w:rPr>
                  </w:pPr>
                </w:p>
              </w:tc>
              <w:tc>
                <w:tcPr>
                  <w:tcW w:w="1134" w:type="dxa"/>
                  <w:vAlign w:val="center"/>
                </w:tcPr>
                <w:p w14:paraId="76FBDA36">
                  <w:pPr>
                    <w:widowControl/>
                    <w:adjustRightInd w:val="0"/>
                    <w:snapToGrid w:val="0"/>
                    <w:spacing w:line="240" w:lineRule="auto"/>
                    <w:ind w:firstLine="0" w:firstLineChars="0"/>
                    <w:jc w:val="center"/>
                    <w:rPr>
                      <w:kern w:val="0"/>
                      <w:sz w:val="21"/>
                      <w:szCs w:val="21"/>
                    </w:rPr>
                  </w:pPr>
                  <w:r>
                    <w:rPr>
                      <w:rFonts w:hint="eastAsia"/>
                      <w:kern w:val="0"/>
                      <w:sz w:val="21"/>
                      <w:szCs w:val="21"/>
                    </w:rPr>
                    <w:t>资源开发效率要求</w:t>
                  </w:r>
                </w:p>
              </w:tc>
              <w:tc>
                <w:tcPr>
                  <w:tcW w:w="5812" w:type="dxa"/>
                  <w:vAlign w:val="center"/>
                </w:tcPr>
                <w:p w14:paraId="435996F6">
                  <w:pPr>
                    <w:widowControl/>
                    <w:adjustRightInd w:val="0"/>
                    <w:snapToGrid w:val="0"/>
                    <w:spacing w:line="240" w:lineRule="auto"/>
                    <w:ind w:firstLine="0" w:firstLineChars="0"/>
                    <w:jc w:val="center"/>
                    <w:rPr>
                      <w:kern w:val="0"/>
                      <w:sz w:val="21"/>
                      <w:szCs w:val="21"/>
                    </w:rPr>
                  </w:pPr>
                  <w:r>
                    <w:rPr>
                      <w:rFonts w:hint="eastAsia"/>
                      <w:kern w:val="0"/>
                      <w:sz w:val="21"/>
                      <w:szCs w:val="21"/>
                    </w:rPr>
                    <w:t>无</w:t>
                  </w:r>
                </w:p>
              </w:tc>
              <w:tc>
                <w:tcPr>
                  <w:tcW w:w="2693" w:type="dxa"/>
                  <w:vMerge w:val="continue"/>
                  <w:vAlign w:val="center"/>
                </w:tcPr>
                <w:p w14:paraId="5B9D2327">
                  <w:pPr>
                    <w:widowControl/>
                    <w:adjustRightInd w:val="0"/>
                    <w:snapToGrid w:val="0"/>
                    <w:spacing w:line="240" w:lineRule="auto"/>
                    <w:ind w:firstLine="0" w:firstLineChars="0"/>
                    <w:jc w:val="center"/>
                    <w:rPr>
                      <w:kern w:val="0"/>
                      <w:sz w:val="21"/>
                      <w:szCs w:val="21"/>
                    </w:rPr>
                  </w:pPr>
                </w:p>
              </w:tc>
              <w:tc>
                <w:tcPr>
                  <w:tcW w:w="816" w:type="dxa"/>
                  <w:vMerge w:val="continue"/>
                  <w:vAlign w:val="center"/>
                </w:tcPr>
                <w:p w14:paraId="6B4A5C01">
                  <w:pPr>
                    <w:widowControl/>
                    <w:adjustRightInd w:val="0"/>
                    <w:snapToGrid w:val="0"/>
                    <w:spacing w:line="240" w:lineRule="auto"/>
                    <w:ind w:firstLine="0" w:firstLineChars="0"/>
                    <w:jc w:val="center"/>
                    <w:rPr>
                      <w:kern w:val="0"/>
                      <w:sz w:val="21"/>
                      <w:szCs w:val="21"/>
                    </w:rPr>
                  </w:pPr>
                </w:p>
              </w:tc>
            </w:tr>
          </w:tbl>
          <w:p w14:paraId="4921DA74">
            <w:pPr>
              <w:pStyle w:val="6"/>
              <w:spacing w:before="120" w:beforeAutospacing="0"/>
            </w:pPr>
          </w:p>
        </w:tc>
      </w:tr>
    </w:tbl>
    <w:p w14:paraId="01DF812C">
      <w:pPr>
        <w:pStyle w:val="6"/>
        <w:spacing w:before="120" w:beforeAutospacing="0"/>
        <w:sectPr>
          <w:footerReference r:id="rId21" w:type="default"/>
          <w:pgSz w:w="16838" w:h="11905" w:orient="landscape"/>
          <w:pgMar w:top="1417" w:right="1417" w:bottom="1417" w:left="1417" w:header="851" w:footer="850" w:gutter="0"/>
          <w:cols w:space="720" w:num="1"/>
          <w:docGrid w:linePitch="326" w:charSpace="0"/>
        </w:sectPr>
      </w:pPr>
    </w:p>
    <w:tbl>
      <w:tblPr>
        <w:tblStyle w:val="30"/>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3"/>
        <w:gridCol w:w="8532"/>
      </w:tblGrid>
      <w:tr w14:paraId="6456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9" w:type="pct"/>
            <w:vAlign w:val="center"/>
          </w:tcPr>
          <w:p w14:paraId="4125D157">
            <w:pPr>
              <w:pStyle w:val="71"/>
              <w:rPr>
                <w:kern w:val="2"/>
                <w:szCs w:val="24"/>
                <w:lang w:val="en-US" w:eastAsia="zh-CN"/>
              </w:rPr>
            </w:pPr>
            <w:r>
              <w:rPr>
                <w:kern w:val="2"/>
                <w:szCs w:val="24"/>
                <w:lang w:val="en-US" w:eastAsia="zh-CN"/>
              </w:rPr>
              <w:t>其他符合性分析</w:t>
            </w:r>
          </w:p>
        </w:tc>
        <w:tc>
          <w:tcPr>
            <w:tcW w:w="4531" w:type="pct"/>
            <w:vAlign w:val="center"/>
          </w:tcPr>
          <w:p w14:paraId="5455D8C4">
            <w:pPr>
              <w:ind w:firstLine="0" w:firstLineChars="0"/>
              <w:rPr>
                <w:b/>
                <w:bCs/>
              </w:rPr>
            </w:pPr>
            <w:r>
              <w:rPr>
                <w:b/>
                <w:bCs/>
              </w:rPr>
              <w:t>1.</w:t>
            </w:r>
            <w:r>
              <w:rPr>
                <w:rFonts w:hint="eastAsia"/>
                <w:b/>
                <w:bCs/>
              </w:rPr>
              <w:t>6</w:t>
            </w:r>
            <w:r>
              <w:rPr>
                <w:b/>
                <w:bCs/>
              </w:rPr>
              <w:t>与《福建省近岸海域环境功能区划（修编）（2011～2020年）》符合性分析</w:t>
            </w:r>
          </w:p>
          <w:p w14:paraId="3ABA2448">
            <w:pPr>
              <w:pStyle w:val="117"/>
              <w:ind w:firstLine="480"/>
              <w:rPr>
                <w:lang w:val="en-US" w:eastAsia="zh-CN"/>
              </w:rPr>
            </w:pPr>
            <w:r>
              <w:rPr>
                <w:lang w:val="en-US" w:eastAsia="zh-CN"/>
              </w:rPr>
              <w:t>根据《福建省近岸海域环境功能区划》（闽政[2011]45号），</w:t>
            </w:r>
            <w:r>
              <w:rPr>
                <w:rFonts w:hint="eastAsia"/>
                <w:lang w:val="en-US" w:eastAsia="zh-CN"/>
              </w:rPr>
              <w:t>扩建项目</w:t>
            </w:r>
            <w:r>
              <w:rPr>
                <w:lang w:val="en-US" w:eastAsia="zh-CN"/>
              </w:rPr>
              <w:t>所在海域为</w:t>
            </w:r>
            <w:r>
              <w:rPr>
                <w:szCs w:val="21"/>
                <w:lang w:val="en-US" w:eastAsia="zh-CN"/>
              </w:rPr>
              <w:t>兴化湾江阴壁头四类区</w:t>
            </w:r>
            <w:r>
              <w:rPr>
                <w:lang w:val="en-US" w:eastAsia="zh-CN"/>
              </w:rPr>
              <w:t>，</w:t>
            </w:r>
            <w:r>
              <w:rPr>
                <w:szCs w:val="21"/>
                <w:lang w:val="en-US" w:eastAsia="zh-CN"/>
              </w:rPr>
              <w:t>主导功能为港口和航运</w:t>
            </w:r>
            <w:r>
              <w:rPr>
                <w:lang w:val="en-US" w:eastAsia="zh-CN"/>
              </w:rPr>
              <w:t>。</w:t>
            </w:r>
          </w:p>
          <w:p w14:paraId="711FE20A">
            <w:pPr>
              <w:pStyle w:val="117"/>
              <w:ind w:firstLine="480"/>
              <w:rPr>
                <w:lang w:val="en-US" w:eastAsia="zh-CN"/>
              </w:rPr>
            </w:pPr>
            <w:r>
              <w:rPr>
                <w:lang w:val="en-US" w:eastAsia="zh-CN"/>
              </w:rPr>
              <w:t>从环境功能上分析，</w:t>
            </w:r>
            <w:r>
              <w:rPr>
                <w:rFonts w:hint="eastAsia"/>
                <w:lang w:val="en-US" w:eastAsia="zh-CN"/>
              </w:rPr>
              <w:t>扩建项目</w:t>
            </w:r>
            <w:r>
              <w:rPr>
                <w:lang w:val="en-US" w:eastAsia="zh-CN"/>
              </w:rPr>
              <w:t>建设与福建省近岸海域环境功能区划没有矛盾。项目不改变海域自然属性，项目的实施对水环境的影响主要表现在施工期悬浮泥沙入海对海域水环境质量的不利影响，但影响范围有限，基本不会改变海域环境功能。项目运营期应做好液化品</w:t>
            </w:r>
            <w:r>
              <w:rPr>
                <w:rFonts w:hint="eastAsia"/>
                <w:lang w:val="en-US" w:eastAsia="zh-CN"/>
              </w:rPr>
              <w:t>仓储</w:t>
            </w:r>
            <w:r>
              <w:rPr>
                <w:lang w:val="en-US" w:eastAsia="zh-CN"/>
              </w:rPr>
              <w:t>工作的风险防范工作，规范操作工艺，制定突发环境风险应急预案，定期组织演练工作，做好员工培训工作。</w:t>
            </w:r>
          </w:p>
          <w:p w14:paraId="6FFCF643">
            <w:pPr>
              <w:pStyle w:val="117"/>
              <w:ind w:firstLine="480"/>
              <w:rPr>
                <w:lang w:val="en-US" w:eastAsia="zh-CN"/>
              </w:rPr>
            </w:pPr>
            <w:r>
              <w:rPr>
                <w:lang w:val="en-US" w:eastAsia="zh-CN"/>
              </w:rPr>
              <w:t>总体上看，扩建项目建设与近岸海域环境功能区划是协调的。</w:t>
            </w:r>
          </w:p>
          <w:p w14:paraId="0DD5E971">
            <w:pPr>
              <w:ind w:firstLine="0" w:firstLineChars="0"/>
              <w:rPr>
                <w:b/>
                <w:bCs/>
              </w:rPr>
            </w:pPr>
            <w:r>
              <w:rPr>
                <w:rFonts w:hint="eastAsia" w:cs="宋体"/>
                <w:b/>
                <w:bCs/>
              </w:rPr>
              <w:t>1.7与《福建省“十四五”</w:t>
            </w:r>
            <w:r>
              <w:rPr>
                <w:rFonts w:hint="eastAsia"/>
                <w:b/>
                <w:bCs/>
              </w:rPr>
              <w:t>生态环境保护专项规划</w:t>
            </w:r>
            <w:r>
              <w:rPr>
                <w:rFonts w:hint="eastAsia" w:cs="宋体"/>
                <w:b/>
                <w:bCs/>
              </w:rPr>
              <w:t>》符合性</w:t>
            </w:r>
          </w:p>
          <w:p w14:paraId="71C9130D">
            <w:pPr>
              <w:snapToGrid w:val="0"/>
              <w:ind w:firstLine="480"/>
              <w:rPr>
                <w:rFonts w:cs="宋体"/>
              </w:rPr>
            </w:pPr>
            <w:r>
              <w:rPr>
                <w:rFonts w:hint="eastAsia" w:cs="宋体"/>
              </w:rPr>
              <w:t>“挥发性有机物排放实行区域内等量替代，福州、厦门、漳州、泉州、莆田、宁德等重点控制区实施倍量替代。以石化、化工、制药、印刷、涂装、家具、制鞋等行业为重点，以湄洲湾石化基地、古雷石化基地、福州江阴工业集中区、厦门市岛外工业园区、漳州市周边工业区和台商投资区、莆田华林和西天尾工业园区等区域为重点，巩固提升挥发性有机物污染综合整治。”</w:t>
            </w:r>
          </w:p>
          <w:p w14:paraId="2ADF84AE">
            <w:pPr>
              <w:snapToGrid w:val="0"/>
              <w:ind w:firstLine="480"/>
              <w:rPr>
                <w:rFonts w:cs="宋体"/>
              </w:rPr>
            </w:pPr>
            <w:r>
              <w:rPr>
                <w:rFonts w:hint="eastAsia" w:cs="宋体"/>
              </w:rPr>
              <w:t>本次扩建项目</w:t>
            </w:r>
            <w:r>
              <w:rPr>
                <w:rFonts w:cs="宋体"/>
              </w:rPr>
              <w:t>VOC</w:t>
            </w:r>
            <w:r>
              <w:rPr>
                <w:rFonts w:hint="eastAsia" w:cs="宋体"/>
              </w:rPr>
              <w:t>s</w:t>
            </w:r>
            <w:r>
              <w:rPr>
                <w:rFonts w:cs="宋体"/>
              </w:rPr>
              <w:t>拟实行区域内倍量替代</w:t>
            </w:r>
            <w:r>
              <w:rPr>
                <w:rFonts w:hint="eastAsia" w:cs="宋体"/>
              </w:rPr>
              <w:t>。</w:t>
            </w:r>
          </w:p>
          <w:p w14:paraId="023F8776">
            <w:pPr>
              <w:widowControl/>
              <w:topLinePunct/>
              <w:adjustRightInd w:val="0"/>
              <w:snapToGrid w:val="0"/>
              <w:ind w:firstLine="480"/>
            </w:pPr>
            <w:r>
              <w:rPr>
                <w:rFonts w:hint="eastAsia" w:cs="宋体"/>
              </w:rPr>
              <w:t>综上所述，项目选址建设符合福建省“十四五”生态环境保护专项规划的相关要求。</w:t>
            </w:r>
          </w:p>
          <w:p w14:paraId="3DAEE607">
            <w:pPr>
              <w:ind w:firstLine="0" w:firstLineChars="0"/>
              <w:rPr>
                <w:b/>
                <w:bCs/>
              </w:rPr>
            </w:pPr>
            <w:r>
              <w:rPr>
                <w:rFonts w:hint="eastAsia" w:cs="宋体"/>
                <w:b/>
                <w:bCs/>
              </w:rPr>
              <w:t>1.8与《福州市“十四五”生态环境保护规划》的符合性分析</w:t>
            </w:r>
          </w:p>
          <w:p w14:paraId="71B15809">
            <w:pPr>
              <w:snapToGrid w:val="0"/>
              <w:ind w:firstLine="480"/>
            </w:pPr>
            <w:r>
              <w:rPr>
                <w:rFonts w:hint="eastAsia" w:cs="宋体"/>
              </w:rPr>
              <w:t>《福州市“十四五”生态环境保护规划》（榕政办</w:t>
            </w:r>
            <w:r>
              <w:rPr>
                <w:rFonts w:cs="宋体"/>
              </w:rPr>
              <w:t>[2021]123</w:t>
            </w:r>
            <w:r>
              <w:rPr>
                <w:rFonts w:hint="eastAsia" w:cs="宋体"/>
              </w:rPr>
              <w:t>号）中提出“</w:t>
            </w:r>
            <w:r>
              <w:t>……</w:t>
            </w:r>
            <w:r>
              <w:rPr>
                <w:rFonts w:hint="eastAsia" w:cs="宋体"/>
              </w:rPr>
              <w:t>推动工业行业能效提升行动，提高能源利用效率，加快推进天然气、电能等清洁能源替代……”、“调整优化运输结构。充分发挥港口、铁路、航空枢纽优势，着力补齐水、铁、空联运短板，打造生态友好、清洁低碳、集约高效绿色交通运输体系……”、“全面实施国六排放标准，持续推进清洁柴油车（机）行动，加快淘汰国三及以下排放标准营运柴油货车……”、“促进传统产业绿色升级，……对高能耗高污染项目，重点指标要达到国际清洁生产领先水平”。</w:t>
            </w:r>
          </w:p>
          <w:p w14:paraId="1E52E93C">
            <w:pPr>
              <w:pStyle w:val="117"/>
              <w:ind w:firstLine="480"/>
              <w:rPr>
                <w:rFonts w:cs="宋体"/>
                <w:lang w:val="en-US" w:eastAsia="zh-CN"/>
              </w:rPr>
            </w:pPr>
            <w:r>
              <w:rPr>
                <w:rFonts w:hint="eastAsia" w:cs="宋体"/>
                <w:lang w:val="en-US" w:eastAsia="zh-CN"/>
              </w:rPr>
              <w:t>本次扩建项目投产后蒸汽来源于国电发电有限公司。厂区的辅助材料运输采用汽运方式，要求运输汽车采用新能源汽车或达到国六排放标准的汽车。同时，本次扩建项目生产工艺采用的生产工艺与设备、资源能源利用指标、污染物产生指标总体指标达到国内先进水平。</w:t>
            </w:r>
          </w:p>
          <w:p w14:paraId="1BC00ABD">
            <w:pPr>
              <w:ind w:firstLine="0" w:firstLineChars="0"/>
              <w:rPr>
                <w:b/>
                <w:bCs/>
              </w:rPr>
            </w:pPr>
            <w:r>
              <w:rPr>
                <w:b/>
                <w:bCs/>
              </w:rPr>
              <w:t>1.</w:t>
            </w:r>
            <w:r>
              <w:rPr>
                <w:rFonts w:hint="eastAsia"/>
                <w:b/>
                <w:bCs/>
              </w:rPr>
              <w:t>9</w:t>
            </w:r>
            <w:r>
              <w:rPr>
                <w:b/>
                <w:bCs/>
              </w:rPr>
              <w:t>环境功能区划协调性分析</w:t>
            </w:r>
          </w:p>
          <w:p w14:paraId="6B9D20B9">
            <w:pPr>
              <w:pStyle w:val="77"/>
              <w:ind w:firstLine="480"/>
              <w:rPr>
                <w:rFonts w:ascii="Times New Roman" w:hAnsi="Times New Roman"/>
                <w:color w:val="auto"/>
                <w:lang w:val="en-US" w:eastAsia="zh-CN"/>
              </w:rPr>
            </w:pPr>
            <w:r>
              <w:rPr>
                <w:rStyle w:val="76"/>
                <w:rFonts w:hint="eastAsia" w:ascii="Times New Roman" w:hAnsi="Times New Roman" w:cs="Times New Roman"/>
                <w:color w:val="auto"/>
                <w:lang w:val="en-US" w:eastAsia="zh-CN"/>
              </w:rPr>
              <w:t>扩建项目</w:t>
            </w:r>
            <w:r>
              <w:rPr>
                <w:rStyle w:val="76"/>
                <w:rFonts w:ascii="Times New Roman" w:hAnsi="Times New Roman" w:cs="Times New Roman"/>
                <w:color w:val="auto"/>
                <w:lang w:val="en-US" w:eastAsia="zh-CN"/>
              </w:rPr>
              <w:t>位于福建省福州市福清市江阴港城经济区，中心经纬度为</w:t>
            </w:r>
            <w:bookmarkStart w:id="5" w:name="OLE_LINK17"/>
            <w:r>
              <w:rPr>
                <w:rStyle w:val="76"/>
                <w:rFonts w:ascii="Times New Roman" w:hAnsi="Times New Roman" w:cs="Times New Roman"/>
                <w:color w:val="auto"/>
                <w:lang w:val="en-US" w:eastAsia="zh-CN"/>
              </w:rPr>
              <w:t>25°26'9.55"</w:t>
            </w:r>
            <w:r>
              <w:rPr>
                <w:rStyle w:val="76"/>
                <w:rFonts w:hint="eastAsia" w:ascii="Times New Roman" w:hAnsi="Times New Roman" w:cs="Times New Roman"/>
                <w:color w:val="auto"/>
                <w:lang w:val="en-US" w:eastAsia="zh-CN"/>
              </w:rPr>
              <w:t>、</w:t>
            </w:r>
            <w:r>
              <w:rPr>
                <w:rStyle w:val="76"/>
                <w:rFonts w:ascii="Times New Roman" w:hAnsi="Times New Roman" w:cs="Times New Roman"/>
                <w:color w:val="auto"/>
                <w:lang w:val="en-US" w:eastAsia="zh-CN"/>
              </w:rPr>
              <w:t>N，</w:t>
            </w:r>
            <w:r>
              <w:rPr>
                <w:rStyle w:val="76"/>
                <w:rFonts w:hint="eastAsia" w:ascii="Times New Roman" w:hAnsi="Times New Roman" w:cs="Times New Roman"/>
                <w:color w:val="auto"/>
                <w:lang w:val="en-US" w:eastAsia="zh-CN"/>
              </w:rPr>
              <w:t>119</w:t>
            </w:r>
            <w:r>
              <w:rPr>
                <w:rStyle w:val="76"/>
                <w:rFonts w:ascii="Times New Roman" w:hAnsi="Times New Roman" w:cs="Times New Roman"/>
                <w:color w:val="auto"/>
                <w:lang w:val="en-US" w:eastAsia="zh-CN"/>
              </w:rPr>
              <w:t>°</w:t>
            </w:r>
            <w:r>
              <w:rPr>
                <w:rStyle w:val="76"/>
                <w:rFonts w:hint="eastAsia" w:ascii="Times New Roman" w:hAnsi="Times New Roman" w:cs="Times New Roman"/>
                <w:color w:val="auto"/>
                <w:lang w:val="en-US" w:eastAsia="zh-CN"/>
              </w:rPr>
              <w:t>15</w:t>
            </w:r>
            <w:r>
              <w:rPr>
                <w:rStyle w:val="76"/>
                <w:rFonts w:ascii="Times New Roman" w:hAnsi="Times New Roman" w:cs="Times New Roman"/>
                <w:color w:val="auto"/>
                <w:lang w:val="en-US" w:eastAsia="zh-CN"/>
              </w:rPr>
              <w:t>'</w:t>
            </w:r>
            <w:r>
              <w:rPr>
                <w:rStyle w:val="76"/>
                <w:rFonts w:hint="eastAsia" w:ascii="Times New Roman" w:hAnsi="Times New Roman" w:cs="Times New Roman"/>
                <w:color w:val="auto"/>
                <w:lang w:val="en-US" w:eastAsia="zh-CN"/>
              </w:rPr>
              <w:t>45.19</w:t>
            </w:r>
            <w:r>
              <w:rPr>
                <w:rStyle w:val="76"/>
                <w:rFonts w:ascii="Times New Roman" w:hAnsi="Times New Roman" w:cs="Times New Roman"/>
                <w:color w:val="auto"/>
                <w:lang w:val="en-US" w:eastAsia="zh-CN"/>
              </w:rPr>
              <w:t>"E</w:t>
            </w:r>
            <w:bookmarkEnd w:id="5"/>
            <w:r>
              <w:rPr>
                <w:rStyle w:val="76"/>
                <w:rFonts w:ascii="Times New Roman" w:hAnsi="Times New Roman" w:cs="Times New Roman"/>
                <w:color w:val="auto"/>
                <w:lang w:val="en-US" w:eastAsia="zh-CN"/>
              </w:rPr>
              <w:t>。</w:t>
            </w:r>
            <w:r>
              <w:rPr>
                <w:rStyle w:val="76"/>
                <w:rFonts w:hint="eastAsia" w:ascii="Times New Roman" w:hAnsi="Times New Roman" w:cs="Times New Roman"/>
                <w:color w:val="auto"/>
                <w:lang w:val="en-US" w:eastAsia="zh-CN"/>
              </w:rPr>
              <w:t>码头罐区</w:t>
            </w:r>
            <w:r>
              <w:rPr>
                <w:rStyle w:val="76"/>
                <w:rFonts w:ascii="Times New Roman" w:hAnsi="Times New Roman" w:cs="Times New Roman"/>
                <w:color w:val="auto"/>
                <w:lang w:val="en-US" w:eastAsia="zh-CN"/>
              </w:rPr>
              <w:t>东侧为</w:t>
            </w:r>
            <w:r>
              <w:rPr>
                <w:rFonts w:hint="eastAsia" w:ascii="Times New Roman" w:hAnsi="Times New Roman"/>
                <w:color w:val="auto"/>
                <w:lang w:val="en-US" w:eastAsia="zh-CN"/>
              </w:rPr>
              <w:t>福建闽海能源有限公司，</w:t>
            </w:r>
            <w:r>
              <w:rPr>
                <w:rStyle w:val="76"/>
                <w:rFonts w:hint="eastAsia" w:ascii="Times New Roman" w:hAnsi="Times New Roman" w:cs="Times New Roman"/>
                <w:color w:val="auto"/>
                <w:lang w:val="en-US" w:eastAsia="zh-CN"/>
              </w:rPr>
              <w:t>南</w:t>
            </w:r>
            <w:r>
              <w:rPr>
                <w:rStyle w:val="76"/>
                <w:rFonts w:ascii="Times New Roman" w:hAnsi="Times New Roman" w:cs="Times New Roman"/>
                <w:color w:val="auto"/>
                <w:lang w:val="en-US" w:eastAsia="zh-CN"/>
              </w:rPr>
              <w:t>侧为兴化湾海域</w:t>
            </w:r>
            <w:r>
              <w:rPr>
                <w:rStyle w:val="76"/>
                <w:rFonts w:hint="eastAsia" w:ascii="Times New Roman" w:hAnsi="Times New Roman" w:cs="Times New Roman"/>
                <w:color w:val="auto"/>
                <w:lang w:val="en-US" w:eastAsia="zh-CN"/>
              </w:rPr>
              <w:t>，西侧为福州中民新能源有限公司</w:t>
            </w:r>
            <w:r>
              <w:rPr>
                <w:rStyle w:val="76"/>
                <w:rFonts w:hint="eastAsia" w:ascii="Times New Roman" w:hAnsi="Times New Roman" w:cs="Times New Roman"/>
                <w:color w:val="auto"/>
                <w:lang w:eastAsia="zh-CN"/>
              </w:rPr>
              <w:t>，</w:t>
            </w:r>
            <w:r>
              <w:rPr>
                <w:rStyle w:val="76"/>
                <w:rFonts w:ascii="Times New Roman" w:hAnsi="Times New Roman" w:cs="Times New Roman"/>
                <w:color w:val="auto"/>
                <w:lang w:val="en-US" w:eastAsia="zh-CN"/>
              </w:rPr>
              <w:t>北侧为</w:t>
            </w:r>
            <w:r>
              <w:rPr>
                <w:rStyle w:val="76"/>
                <w:rFonts w:hint="eastAsia" w:ascii="Times New Roman" w:hAnsi="Times New Roman" w:cs="Times New Roman"/>
                <w:color w:val="auto"/>
                <w:lang w:val="en-US" w:eastAsia="zh-CN"/>
              </w:rPr>
              <w:t>万华化学（福建）码头有限公司</w:t>
            </w:r>
            <w:r>
              <w:rPr>
                <w:rStyle w:val="76"/>
                <w:rFonts w:hint="eastAsia" w:ascii="Times New Roman" w:hAnsi="Times New Roman" w:cs="Times New Roman"/>
                <w:color w:val="auto"/>
                <w:lang w:val="en-US"/>
              </w:rPr>
              <w:t>、</w:t>
            </w:r>
            <w:r>
              <w:rPr>
                <w:rStyle w:val="76"/>
                <w:rFonts w:hint="eastAsia" w:ascii="Times New Roman" w:hAnsi="Times New Roman" w:cs="Times New Roman"/>
                <w:color w:val="auto"/>
                <w:lang w:val="en-US" w:eastAsia="zh-CN"/>
              </w:rPr>
              <w:t>福建环洋新材料有限公司南区、</w:t>
            </w:r>
            <w:r>
              <w:rPr>
                <w:rFonts w:hint="eastAsia" w:ascii="Times New Roman" w:hAnsi="Times New Roman"/>
                <w:color w:val="auto"/>
                <w:lang w:val="en-US" w:eastAsia="zh-CN"/>
              </w:rPr>
              <w:t>密尔克卫项目用地</w:t>
            </w:r>
            <w:r>
              <w:rPr>
                <w:rStyle w:val="76"/>
                <w:rFonts w:ascii="Times New Roman" w:hAnsi="Times New Roman" w:cs="Times New Roman"/>
                <w:color w:val="auto"/>
              </w:rPr>
              <w:t>。</w:t>
            </w:r>
            <w:r>
              <w:rPr>
                <w:rFonts w:ascii="Times New Roman" w:hAnsi="Times New Roman"/>
                <w:color w:val="auto"/>
                <w:lang w:val="en-US" w:eastAsia="zh-CN"/>
              </w:rPr>
              <w:t>在正常情况下，生产废气经处理后能够做到达标排放，对周边环境影响不大。生活污水经预处理后与BDO/MA储罐废气水洗/碱洗废水、初期雨水、地面冲洗废水</w:t>
            </w:r>
            <w:r>
              <w:rPr>
                <w:rFonts w:hint="eastAsia" w:ascii="Times New Roman" w:hAnsi="Times New Roman"/>
                <w:color w:val="auto"/>
                <w:lang w:val="en-US" w:eastAsia="zh-CN"/>
              </w:rPr>
              <w:t>送至</w:t>
            </w:r>
            <w:r>
              <w:rPr>
                <w:rFonts w:ascii="Times New Roman" w:hAnsi="Times New Roman"/>
                <w:color w:val="auto"/>
                <w:lang w:val="en-US" w:eastAsia="zh-CN"/>
              </w:rPr>
              <w:t>福州万景石化有限公司污水处理站低浓度废水处理段</w:t>
            </w:r>
            <w:r>
              <w:rPr>
                <w:rFonts w:hint="eastAsia" w:ascii="Times New Roman" w:hAnsi="Times New Roman"/>
                <w:color w:val="auto"/>
                <w:lang w:val="en-US" w:eastAsia="zh-CN"/>
              </w:rPr>
              <w:t>，</w:t>
            </w:r>
            <w:r>
              <w:rPr>
                <w:rFonts w:ascii="Times New Roman" w:hAnsi="Times New Roman"/>
                <w:color w:val="auto"/>
                <w:lang w:val="en-US" w:eastAsia="zh-CN"/>
              </w:rPr>
              <w:t>处理达到江阴工业集中区污水处理厂纳管标准后，排入江阴工业集中区污水处理厂进一步处理，不影响兴化湾环境功能。根据噪声影响预测结果可知，经设备减震，厂房隔声、距离衰减等措施处理后，项目设备噪声在厂界处达标排放。项目产生的固体废物经措施有效处置后，不会对环境产生不良影响。综上所述，项目在采取有效的环境保护措施下，正常生产对环境影响很小。</w:t>
            </w:r>
          </w:p>
          <w:p w14:paraId="7AC4F670">
            <w:pPr>
              <w:ind w:firstLine="0" w:firstLineChars="0"/>
              <w:rPr>
                <w:b/>
                <w:bCs/>
              </w:rPr>
            </w:pPr>
            <w:r>
              <w:rPr>
                <w:b/>
                <w:bCs/>
              </w:rPr>
              <w:t>1</w:t>
            </w:r>
            <w:r>
              <w:rPr>
                <w:rFonts w:hint="eastAsia"/>
                <w:b/>
                <w:bCs/>
              </w:rPr>
              <w:t>.10</w:t>
            </w:r>
            <w:r>
              <w:rPr>
                <w:b/>
                <w:bCs/>
              </w:rPr>
              <w:t>与</w:t>
            </w:r>
            <w:r>
              <w:rPr>
                <w:rFonts w:hint="eastAsia"/>
                <w:b/>
                <w:bCs/>
              </w:rPr>
              <w:t>《关于加强重点行业涉新污染物建设项目环境影响评价工作的意见》（环环评【2025】28号）</w:t>
            </w:r>
            <w:r>
              <w:rPr>
                <w:b/>
                <w:bCs/>
              </w:rPr>
              <w:t>符合性分析</w:t>
            </w:r>
          </w:p>
          <w:p w14:paraId="0C56B267">
            <w:pPr>
              <w:pStyle w:val="77"/>
              <w:ind w:firstLine="480"/>
              <w:rPr>
                <w:rFonts w:ascii="Times New Roman" w:hAnsi="Times New Roman"/>
                <w:color w:val="auto"/>
                <w:lang w:val="en-US" w:eastAsia="zh-CN"/>
              </w:rPr>
            </w:pPr>
            <w:r>
              <w:rPr>
                <w:rFonts w:hint="eastAsia" w:ascii="Times New Roman" w:hAnsi="Times New Roman"/>
                <w:color w:val="auto"/>
                <w:lang w:val="en-US" w:eastAsia="zh-CN"/>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7DA03C8F">
            <w:pPr>
              <w:pStyle w:val="77"/>
              <w:ind w:firstLine="480"/>
              <w:rPr>
                <w:rFonts w:ascii="Times New Roman" w:hAnsi="Times New Roman"/>
                <w:color w:val="auto"/>
                <w:lang w:val="en-US" w:eastAsia="zh-CN"/>
              </w:rPr>
            </w:pPr>
            <w:r>
              <w:rPr>
                <w:rFonts w:hint="eastAsia" w:ascii="Times New Roman" w:hAnsi="Times New Roman"/>
                <w:color w:val="auto"/>
                <w:lang w:val="en-US" w:eastAsia="zh-CN"/>
              </w:rPr>
              <w:t>本次扩建项目不属于石化、涂料、纺织印染、橡胶、农药、医药等重点行业建设项目，扩建项目产生的污染物均不属于《重点管控新污染物清单（2023年版）》、《有毒有害大气污染物名录（2018年）》、《有毒有害水污染物名录（第一批）》、《有毒有害水污染物名录（第二批）》、《优先控制化学品名录（第一批）》、《优先控制化学品名录（第二批）》、《优先控制化学品名录（第三批）》及《关于持久性有机污染物的斯德哥尔摩公约》（简称《斯德哥尔摩公约》）中的污染物。因此，本次不开展意见中的相关评价工作。</w:t>
            </w:r>
          </w:p>
          <w:p w14:paraId="49811DF1">
            <w:pPr>
              <w:pStyle w:val="117"/>
              <w:ind w:firstLine="480"/>
              <w:rPr>
                <w:lang w:val="en-US" w:eastAsia="zh-CN"/>
              </w:rPr>
            </w:pPr>
          </w:p>
        </w:tc>
      </w:tr>
    </w:tbl>
    <w:p w14:paraId="3BF1DCA8">
      <w:pPr>
        <w:pStyle w:val="6"/>
        <w:spacing w:before="120" w:beforeAutospacing="0"/>
        <w:sectPr>
          <w:footerReference r:id="rId22" w:type="default"/>
          <w:pgSz w:w="11905" w:h="16838"/>
          <w:pgMar w:top="1417" w:right="1417" w:bottom="1417" w:left="1417" w:header="851" w:footer="850" w:gutter="0"/>
          <w:cols w:space="720" w:num="1"/>
          <w:docGrid w:linePitch="326"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545"/>
      </w:tblGrid>
      <w:tr w14:paraId="7E1F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9" w:hRule="atLeast"/>
        </w:trPr>
        <w:tc>
          <w:tcPr>
            <w:tcW w:w="675" w:type="dxa"/>
          </w:tcPr>
          <w:p w14:paraId="45050E31">
            <w:pPr>
              <w:pStyle w:val="6"/>
              <w:spacing w:before="120" w:beforeAutospacing="0"/>
            </w:pPr>
          </w:p>
        </w:tc>
        <w:tc>
          <w:tcPr>
            <w:tcW w:w="13545" w:type="dxa"/>
          </w:tcPr>
          <w:p w14:paraId="47EEA4BD">
            <w:pPr>
              <w:ind w:firstLine="0" w:firstLineChars="0"/>
              <w:rPr>
                <w:b/>
                <w:bCs/>
              </w:rPr>
            </w:pPr>
            <w:r>
              <w:rPr>
                <w:b/>
                <w:bCs/>
              </w:rPr>
              <w:t>1</w:t>
            </w:r>
            <w:r>
              <w:rPr>
                <w:rFonts w:hint="eastAsia"/>
                <w:b/>
                <w:bCs/>
              </w:rPr>
              <w:t>.11</w:t>
            </w:r>
            <w:r>
              <w:rPr>
                <w:b/>
                <w:bCs/>
              </w:rPr>
              <w:t>与</w:t>
            </w:r>
            <w:r>
              <w:rPr>
                <w:rFonts w:hint="eastAsia"/>
                <w:b/>
                <w:bCs/>
              </w:rPr>
              <w:t>V</w:t>
            </w:r>
            <w:r>
              <w:rPr>
                <w:b/>
                <w:bCs/>
              </w:rPr>
              <w:t>OCs污染防控政策的符合性分析</w:t>
            </w:r>
          </w:p>
          <w:p w14:paraId="543ECACC">
            <w:pPr>
              <w:pStyle w:val="117"/>
              <w:ind w:firstLine="480"/>
              <w:rPr>
                <w:lang w:val="en-US" w:eastAsia="zh-CN"/>
              </w:rPr>
            </w:pPr>
            <w:r>
              <w:rPr>
                <w:lang w:val="en-US" w:eastAsia="zh-CN"/>
              </w:rPr>
              <w:t>（</w:t>
            </w:r>
            <w:r>
              <w:rPr>
                <w:rFonts w:hint="eastAsia"/>
                <w:lang w:val="en-US" w:eastAsia="zh-CN"/>
              </w:rPr>
              <w:t>1</w:t>
            </w:r>
            <w:r>
              <w:rPr>
                <w:lang w:val="en-US" w:eastAsia="zh-CN"/>
              </w:rPr>
              <w:t>）与</w:t>
            </w:r>
            <w:r>
              <w:rPr>
                <w:rFonts w:hint="eastAsia"/>
                <w:lang w:val="en-US" w:eastAsia="zh-CN"/>
              </w:rPr>
              <w:t>《关于印发重点行业挥发性有机物综合治理方案》（</w:t>
            </w:r>
            <w:r>
              <w:rPr>
                <w:lang w:val="en-US" w:eastAsia="zh-CN"/>
              </w:rPr>
              <w:t>环大气[2019]53号</w:t>
            </w:r>
            <w:r>
              <w:rPr>
                <w:rFonts w:hint="eastAsia"/>
                <w:lang w:val="en-US" w:eastAsia="zh-CN"/>
              </w:rPr>
              <w:t>）</w:t>
            </w:r>
            <w:r>
              <w:rPr>
                <w:lang w:val="en-US" w:eastAsia="zh-CN"/>
              </w:rPr>
              <w:t>的符合性分析</w:t>
            </w:r>
          </w:p>
          <w:p w14:paraId="7C1B65CB">
            <w:pPr>
              <w:pStyle w:val="117"/>
              <w:ind w:firstLine="480"/>
              <w:rPr>
                <w:lang w:val="en-US" w:eastAsia="zh-CN"/>
              </w:rPr>
            </w:pPr>
            <w:r>
              <w:rPr>
                <w:rFonts w:hint="eastAsia"/>
                <w:lang w:val="en-US" w:eastAsia="zh-CN"/>
              </w:rPr>
              <w:t>扩建项目</w:t>
            </w:r>
            <w:r>
              <w:rPr>
                <w:lang w:val="en-US" w:eastAsia="zh-CN"/>
              </w:rPr>
              <w:t>在</w:t>
            </w:r>
            <w:r>
              <w:rPr>
                <w:rFonts w:hint="eastAsia"/>
                <w:lang w:val="en-US" w:eastAsia="zh-CN"/>
              </w:rPr>
              <w:t>V</w:t>
            </w:r>
            <w:r>
              <w:rPr>
                <w:lang w:val="en-US" w:eastAsia="zh-CN"/>
              </w:rPr>
              <w:t>OCs</w:t>
            </w:r>
            <w:r>
              <w:rPr>
                <w:rFonts w:hint="eastAsia"/>
                <w:lang w:val="en-US" w:eastAsia="zh-CN"/>
              </w:rPr>
              <w:t>污染治理</w:t>
            </w:r>
            <w:r>
              <w:rPr>
                <w:lang w:val="en-US" w:eastAsia="zh-CN"/>
              </w:rPr>
              <w:t>方面总体符合《挥发性有机物污染防治技术政策》的相关要求，详见表</w:t>
            </w:r>
            <w:r>
              <w:rPr>
                <w:rFonts w:hint="eastAsia"/>
                <w:lang w:val="en-US" w:eastAsia="zh-CN"/>
              </w:rPr>
              <w:t>1.11-1</w:t>
            </w:r>
            <w:r>
              <w:rPr>
                <w:lang w:val="en-US" w:eastAsia="zh-CN"/>
              </w:rPr>
              <w:t>。</w:t>
            </w:r>
          </w:p>
          <w:p w14:paraId="77E709F2">
            <w:pPr>
              <w:pStyle w:val="117"/>
              <w:ind w:firstLine="480"/>
              <w:rPr>
                <w:lang w:val="en-US" w:eastAsia="zh-CN"/>
              </w:rPr>
            </w:pPr>
            <w:r>
              <w:rPr>
                <w:rFonts w:hint="eastAsia"/>
                <w:lang w:val="en-US" w:eastAsia="zh-CN"/>
              </w:rPr>
              <w:t>（2）</w:t>
            </w:r>
            <w:r>
              <w:rPr>
                <w:lang w:val="en-US" w:eastAsia="zh-CN"/>
              </w:rPr>
              <w:t>与《挥发性有机物</w:t>
            </w:r>
            <w:r>
              <w:rPr>
                <w:rFonts w:hint="eastAsia"/>
                <w:lang w:val="en-US" w:eastAsia="zh-CN"/>
              </w:rPr>
              <w:t>（VOCs）</w:t>
            </w:r>
            <w:r>
              <w:rPr>
                <w:lang w:val="en-US" w:eastAsia="zh-CN"/>
              </w:rPr>
              <w:t>污染防治技术政策》的符合性分析</w:t>
            </w:r>
          </w:p>
          <w:p w14:paraId="3786B551">
            <w:pPr>
              <w:pStyle w:val="117"/>
              <w:ind w:firstLine="480"/>
              <w:rPr>
                <w:lang w:val="en-US" w:eastAsia="zh-CN"/>
              </w:rPr>
            </w:pPr>
            <w:r>
              <w:rPr>
                <w:rFonts w:hint="eastAsia"/>
                <w:lang w:val="en-US" w:eastAsia="zh-CN"/>
              </w:rPr>
              <w:t>扩建项目</w:t>
            </w:r>
            <w:r>
              <w:rPr>
                <w:lang w:val="en-US" w:eastAsia="zh-CN"/>
              </w:rPr>
              <w:t>在</w:t>
            </w:r>
            <w:r>
              <w:rPr>
                <w:rFonts w:hint="eastAsia"/>
                <w:lang w:val="en-US" w:eastAsia="zh-CN"/>
              </w:rPr>
              <w:t>V</w:t>
            </w:r>
            <w:r>
              <w:rPr>
                <w:lang w:val="en-US" w:eastAsia="zh-CN"/>
              </w:rPr>
              <w:t>OCs</w:t>
            </w:r>
            <w:r>
              <w:rPr>
                <w:rFonts w:hint="eastAsia"/>
                <w:lang w:val="en-US" w:eastAsia="zh-CN"/>
              </w:rPr>
              <w:t>污染治理</w:t>
            </w:r>
            <w:r>
              <w:rPr>
                <w:lang w:val="en-US" w:eastAsia="zh-CN"/>
              </w:rPr>
              <w:t>方面总体符合《挥发性有机物污染防治技术政策》</w:t>
            </w:r>
            <w:r>
              <w:rPr>
                <w:rFonts w:hint="eastAsia"/>
                <w:lang w:val="en-US" w:eastAsia="zh-CN"/>
              </w:rPr>
              <w:t>的要求</w:t>
            </w:r>
            <w:r>
              <w:rPr>
                <w:lang w:val="en-US" w:eastAsia="zh-CN"/>
              </w:rPr>
              <w:t>，详见表</w:t>
            </w:r>
            <w:r>
              <w:rPr>
                <w:rFonts w:hint="eastAsia"/>
                <w:lang w:val="en-US" w:eastAsia="zh-CN"/>
              </w:rPr>
              <w:t>1.11-2</w:t>
            </w:r>
            <w:r>
              <w:rPr>
                <w:lang w:val="en-US" w:eastAsia="zh-CN"/>
              </w:rPr>
              <w:t>。</w:t>
            </w:r>
          </w:p>
          <w:p w14:paraId="57AB5E7C">
            <w:pPr>
              <w:pStyle w:val="68"/>
              <w:rPr>
                <w:kern w:val="2"/>
                <w:sz w:val="24"/>
                <w:szCs w:val="24"/>
                <w:lang w:val="en-US" w:eastAsia="zh-CN"/>
              </w:rPr>
            </w:pPr>
            <w:r>
              <w:rPr>
                <w:rFonts w:hint="eastAsia"/>
                <w:kern w:val="2"/>
                <w:sz w:val="24"/>
                <w:szCs w:val="24"/>
                <w:lang w:val="en-US" w:eastAsia="zh-CN"/>
              </w:rPr>
              <w:t>表1.11-1</w:t>
            </w:r>
            <w:r>
              <w:rPr>
                <w:kern w:val="2"/>
                <w:sz w:val="24"/>
                <w:szCs w:val="24"/>
                <w:lang w:val="en-US" w:eastAsia="zh-CN"/>
              </w:rPr>
              <w:t>与</w:t>
            </w:r>
            <w:r>
              <w:rPr>
                <w:rFonts w:hint="eastAsia"/>
                <w:kern w:val="2"/>
                <w:sz w:val="24"/>
                <w:szCs w:val="24"/>
                <w:lang w:val="en-US" w:eastAsia="zh-CN"/>
              </w:rPr>
              <w:t>《关于印发重点行业挥发性有机物综合治理方案》（</w:t>
            </w:r>
            <w:r>
              <w:rPr>
                <w:kern w:val="2"/>
                <w:sz w:val="24"/>
                <w:szCs w:val="24"/>
                <w:lang w:val="en-US" w:eastAsia="zh-CN"/>
              </w:rPr>
              <w:t>环大气[2019]53号</w:t>
            </w:r>
            <w:r>
              <w:rPr>
                <w:rFonts w:hint="eastAsia"/>
                <w:kern w:val="2"/>
                <w:sz w:val="24"/>
                <w:szCs w:val="24"/>
                <w:lang w:val="en-US" w:eastAsia="zh-CN"/>
              </w:rPr>
              <w:t>）</w:t>
            </w:r>
            <w:r>
              <w:rPr>
                <w:kern w:val="2"/>
                <w:sz w:val="24"/>
                <w:szCs w:val="24"/>
                <w:lang w:val="en-US" w:eastAsia="zh-CN"/>
              </w:rPr>
              <w:t>的符合性</w:t>
            </w:r>
            <w:r>
              <w:rPr>
                <w:rFonts w:hint="eastAsia"/>
                <w:kern w:val="2"/>
                <w:sz w:val="24"/>
                <w:szCs w:val="24"/>
                <w:lang w:val="en-US" w:eastAsia="zh-CN"/>
              </w:rPr>
              <w:t>分析</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97"/>
              <w:gridCol w:w="5332"/>
              <w:gridCol w:w="6238"/>
              <w:gridCol w:w="962"/>
            </w:tblGrid>
            <w:tr w14:paraId="2A805F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2299" w:type="pct"/>
                  <w:gridSpan w:val="2"/>
                  <w:tcMar>
                    <w:left w:w="28" w:type="dxa"/>
                    <w:right w:w="28" w:type="dxa"/>
                  </w:tcMar>
                  <w:vAlign w:val="center"/>
                </w:tcPr>
                <w:p w14:paraId="237CB0A2">
                  <w:pPr>
                    <w:pStyle w:val="130"/>
                    <w:rPr>
                      <w:lang w:val="en-US" w:eastAsia="zh-CN"/>
                    </w:rPr>
                  </w:pPr>
                  <w:r>
                    <w:rPr>
                      <w:rFonts w:hAnsi="宋体"/>
                      <w:lang w:val="en-US" w:eastAsia="zh-CN"/>
                    </w:rPr>
                    <w:t>环大气</w:t>
                  </w:r>
                  <w:r>
                    <w:rPr>
                      <w:lang w:val="en-US" w:eastAsia="zh-CN"/>
                    </w:rPr>
                    <w:t>[2019]53</w:t>
                  </w:r>
                  <w:r>
                    <w:rPr>
                      <w:rFonts w:hAnsi="宋体"/>
                      <w:lang w:val="en-US" w:eastAsia="zh-CN"/>
                    </w:rPr>
                    <w:t>号相关要求</w:t>
                  </w:r>
                </w:p>
              </w:tc>
              <w:tc>
                <w:tcPr>
                  <w:tcW w:w="2340" w:type="pct"/>
                  <w:vAlign w:val="center"/>
                </w:tcPr>
                <w:p w14:paraId="769310B8">
                  <w:pPr>
                    <w:pStyle w:val="130"/>
                    <w:rPr>
                      <w:lang w:val="en-US" w:eastAsia="zh-CN"/>
                    </w:rPr>
                  </w:pPr>
                  <w:r>
                    <w:rPr>
                      <w:rFonts w:hAnsi="宋体"/>
                      <w:lang w:val="en-US" w:eastAsia="zh-CN"/>
                    </w:rPr>
                    <w:t>项目情况</w:t>
                  </w:r>
                </w:p>
              </w:tc>
              <w:tc>
                <w:tcPr>
                  <w:tcW w:w="361" w:type="pct"/>
                  <w:vAlign w:val="center"/>
                </w:tcPr>
                <w:p w14:paraId="5BBDE9E0">
                  <w:pPr>
                    <w:pStyle w:val="130"/>
                    <w:rPr>
                      <w:lang w:val="en-US" w:eastAsia="zh-CN"/>
                    </w:rPr>
                  </w:pPr>
                  <w:r>
                    <w:rPr>
                      <w:rFonts w:hAnsi="宋体"/>
                      <w:lang w:val="en-US" w:eastAsia="zh-CN"/>
                    </w:rPr>
                    <w:t>符合性</w:t>
                  </w:r>
                </w:p>
              </w:tc>
            </w:tr>
            <w:tr w14:paraId="5A4BB5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restart"/>
                  <w:vAlign w:val="center"/>
                </w:tcPr>
                <w:p w14:paraId="222172C7">
                  <w:pPr>
                    <w:pStyle w:val="130"/>
                    <w:rPr>
                      <w:lang w:val="en-US" w:eastAsia="zh-CN"/>
                    </w:rPr>
                  </w:pPr>
                  <w:r>
                    <w:rPr>
                      <w:rFonts w:hAnsi="宋体"/>
                      <w:lang w:val="en-US" w:eastAsia="zh-CN"/>
                    </w:rPr>
                    <w:t>化工行业</w:t>
                  </w:r>
                  <w:r>
                    <w:rPr>
                      <w:lang w:val="en-US" w:eastAsia="zh-CN"/>
                    </w:rPr>
                    <w:t>VOCs</w:t>
                  </w:r>
                  <w:r>
                    <w:rPr>
                      <w:rFonts w:hAnsi="宋体"/>
                      <w:lang w:val="en-US" w:eastAsia="zh-CN"/>
                    </w:rPr>
                    <w:t>综合治理</w:t>
                  </w:r>
                </w:p>
              </w:tc>
              <w:tc>
                <w:tcPr>
                  <w:tcW w:w="2000" w:type="pct"/>
                  <w:vAlign w:val="center"/>
                </w:tcPr>
                <w:p w14:paraId="5C737A15">
                  <w:pPr>
                    <w:pStyle w:val="130"/>
                    <w:rPr>
                      <w:lang w:val="en-US" w:eastAsia="zh-CN"/>
                    </w:rPr>
                  </w:pPr>
                  <w:r>
                    <w:rPr>
                      <w:rFonts w:hAnsi="宋体"/>
                      <w:lang w:val="en-US" w:eastAsia="zh-CN"/>
                    </w:rPr>
                    <w:t>严格控制储存和装卸过程</w:t>
                  </w:r>
                  <w:r>
                    <w:rPr>
                      <w:lang w:val="en-US" w:eastAsia="zh-CN"/>
                    </w:rPr>
                    <w:t>VOCs</w:t>
                  </w:r>
                  <w:r>
                    <w:rPr>
                      <w:rFonts w:hAnsi="宋体"/>
                      <w:lang w:val="en-US" w:eastAsia="zh-CN"/>
                    </w:rPr>
                    <w:t>排放。鼓励采用压力罐、浮顶罐等替代固定顶罐。真实蒸气压大于等于</w:t>
                  </w:r>
                  <w:r>
                    <w:rPr>
                      <w:lang w:val="en-US" w:eastAsia="zh-CN"/>
                    </w:rPr>
                    <w:t>27.6kPa</w:t>
                  </w:r>
                  <w:r>
                    <w:rPr>
                      <w:rFonts w:hAnsi="宋体"/>
                      <w:lang w:val="en-US" w:eastAsia="zh-CN"/>
                    </w:rPr>
                    <w:t>（重点区域大于等于</w:t>
                  </w:r>
                  <w:r>
                    <w:rPr>
                      <w:lang w:val="en-US" w:eastAsia="zh-CN"/>
                    </w:rPr>
                    <w:t>5.2kPa</w:t>
                  </w:r>
                  <w:r>
                    <w:rPr>
                      <w:rFonts w:hAnsi="宋体"/>
                      <w:lang w:val="en-US" w:eastAsia="zh-CN"/>
                    </w:rPr>
                    <w:t>）的有机液体，利用固定顶罐储存的，应按有关规定采用气相平衡系统或收集净化处理。</w:t>
                  </w:r>
                </w:p>
              </w:tc>
              <w:tc>
                <w:tcPr>
                  <w:tcW w:w="2340" w:type="pct"/>
                  <w:vAlign w:val="center"/>
                </w:tcPr>
                <w:p w14:paraId="12676211">
                  <w:pPr>
                    <w:widowControl/>
                    <w:adjustRightInd w:val="0"/>
                    <w:snapToGrid w:val="0"/>
                    <w:spacing w:line="240" w:lineRule="auto"/>
                    <w:ind w:firstLine="0" w:firstLineChars="0"/>
                    <w:rPr>
                      <w:sz w:val="21"/>
                      <w:szCs w:val="21"/>
                    </w:rPr>
                  </w:pPr>
                  <w:r>
                    <w:rPr>
                      <w:sz w:val="21"/>
                      <w:szCs w:val="21"/>
                    </w:rPr>
                    <w:t>a采用浮顶罐；对于</w:t>
                  </w:r>
                  <w:r>
                    <w:rPr>
                      <w:rFonts w:hint="eastAsia"/>
                      <w:sz w:val="21"/>
                      <w:szCs w:val="21"/>
                    </w:rPr>
                    <w:t>四氢呋喃采用</w:t>
                  </w:r>
                  <w:r>
                    <w:rPr>
                      <w:sz w:val="21"/>
                      <w:szCs w:val="21"/>
                    </w:rPr>
                    <w:t>浮顶罐，浮顶与罐壁之间采机</w:t>
                  </w:r>
                  <w:r>
                    <w:rPr>
                      <w:rFonts w:hint="eastAsia"/>
                      <w:sz w:val="21"/>
                      <w:szCs w:val="21"/>
                    </w:rPr>
                    <w:t>液态镶嵌式密封</w:t>
                  </w:r>
                  <w:r>
                    <w:rPr>
                      <w:sz w:val="21"/>
                      <w:szCs w:val="21"/>
                    </w:rPr>
                    <w:t>等高效密封方式</w:t>
                  </w:r>
                  <w:r>
                    <w:rPr>
                      <w:rFonts w:hint="eastAsia"/>
                      <w:sz w:val="21"/>
                      <w:szCs w:val="21"/>
                    </w:rPr>
                    <w:t>，并采用油气回收系统。</w:t>
                  </w:r>
                </w:p>
                <w:p w14:paraId="570AFC35">
                  <w:pPr>
                    <w:widowControl/>
                    <w:adjustRightInd w:val="0"/>
                    <w:snapToGrid w:val="0"/>
                    <w:spacing w:line="240" w:lineRule="auto"/>
                    <w:ind w:firstLine="0" w:firstLineChars="0"/>
                    <w:rPr>
                      <w:sz w:val="21"/>
                      <w:szCs w:val="21"/>
                    </w:rPr>
                  </w:pPr>
                  <w:r>
                    <w:rPr>
                      <w:sz w:val="21"/>
                      <w:szCs w:val="21"/>
                    </w:rPr>
                    <w:t>b采用固定顶罐，</w:t>
                  </w:r>
                  <w:r>
                    <w:rPr>
                      <w:rFonts w:hint="eastAsia"/>
                      <w:sz w:val="21"/>
                      <w:szCs w:val="21"/>
                    </w:rPr>
                    <w:t>MA储罐、BDO储罐</w:t>
                  </w:r>
                  <w:r>
                    <w:rPr>
                      <w:sz w:val="21"/>
                      <w:szCs w:val="21"/>
                    </w:rPr>
                    <w:t>排放的废气</w:t>
                  </w:r>
                  <w:r>
                    <w:rPr>
                      <w:rFonts w:hint="eastAsia"/>
                      <w:sz w:val="21"/>
                      <w:szCs w:val="21"/>
                    </w:rPr>
                    <w:t>经</w:t>
                  </w:r>
                  <w:r>
                    <w:rPr>
                      <w:sz w:val="21"/>
                      <w:szCs w:val="21"/>
                    </w:rPr>
                    <w:t>收集</w:t>
                  </w:r>
                  <w:r>
                    <w:rPr>
                      <w:rFonts w:hint="eastAsia"/>
                      <w:sz w:val="21"/>
                      <w:szCs w:val="21"/>
                    </w:rPr>
                    <w:t>后采用水洗塔+碱洗塔+活性炭吸附处理能够达标排放，符合</w:t>
                  </w:r>
                  <w:r>
                    <w:rPr>
                      <w:sz w:val="21"/>
                      <w:szCs w:val="21"/>
                    </w:rPr>
                    <w:t>（GB31571-2015）及其修改单</w:t>
                  </w:r>
                  <w:r>
                    <w:rPr>
                      <w:rFonts w:hint="eastAsia"/>
                      <w:sz w:val="21"/>
                      <w:szCs w:val="21"/>
                    </w:rPr>
                    <w:t>、（DB35/1782-2018）等排放标准要求</w:t>
                  </w:r>
                  <w:r>
                    <w:rPr>
                      <w:sz w:val="21"/>
                      <w:szCs w:val="21"/>
                    </w:rPr>
                    <w:t>。</w:t>
                  </w:r>
                </w:p>
                <w:p w14:paraId="1A3591E9">
                  <w:pPr>
                    <w:pStyle w:val="130"/>
                    <w:jc w:val="both"/>
                    <w:rPr>
                      <w:lang w:val="en-US" w:eastAsia="zh-CN"/>
                    </w:rPr>
                  </w:pPr>
                  <w:r>
                    <w:t>c采用气相平衡系统。</w:t>
                  </w:r>
                </w:p>
              </w:tc>
              <w:tc>
                <w:tcPr>
                  <w:tcW w:w="361" w:type="pct"/>
                  <w:vAlign w:val="center"/>
                </w:tcPr>
                <w:p w14:paraId="34A39756">
                  <w:pPr>
                    <w:pStyle w:val="130"/>
                    <w:rPr>
                      <w:lang w:val="en-US" w:eastAsia="zh-CN"/>
                    </w:rPr>
                  </w:pPr>
                  <w:r>
                    <w:rPr>
                      <w:rFonts w:hAnsi="宋体"/>
                      <w:lang w:val="en-US" w:eastAsia="zh-CN"/>
                    </w:rPr>
                    <w:t>符合</w:t>
                  </w:r>
                </w:p>
              </w:tc>
            </w:tr>
            <w:tr w14:paraId="363A85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continue"/>
                  <w:vAlign w:val="center"/>
                </w:tcPr>
                <w:p w14:paraId="269AFA1C">
                  <w:pPr>
                    <w:pStyle w:val="130"/>
                    <w:rPr>
                      <w:lang w:val="en-US" w:eastAsia="zh-CN"/>
                    </w:rPr>
                  </w:pPr>
                </w:p>
              </w:tc>
              <w:tc>
                <w:tcPr>
                  <w:tcW w:w="2000" w:type="pct"/>
                  <w:vAlign w:val="center"/>
                </w:tcPr>
                <w:p w14:paraId="3214B5B7">
                  <w:pPr>
                    <w:pStyle w:val="130"/>
                    <w:rPr>
                      <w:lang w:val="en-US" w:eastAsia="zh-CN"/>
                    </w:rPr>
                  </w:pPr>
                  <w:r>
                    <w:rPr>
                      <w:rFonts w:hAnsi="宋体"/>
                      <w:lang w:val="en-US" w:eastAsia="zh-CN"/>
                    </w:rPr>
                    <w:t>实施废气分类收集处理。优先选用冷凝、吸附再生等回收技术；难以回收的，宜选用燃烧、吸附浓缩</w:t>
                  </w:r>
                  <w:r>
                    <w:rPr>
                      <w:lang w:val="en-US" w:eastAsia="zh-CN"/>
                    </w:rPr>
                    <w:t>+</w:t>
                  </w:r>
                  <w:r>
                    <w:rPr>
                      <w:rFonts w:hAnsi="宋体"/>
                      <w:lang w:val="en-US" w:eastAsia="zh-CN"/>
                    </w:rPr>
                    <w:t>燃烧等高效治理技术。水溶性、酸碱</w:t>
                  </w:r>
                  <w:r>
                    <w:rPr>
                      <w:lang w:val="en-US" w:eastAsia="zh-CN"/>
                    </w:rPr>
                    <w:t>VOCs</w:t>
                  </w:r>
                  <w:r>
                    <w:rPr>
                      <w:rFonts w:hAnsi="宋体"/>
                      <w:lang w:val="en-US" w:eastAsia="zh-CN"/>
                    </w:rPr>
                    <w:t>废气宜选用多级化学吸收等处理技术。恶臭类废气还应进一步加强除臭处理。</w:t>
                  </w:r>
                </w:p>
              </w:tc>
              <w:tc>
                <w:tcPr>
                  <w:tcW w:w="2340" w:type="pct"/>
                  <w:vAlign w:val="center"/>
                </w:tcPr>
                <w:p w14:paraId="76C47CA3">
                  <w:pPr>
                    <w:pStyle w:val="130"/>
                    <w:rPr>
                      <w:lang w:val="en-US" w:eastAsia="zh-CN"/>
                    </w:rPr>
                  </w:pPr>
                  <w:r>
                    <w:rPr>
                      <w:rFonts w:hAnsi="宋体"/>
                      <w:lang w:val="en-US" w:eastAsia="zh-CN"/>
                    </w:rPr>
                    <w:t>废气分类收集处理</w:t>
                  </w:r>
                  <w:r>
                    <w:rPr>
                      <w:rFonts w:hint="eastAsia" w:hAnsi="宋体"/>
                      <w:lang w:val="en-US" w:eastAsia="zh-CN"/>
                    </w:rPr>
                    <w:t>，THF废气采用</w:t>
                  </w:r>
                  <w:r>
                    <w:rPr>
                      <w:rFonts w:hAnsi="宋体"/>
                      <w:lang w:val="en-US" w:eastAsia="zh-CN"/>
                    </w:rPr>
                    <w:t>油气回收系统（三级深冷回收+硅胶吸附）。</w:t>
                  </w:r>
                  <w:r>
                    <w:rPr>
                      <w:rFonts w:hint="eastAsia" w:hAnsi="宋体"/>
                      <w:lang w:val="en-US" w:eastAsia="zh-CN"/>
                    </w:rPr>
                    <w:t>MA/BDO废气采用水洗塔+碱洗塔+活性炭吸附处理。</w:t>
                  </w:r>
                </w:p>
              </w:tc>
              <w:tc>
                <w:tcPr>
                  <w:tcW w:w="361" w:type="pct"/>
                  <w:vAlign w:val="center"/>
                </w:tcPr>
                <w:p w14:paraId="03ED4500">
                  <w:pPr>
                    <w:pStyle w:val="130"/>
                    <w:rPr>
                      <w:lang w:val="en-US" w:eastAsia="zh-CN"/>
                    </w:rPr>
                  </w:pPr>
                  <w:r>
                    <w:rPr>
                      <w:rFonts w:hAnsi="宋体"/>
                      <w:lang w:val="en-US" w:eastAsia="zh-CN"/>
                    </w:rPr>
                    <w:t>符合</w:t>
                  </w:r>
                </w:p>
              </w:tc>
            </w:tr>
            <w:tr w14:paraId="5D3BF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continue"/>
                  <w:vAlign w:val="center"/>
                </w:tcPr>
                <w:p w14:paraId="3465CE03">
                  <w:pPr>
                    <w:pStyle w:val="130"/>
                    <w:rPr>
                      <w:lang w:val="en-US" w:eastAsia="zh-CN"/>
                    </w:rPr>
                  </w:pPr>
                </w:p>
              </w:tc>
              <w:tc>
                <w:tcPr>
                  <w:tcW w:w="2000" w:type="pct"/>
                  <w:vAlign w:val="center"/>
                </w:tcPr>
                <w:p w14:paraId="389E25F2">
                  <w:pPr>
                    <w:pStyle w:val="130"/>
                    <w:rPr>
                      <w:lang w:val="en-US" w:eastAsia="zh-CN"/>
                    </w:rPr>
                  </w:pPr>
                  <w:r>
                    <w:rPr>
                      <w:rFonts w:hAnsi="宋体"/>
                      <w:lang w:val="en-US" w:eastAsia="zh-CN"/>
                    </w:rPr>
                    <w:t>加强非正常工况废气排放控制。退料、吹扫、清洗等过程应加强含</w:t>
                  </w:r>
                  <w:r>
                    <w:rPr>
                      <w:lang w:val="en-US" w:eastAsia="zh-CN"/>
                    </w:rPr>
                    <w:t>VOCs</w:t>
                  </w:r>
                  <w:r>
                    <w:rPr>
                      <w:rFonts w:hAnsi="宋体"/>
                      <w:lang w:val="en-US" w:eastAsia="zh-CN"/>
                    </w:rPr>
                    <w:t>物料回收工作，产生的</w:t>
                  </w:r>
                  <w:r>
                    <w:rPr>
                      <w:lang w:val="en-US" w:eastAsia="zh-CN"/>
                    </w:rPr>
                    <w:t>VOCs</w:t>
                  </w:r>
                  <w:r>
                    <w:rPr>
                      <w:rFonts w:hAnsi="宋体"/>
                      <w:lang w:val="en-US" w:eastAsia="zh-CN"/>
                    </w:rPr>
                    <w:t>废气要加大收集处理力度。</w:t>
                  </w:r>
                </w:p>
              </w:tc>
              <w:tc>
                <w:tcPr>
                  <w:tcW w:w="2340" w:type="pct"/>
                  <w:vAlign w:val="center"/>
                </w:tcPr>
                <w:p w14:paraId="4FF7F85E">
                  <w:pPr>
                    <w:pStyle w:val="130"/>
                    <w:rPr>
                      <w:lang w:val="en-US" w:eastAsia="zh-CN"/>
                    </w:rPr>
                  </w:pPr>
                  <w:r>
                    <w:rPr>
                      <w:rFonts w:hAnsi="宋体"/>
                      <w:lang w:val="en-US" w:eastAsia="zh-CN"/>
                    </w:rPr>
                    <w:t>退料、吹扫、清洗等过程</w:t>
                  </w:r>
                  <w:r>
                    <w:rPr>
                      <w:rFonts w:hint="eastAsia" w:hAnsi="宋体"/>
                      <w:lang w:val="en-US" w:eastAsia="zh-CN"/>
                    </w:rPr>
                    <w:t>含</w:t>
                  </w:r>
                  <w:r>
                    <w:rPr>
                      <w:lang w:val="en-US" w:eastAsia="zh-CN"/>
                    </w:rPr>
                    <w:t>VOCs</w:t>
                  </w:r>
                  <w:r>
                    <w:rPr>
                      <w:rFonts w:hint="eastAsia" w:hAnsi="宋体"/>
                      <w:lang w:val="en-US" w:eastAsia="zh-CN"/>
                    </w:rPr>
                    <w:t>送至对应的废气处理装置处理</w:t>
                  </w:r>
                  <w:r>
                    <w:rPr>
                      <w:rFonts w:hAnsi="宋体"/>
                      <w:lang w:val="en-US" w:eastAsia="zh-CN"/>
                    </w:rPr>
                    <w:t>。</w:t>
                  </w:r>
                </w:p>
              </w:tc>
              <w:tc>
                <w:tcPr>
                  <w:tcW w:w="361" w:type="pct"/>
                  <w:vAlign w:val="center"/>
                </w:tcPr>
                <w:p w14:paraId="240F166E">
                  <w:pPr>
                    <w:pStyle w:val="130"/>
                    <w:rPr>
                      <w:lang w:val="en-US" w:eastAsia="zh-CN"/>
                    </w:rPr>
                  </w:pPr>
                  <w:r>
                    <w:rPr>
                      <w:rFonts w:hAnsi="宋体"/>
                      <w:lang w:val="en-US" w:eastAsia="zh-CN"/>
                    </w:rPr>
                    <w:t>符合</w:t>
                  </w:r>
                </w:p>
              </w:tc>
            </w:tr>
          </w:tbl>
          <w:p w14:paraId="53129520">
            <w:pPr>
              <w:pStyle w:val="68"/>
              <w:ind w:firstLine="480"/>
              <w:rPr>
                <w:kern w:val="2"/>
                <w:sz w:val="24"/>
                <w:szCs w:val="24"/>
                <w:lang w:val="en-US" w:eastAsia="zh-CN"/>
              </w:rPr>
            </w:pPr>
          </w:p>
          <w:p w14:paraId="546957D8">
            <w:pPr>
              <w:pStyle w:val="68"/>
              <w:ind w:firstLine="480"/>
              <w:rPr>
                <w:kern w:val="2"/>
                <w:sz w:val="24"/>
                <w:szCs w:val="24"/>
                <w:lang w:val="en-US" w:eastAsia="zh-CN"/>
              </w:rPr>
            </w:pPr>
          </w:p>
          <w:p w14:paraId="3E204B18">
            <w:pPr>
              <w:pStyle w:val="68"/>
              <w:ind w:firstLine="480"/>
              <w:rPr>
                <w:kern w:val="2"/>
                <w:sz w:val="24"/>
                <w:szCs w:val="24"/>
                <w:lang w:val="en-US" w:eastAsia="zh-CN"/>
              </w:rPr>
            </w:pPr>
          </w:p>
          <w:p w14:paraId="07DA1CB5">
            <w:pPr>
              <w:pStyle w:val="68"/>
              <w:ind w:firstLine="480"/>
              <w:rPr>
                <w:kern w:val="2"/>
                <w:sz w:val="24"/>
                <w:szCs w:val="24"/>
                <w:lang w:val="en-US" w:eastAsia="zh-CN"/>
              </w:rPr>
            </w:pPr>
          </w:p>
          <w:p w14:paraId="35395D8C">
            <w:pPr>
              <w:pStyle w:val="68"/>
              <w:ind w:firstLine="480"/>
              <w:rPr>
                <w:kern w:val="2"/>
                <w:sz w:val="24"/>
                <w:szCs w:val="24"/>
                <w:lang w:val="en-US" w:eastAsia="zh-CN"/>
              </w:rPr>
            </w:pPr>
          </w:p>
          <w:p w14:paraId="2E7F0D26">
            <w:pPr>
              <w:pStyle w:val="68"/>
              <w:ind w:firstLine="480"/>
              <w:rPr>
                <w:kern w:val="2"/>
                <w:sz w:val="24"/>
                <w:szCs w:val="24"/>
                <w:lang w:val="en-US" w:eastAsia="zh-CN"/>
              </w:rPr>
            </w:pPr>
          </w:p>
          <w:p w14:paraId="7F41E87B">
            <w:pPr>
              <w:pStyle w:val="68"/>
              <w:ind w:firstLine="480"/>
              <w:rPr>
                <w:kern w:val="2"/>
                <w:sz w:val="24"/>
                <w:szCs w:val="24"/>
                <w:lang w:val="en-US" w:eastAsia="zh-CN"/>
              </w:rPr>
            </w:pPr>
          </w:p>
          <w:p w14:paraId="0FE38219">
            <w:pPr>
              <w:pStyle w:val="68"/>
              <w:ind w:firstLine="480"/>
              <w:rPr>
                <w:kern w:val="2"/>
                <w:sz w:val="24"/>
                <w:szCs w:val="24"/>
                <w:lang w:val="en-US" w:eastAsia="zh-CN"/>
              </w:rPr>
            </w:pPr>
            <w:r>
              <w:rPr>
                <w:rFonts w:hint="eastAsia"/>
                <w:kern w:val="2"/>
                <w:sz w:val="24"/>
                <w:szCs w:val="24"/>
                <w:lang w:val="en-US" w:eastAsia="zh-CN"/>
              </w:rPr>
              <w:t>表1.11-2与《</w:t>
            </w:r>
            <w:r>
              <w:rPr>
                <w:kern w:val="2"/>
                <w:sz w:val="24"/>
                <w:szCs w:val="24"/>
                <w:lang w:val="en-US" w:eastAsia="zh-CN"/>
              </w:rPr>
              <w:t>挥发性有机物</w:t>
            </w:r>
            <w:r>
              <w:rPr>
                <w:rFonts w:hint="eastAsia"/>
                <w:kern w:val="2"/>
                <w:sz w:val="24"/>
                <w:szCs w:val="24"/>
                <w:lang w:val="en-US" w:eastAsia="zh-CN"/>
              </w:rPr>
              <w:t>（VOCs）</w:t>
            </w:r>
            <w:r>
              <w:rPr>
                <w:kern w:val="2"/>
                <w:sz w:val="24"/>
                <w:szCs w:val="24"/>
                <w:lang w:val="en-US" w:eastAsia="zh-CN"/>
              </w:rPr>
              <w:t>污染防治技术政策</w:t>
            </w:r>
            <w:r>
              <w:rPr>
                <w:rFonts w:hint="eastAsia"/>
                <w:kern w:val="2"/>
                <w:sz w:val="24"/>
                <w:szCs w:val="24"/>
                <w:lang w:val="en-US" w:eastAsia="zh-CN"/>
              </w:rPr>
              <w:t>》的符合性分析</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44"/>
              <w:gridCol w:w="4985"/>
            </w:tblGrid>
            <w:tr w14:paraId="0C022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1F8AFF05">
                  <w:pPr>
                    <w:pStyle w:val="184"/>
                    <w:ind w:firstLine="420"/>
                    <w:rPr>
                      <w:kern w:val="2"/>
                      <w:sz w:val="21"/>
                      <w:lang w:val="en-US" w:eastAsia="zh-CN"/>
                    </w:rPr>
                  </w:pPr>
                  <w:r>
                    <w:rPr>
                      <w:kern w:val="2"/>
                      <w:sz w:val="21"/>
                      <w:lang w:val="en-US" w:eastAsia="zh-CN"/>
                    </w:rPr>
                    <w:t>《挥发性有机物污染防治技术政策》的相关要求</w:t>
                  </w:r>
                </w:p>
              </w:tc>
              <w:tc>
                <w:tcPr>
                  <w:tcW w:w="4985" w:type="dxa"/>
                  <w:vAlign w:val="center"/>
                </w:tcPr>
                <w:p w14:paraId="3A5AA00F">
                  <w:pPr>
                    <w:pStyle w:val="184"/>
                    <w:ind w:firstLine="420"/>
                    <w:rPr>
                      <w:kern w:val="2"/>
                      <w:sz w:val="21"/>
                      <w:lang w:val="en-US" w:eastAsia="zh-CN"/>
                    </w:rPr>
                  </w:pPr>
                  <w:r>
                    <w:rPr>
                      <w:kern w:val="2"/>
                      <w:sz w:val="21"/>
                      <w:lang w:val="en-US" w:eastAsia="zh-CN"/>
                    </w:rPr>
                    <w:t>本项目落实情况</w:t>
                  </w:r>
                </w:p>
              </w:tc>
            </w:tr>
            <w:tr w14:paraId="3F3E1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2235D062">
                  <w:pPr>
                    <w:pStyle w:val="184"/>
                    <w:ind w:firstLine="420"/>
                    <w:rPr>
                      <w:kern w:val="2"/>
                      <w:sz w:val="21"/>
                      <w:lang w:val="en-US" w:eastAsia="zh-CN"/>
                    </w:rPr>
                  </w:pPr>
                  <w:r>
                    <w:rPr>
                      <w:kern w:val="2"/>
                      <w:sz w:val="21"/>
                      <w:lang w:val="en-US" w:eastAsia="zh-CN"/>
                    </w:rPr>
                    <w:t>对泵、压缩机、阀门、法兰等易发生泄漏的设备与管线组件，制定泄漏检测与修复（LDAR）计划，定期检测</w:t>
                  </w:r>
                  <w:r>
                    <w:rPr>
                      <w:rFonts w:hint="eastAsia"/>
                      <w:kern w:val="2"/>
                      <w:sz w:val="21"/>
                      <w:lang w:val="en-US" w:eastAsia="zh-CN"/>
                    </w:rPr>
                    <w:t>及</w:t>
                  </w:r>
                  <w:r>
                    <w:rPr>
                      <w:kern w:val="2"/>
                      <w:sz w:val="21"/>
                      <w:lang w:val="en-US" w:eastAsia="zh-CN"/>
                    </w:rPr>
                    <w:t>时修复，防止或减少跑、冒、滴、漏现象</w:t>
                  </w:r>
                </w:p>
              </w:tc>
              <w:tc>
                <w:tcPr>
                  <w:tcW w:w="4985" w:type="dxa"/>
                  <w:vAlign w:val="center"/>
                </w:tcPr>
                <w:p w14:paraId="28D8E2CE">
                  <w:pPr>
                    <w:pStyle w:val="184"/>
                    <w:ind w:firstLine="420"/>
                    <w:rPr>
                      <w:kern w:val="2"/>
                      <w:sz w:val="21"/>
                      <w:lang w:val="en-US" w:eastAsia="zh-CN"/>
                    </w:rPr>
                  </w:pPr>
                  <w:r>
                    <w:rPr>
                      <w:kern w:val="2"/>
                      <w:sz w:val="21"/>
                      <w:lang w:val="en-US" w:eastAsia="zh-CN"/>
                    </w:rPr>
                    <w:t>拟采取泄漏检测与修复（LDAR）措施。</w:t>
                  </w:r>
                </w:p>
              </w:tc>
            </w:tr>
            <w:tr w14:paraId="7799C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1189BFE8">
                  <w:pPr>
                    <w:pStyle w:val="184"/>
                    <w:ind w:firstLine="420"/>
                    <w:rPr>
                      <w:kern w:val="2"/>
                      <w:sz w:val="21"/>
                      <w:lang w:val="en-US" w:eastAsia="zh-CN"/>
                    </w:rPr>
                  </w:pPr>
                  <w:r>
                    <w:rPr>
                      <w:kern w:val="2"/>
                      <w:sz w:val="21"/>
                      <w:lang w:val="en-US" w:eastAsia="zh-CN"/>
                    </w:rPr>
                    <w:t>对生产装置排放的含VOCs工艺排气宜优先回收利用，不能（或不能完全）回收利用的经处理后达标排放；应急情况下的泄放气可导入燃烧塔（火炬），经过充分燃烧后排放</w:t>
                  </w:r>
                </w:p>
              </w:tc>
              <w:tc>
                <w:tcPr>
                  <w:tcW w:w="4985" w:type="dxa"/>
                  <w:vAlign w:val="center"/>
                </w:tcPr>
                <w:p w14:paraId="63E70C70">
                  <w:pPr>
                    <w:pStyle w:val="184"/>
                    <w:ind w:firstLine="420"/>
                    <w:rPr>
                      <w:kern w:val="2"/>
                      <w:sz w:val="21"/>
                      <w:lang w:val="en-US" w:eastAsia="zh-CN"/>
                    </w:rPr>
                  </w:pPr>
                  <w:r>
                    <w:rPr>
                      <w:kern w:val="2"/>
                      <w:sz w:val="21"/>
                      <w:lang w:val="en-US" w:eastAsia="zh-CN"/>
                    </w:rPr>
                    <w:t>含VOCs工艺排气优先冷凝回收利用，不能（或不能完全）回收利用的经处理后达标排放</w:t>
                  </w:r>
                  <w:r>
                    <w:rPr>
                      <w:rFonts w:hint="eastAsia"/>
                      <w:kern w:val="2"/>
                      <w:sz w:val="21"/>
                      <w:lang w:val="en-US" w:eastAsia="zh-CN"/>
                    </w:rPr>
                    <w:t>。</w:t>
                  </w:r>
                </w:p>
              </w:tc>
            </w:tr>
            <w:tr w14:paraId="0C017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8344" w:type="dxa"/>
                  <w:vAlign w:val="center"/>
                </w:tcPr>
                <w:p w14:paraId="2E8E1B4D">
                  <w:pPr>
                    <w:pStyle w:val="184"/>
                    <w:ind w:firstLine="420"/>
                    <w:rPr>
                      <w:kern w:val="2"/>
                      <w:sz w:val="21"/>
                      <w:lang w:val="en-US" w:eastAsia="zh-CN"/>
                    </w:rPr>
                  </w:pPr>
                  <w:r>
                    <w:rPr>
                      <w:kern w:val="2"/>
                      <w:sz w:val="21"/>
                      <w:lang w:val="en-US" w:eastAsia="zh-CN"/>
                    </w:rPr>
                    <w:t>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4985" w:type="dxa"/>
                  <w:vAlign w:val="center"/>
                </w:tcPr>
                <w:p w14:paraId="14281EC8">
                  <w:pPr>
                    <w:pStyle w:val="184"/>
                    <w:ind w:firstLine="420"/>
                    <w:rPr>
                      <w:kern w:val="2"/>
                      <w:sz w:val="21"/>
                      <w:lang w:val="en-US" w:eastAsia="zh-CN"/>
                    </w:rPr>
                  </w:pPr>
                  <w:r>
                    <w:rPr>
                      <w:rFonts w:hint="eastAsia"/>
                      <w:kern w:val="2"/>
                      <w:sz w:val="21"/>
                      <w:lang w:val="en-US" w:eastAsia="zh-CN"/>
                    </w:rPr>
                    <w:t>扩建项目产生的THF废气</w:t>
                  </w:r>
                  <w:r>
                    <w:rPr>
                      <w:kern w:val="2"/>
                      <w:sz w:val="21"/>
                      <w:lang w:val="en-US" w:eastAsia="zh-CN"/>
                    </w:rPr>
                    <w:t>采用油气回收系统（三级深冷回收+硅胶吸附）</w:t>
                  </w:r>
                  <w:r>
                    <w:rPr>
                      <w:rFonts w:hint="eastAsia"/>
                      <w:kern w:val="2"/>
                      <w:sz w:val="21"/>
                      <w:lang w:val="en-US" w:eastAsia="zh-CN"/>
                    </w:rPr>
                    <w:t>处理</w:t>
                  </w:r>
                  <w:r>
                    <w:rPr>
                      <w:kern w:val="2"/>
                      <w:sz w:val="21"/>
                      <w:lang w:val="en-US" w:eastAsia="zh-CN"/>
                    </w:rPr>
                    <w:t>达标</w:t>
                  </w:r>
                  <w:r>
                    <w:rPr>
                      <w:rFonts w:hint="eastAsia"/>
                      <w:kern w:val="2"/>
                      <w:sz w:val="21"/>
                      <w:lang w:val="en-US" w:eastAsia="zh-CN"/>
                    </w:rPr>
                    <w:t>后</w:t>
                  </w:r>
                  <w:r>
                    <w:rPr>
                      <w:kern w:val="2"/>
                      <w:sz w:val="21"/>
                      <w:lang w:val="en-US" w:eastAsia="zh-CN"/>
                    </w:rPr>
                    <w:t>排放。</w:t>
                  </w:r>
                  <w:r>
                    <w:rPr>
                      <w:rFonts w:hint="eastAsia"/>
                      <w:kern w:val="2"/>
                      <w:sz w:val="21"/>
                      <w:lang w:val="en-US" w:eastAsia="zh-CN"/>
                    </w:rPr>
                    <w:t>MA/BDO废气采用水洗塔+碱洗塔+活性炭吸附处理达标后排放。</w:t>
                  </w:r>
                </w:p>
              </w:tc>
            </w:tr>
            <w:tr w14:paraId="4CAE2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334D214B">
                  <w:pPr>
                    <w:pStyle w:val="184"/>
                    <w:ind w:firstLine="420"/>
                    <w:rPr>
                      <w:kern w:val="2"/>
                      <w:sz w:val="21"/>
                      <w:lang w:val="en-US" w:eastAsia="zh-CN"/>
                    </w:rPr>
                  </w:pPr>
                  <w:r>
                    <w:rPr>
                      <w:kern w:val="2"/>
                      <w:sz w:val="21"/>
                      <w:lang w:val="en-US" w:eastAsia="zh-CN"/>
                    </w:rPr>
                    <w:t>严格控制VOCs处理过程中二次污染，对于催化燃烧和热力焚烧产生的含硫、氮、氯等无机废气，以及吸附、吸收、冷凝、生物等治理过程中所产生的含有机物废水处理后达标排放</w:t>
                  </w:r>
                </w:p>
              </w:tc>
              <w:tc>
                <w:tcPr>
                  <w:tcW w:w="4985" w:type="dxa"/>
                  <w:vAlign w:val="center"/>
                </w:tcPr>
                <w:p w14:paraId="041B0B49">
                  <w:pPr>
                    <w:pStyle w:val="184"/>
                    <w:ind w:firstLine="420"/>
                    <w:rPr>
                      <w:kern w:val="2"/>
                      <w:sz w:val="21"/>
                      <w:lang w:val="en-US" w:eastAsia="zh-CN"/>
                    </w:rPr>
                  </w:pPr>
                  <w:r>
                    <w:rPr>
                      <w:rFonts w:hint="eastAsia"/>
                      <w:kern w:val="2"/>
                      <w:sz w:val="21"/>
                      <w:lang w:val="en-US" w:eastAsia="zh-CN"/>
                    </w:rPr>
                    <w:t>扩建项目</w:t>
                  </w:r>
                  <w:r>
                    <w:rPr>
                      <w:kern w:val="2"/>
                      <w:sz w:val="21"/>
                      <w:lang w:val="en-US" w:eastAsia="zh-CN"/>
                    </w:rPr>
                    <w:t>有机废气采用吸附、吸收、冷凝方式处理达标后排放。治理过程中所产生的</w:t>
                  </w:r>
                  <w:r>
                    <w:rPr>
                      <w:sz w:val="21"/>
                    </w:rPr>
                    <w:t>BDO/MA储罐废气水洗/碱洗废水送至</w:t>
                  </w:r>
                  <w:r>
                    <w:rPr>
                      <w:rFonts w:hint="eastAsia"/>
                      <w:sz w:val="21"/>
                    </w:rPr>
                    <w:t>福州万景石化有限公司污水处理站，</w:t>
                  </w:r>
                  <w:r>
                    <w:rPr>
                      <w:sz w:val="21"/>
                    </w:rPr>
                    <w:t>处理达到江阴工业集中区污水处理厂纳管标准后，排入江阴工业集中区污水处理厂进一步处理</w:t>
                  </w:r>
                  <w:r>
                    <w:rPr>
                      <w:rFonts w:hint="eastAsia"/>
                      <w:sz w:val="21"/>
                      <w:lang w:eastAsia="zh-CN"/>
                    </w:rPr>
                    <w:t>。</w:t>
                  </w:r>
                </w:p>
              </w:tc>
            </w:tr>
            <w:tr w14:paraId="44EFE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55EB0008">
                  <w:pPr>
                    <w:pStyle w:val="184"/>
                    <w:ind w:firstLine="420"/>
                    <w:rPr>
                      <w:kern w:val="2"/>
                      <w:sz w:val="21"/>
                      <w:lang w:val="en-US" w:eastAsia="zh-CN"/>
                    </w:rPr>
                  </w:pPr>
                  <w:r>
                    <w:rPr>
                      <w:kern w:val="2"/>
                      <w:sz w:val="21"/>
                      <w:lang w:val="en-US" w:eastAsia="zh-CN"/>
                    </w:rPr>
                    <w:t>不能再生的过滤材料、吸附剂及催化剂等净化材料，应按照国家固废管理的相关规定处理处置</w:t>
                  </w:r>
                </w:p>
              </w:tc>
              <w:tc>
                <w:tcPr>
                  <w:tcW w:w="4985" w:type="dxa"/>
                  <w:vAlign w:val="center"/>
                </w:tcPr>
                <w:p w14:paraId="4EFBBC69">
                  <w:pPr>
                    <w:pStyle w:val="184"/>
                    <w:ind w:firstLine="420"/>
                    <w:rPr>
                      <w:kern w:val="2"/>
                      <w:sz w:val="21"/>
                      <w:lang w:val="en-US" w:eastAsia="zh-CN"/>
                    </w:rPr>
                  </w:pPr>
                  <w:r>
                    <w:rPr>
                      <w:rFonts w:hint="eastAsia"/>
                      <w:kern w:val="2"/>
                      <w:sz w:val="21"/>
                      <w:lang w:val="en-US" w:eastAsia="zh-CN"/>
                    </w:rPr>
                    <w:t>吸附过程中产生的废活性炭、废硅胶</w:t>
                  </w:r>
                  <w:r>
                    <w:rPr>
                      <w:kern w:val="2"/>
                      <w:sz w:val="21"/>
                      <w:lang w:val="en-US" w:eastAsia="zh-CN"/>
                    </w:rPr>
                    <w:t>，按照</w:t>
                  </w:r>
                  <w:r>
                    <w:rPr>
                      <w:rFonts w:hint="eastAsia"/>
                      <w:kern w:val="2"/>
                      <w:sz w:val="21"/>
                      <w:lang w:val="en-US" w:eastAsia="zh-CN"/>
                    </w:rPr>
                    <w:t>危险废物的相</w:t>
                  </w:r>
                  <w:r>
                    <w:rPr>
                      <w:kern w:val="2"/>
                      <w:sz w:val="21"/>
                      <w:lang w:val="en-US" w:eastAsia="zh-CN"/>
                    </w:rPr>
                    <w:t>关规定处理处置。</w:t>
                  </w:r>
                </w:p>
              </w:tc>
            </w:tr>
            <w:tr w14:paraId="1D9D0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12A83D45">
                  <w:pPr>
                    <w:pStyle w:val="184"/>
                    <w:ind w:firstLine="420"/>
                    <w:rPr>
                      <w:kern w:val="2"/>
                      <w:sz w:val="21"/>
                      <w:lang w:val="en-US" w:eastAsia="zh-CN"/>
                    </w:rPr>
                  </w:pPr>
                  <w:r>
                    <w:rPr>
                      <w:kern w:val="2"/>
                      <w:sz w:val="21"/>
                      <w:lang w:val="en-US" w:eastAsia="zh-CN"/>
                    </w:rPr>
                    <w:t>鼓励企业自行开展VOCs监测，并及时主动向当地环保行政主管部门报送监测结果</w:t>
                  </w:r>
                </w:p>
              </w:tc>
              <w:tc>
                <w:tcPr>
                  <w:tcW w:w="4985" w:type="dxa"/>
                  <w:vAlign w:val="center"/>
                </w:tcPr>
                <w:p w14:paraId="74F3265C">
                  <w:pPr>
                    <w:pStyle w:val="184"/>
                    <w:ind w:firstLine="420"/>
                    <w:rPr>
                      <w:kern w:val="2"/>
                      <w:sz w:val="21"/>
                      <w:lang w:val="en-US" w:eastAsia="zh-CN"/>
                    </w:rPr>
                  </w:pPr>
                  <w:r>
                    <w:rPr>
                      <w:kern w:val="2"/>
                      <w:sz w:val="21"/>
                      <w:lang w:val="en-US" w:eastAsia="zh-CN"/>
                    </w:rPr>
                    <w:t>企业自行开展厂界VOCs监测，每</w:t>
                  </w:r>
                  <w:r>
                    <w:rPr>
                      <w:rFonts w:hint="eastAsia"/>
                      <w:kern w:val="2"/>
                      <w:sz w:val="21"/>
                      <w:lang w:val="en-US" w:eastAsia="zh-CN"/>
                    </w:rPr>
                    <w:t>季度</w:t>
                  </w:r>
                  <w:r>
                    <w:rPr>
                      <w:kern w:val="2"/>
                      <w:sz w:val="21"/>
                      <w:lang w:val="en-US" w:eastAsia="zh-CN"/>
                    </w:rPr>
                    <w:t>监测1次，并及时主动向当地环保行政主管部门报送监测结果。</w:t>
                  </w:r>
                </w:p>
              </w:tc>
            </w:tr>
            <w:tr w14:paraId="6CC46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4" w:type="dxa"/>
                  <w:vAlign w:val="center"/>
                </w:tcPr>
                <w:p w14:paraId="7C94D568">
                  <w:pPr>
                    <w:pStyle w:val="184"/>
                    <w:ind w:firstLine="420"/>
                    <w:rPr>
                      <w:kern w:val="2"/>
                      <w:sz w:val="21"/>
                      <w:lang w:val="en-US" w:eastAsia="zh-CN"/>
                    </w:rPr>
                  </w:pPr>
                  <w:r>
                    <w:rPr>
                      <w:kern w:val="2"/>
                      <w:sz w:val="21"/>
                      <w:lang w:val="en-US" w:eastAsia="zh-CN"/>
                    </w:rPr>
                    <w:t>企业应建立健全VOCs治理设施的运行维护规程和</w:t>
                  </w:r>
                  <w:r>
                    <w:rPr>
                      <w:rFonts w:hint="eastAsia"/>
                      <w:kern w:val="2"/>
                      <w:sz w:val="21"/>
                      <w:lang w:val="en-US" w:eastAsia="zh-CN"/>
                    </w:rPr>
                    <w:t>台账</w:t>
                  </w:r>
                  <w:r>
                    <w:rPr>
                      <w:kern w:val="2"/>
                      <w:sz w:val="21"/>
                      <w:lang w:val="en-US" w:eastAsia="zh-CN"/>
                    </w:rPr>
                    <w:t>等日常管理制度，并根据工艺要求定期对各类设备、电气、自控仪表等进行检修维护，确保设施的稳定运行</w:t>
                  </w:r>
                </w:p>
              </w:tc>
              <w:tc>
                <w:tcPr>
                  <w:tcW w:w="4985" w:type="dxa"/>
                  <w:vAlign w:val="center"/>
                </w:tcPr>
                <w:p w14:paraId="7E7B43A8">
                  <w:pPr>
                    <w:pStyle w:val="184"/>
                    <w:ind w:firstLine="420"/>
                    <w:rPr>
                      <w:kern w:val="2"/>
                      <w:sz w:val="21"/>
                      <w:lang w:val="en-US" w:eastAsia="zh-CN"/>
                    </w:rPr>
                  </w:pPr>
                  <w:r>
                    <w:rPr>
                      <w:kern w:val="2"/>
                      <w:sz w:val="21"/>
                      <w:lang w:val="en-US" w:eastAsia="zh-CN"/>
                    </w:rPr>
                    <w:t>建立健全VOCs治理设施的运行维护规程和</w:t>
                  </w:r>
                  <w:r>
                    <w:rPr>
                      <w:rFonts w:hint="eastAsia"/>
                      <w:kern w:val="2"/>
                      <w:sz w:val="21"/>
                      <w:lang w:val="en-US" w:eastAsia="zh-CN"/>
                    </w:rPr>
                    <w:t>台账</w:t>
                  </w:r>
                  <w:r>
                    <w:rPr>
                      <w:kern w:val="2"/>
                      <w:sz w:val="21"/>
                      <w:lang w:val="en-US" w:eastAsia="zh-CN"/>
                    </w:rPr>
                    <w:t>等日常管理制度，并根据工艺要求定期对各类设备、电气、自控仪表等进行检修维护，确保设施的稳定运行。</w:t>
                  </w:r>
                </w:p>
              </w:tc>
            </w:tr>
            <w:tr w14:paraId="0187C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4" w:type="dxa"/>
                  <w:vAlign w:val="center"/>
                </w:tcPr>
                <w:p w14:paraId="37DE3654">
                  <w:pPr>
                    <w:pStyle w:val="184"/>
                    <w:ind w:firstLine="420"/>
                    <w:rPr>
                      <w:kern w:val="2"/>
                      <w:sz w:val="21"/>
                      <w:lang w:val="en-US" w:eastAsia="zh-CN"/>
                    </w:rPr>
                  </w:pPr>
                  <w:r>
                    <w:rPr>
                      <w:kern w:val="2"/>
                      <w:sz w:val="21"/>
                      <w:lang w:val="en-US" w:eastAsia="zh-CN"/>
                    </w:rPr>
                    <w:t>当采用吸附回收（浓缩）、催化燃烧、热力焚烧、等离子体等方法进行末端治理时，应编制本单位事故火灾、爆炸等应急救援预案，配备应急救援人员和器材，并开展应急演练</w:t>
                  </w:r>
                </w:p>
              </w:tc>
              <w:tc>
                <w:tcPr>
                  <w:tcW w:w="4985" w:type="dxa"/>
                  <w:vAlign w:val="center"/>
                </w:tcPr>
                <w:p w14:paraId="4DF3FC18">
                  <w:pPr>
                    <w:pStyle w:val="184"/>
                    <w:ind w:firstLine="420"/>
                    <w:rPr>
                      <w:kern w:val="2"/>
                      <w:sz w:val="21"/>
                      <w:lang w:val="en-US" w:eastAsia="zh-CN"/>
                    </w:rPr>
                  </w:pPr>
                  <w:r>
                    <w:rPr>
                      <w:kern w:val="2"/>
                      <w:sz w:val="21"/>
                      <w:lang w:val="en-US" w:eastAsia="zh-CN"/>
                    </w:rPr>
                    <w:t>针对</w:t>
                  </w:r>
                  <w:r>
                    <w:rPr>
                      <w:rFonts w:hint="eastAsia"/>
                      <w:kern w:val="2"/>
                      <w:sz w:val="21"/>
                      <w:lang w:val="en-US" w:eastAsia="zh-CN"/>
                    </w:rPr>
                    <w:t>扩建</w:t>
                  </w:r>
                  <w:r>
                    <w:rPr>
                      <w:kern w:val="2"/>
                      <w:sz w:val="21"/>
                      <w:lang w:val="en-US" w:eastAsia="zh-CN"/>
                    </w:rPr>
                    <w:t>项目潜在的风险事故，</w:t>
                  </w:r>
                  <w:r>
                    <w:rPr>
                      <w:rFonts w:hint="eastAsia"/>
                      <w:kern w:val="2"/>
                      <w:sz w:val="21"/>
                      <w:lang w:val="en-US" w:eastAsia="zh-CN"/>
                    </w:rPr>
                    <w:t>扩建项目</w:t>
                  </w:r>
                  <w:r>
                    <w:rPr>
                      <w:kern w:val="2"/>
                      <w:sz w:val="21"/>
                      <w:lang w:val="en-US" w:eastAsia="zh-CN"/>
                    </w:rPr>
                    <w:t>投入生产前应</w:t>
                  </w:r>
                  <w:r>
                    <w:rPr>
                      <w:rFonts w:hint="eastAsia"/>
                      <w:kern w:val="2"/>
                      <w:sz w:val="21"/>
                      <w:lang w:val="en-US" w:eastAsia="zh-CN"/>
                    </w:rPr>
                    <w:t>修编</w:t>
                  </w:r>
                  <w:r>
                    <w:rPr>
                      <w:kern w:val="2"/>
                      <w:sz w:val="21"/>
                      <w:lang w:val="en-US" w:eastAsia="zh-CN"/>
                    </w:rPr>
                    <w:t>应急预案，并与工业集中区联动衔接，配备应急救援人员和器材，并开展应急演练。</w:t>
                  </w:r>
                </w:p>
              </w:tc>
            </w:tr>
          </w:tbl>
          <w:p w14:paraId="15590BC1">
            <w:pPr>
              <w:ind w:firstLine="480"/>
            </w:pPr>
          </w:p>
        </w:tc>
      </w:tr>
    </w:tbl>
    <w:p w14:paraId="3832DAC9">
      <w:pPr>
        <w:pStyle w:val="6"/>
        <w:spacing w:before="120" w:beforeAutospacing="0"/>
        <w:sectPr>
          <w:footerReference r:id="rId23" w:type="default"/>
          <w:pgSz w:w="16838" w:h="11905" w:orient="landscape"/>
          <w:pgMar w:top="1417" w:right="1417" w:bottom="1417" w:left="1417" w:header="851" w:footer="850" w:gutter="0"/>
          <w:cols w:space="720" w:num="1"/>
          <w:docGrid w:linePitch="326" w:charSpace="0"/>
        </w:sectPr>
      </w:pPr>
    </w:p>
    <w:p w14:paraId="6B0585BE">
      <w:pPr>
        <w:pStyle w:val="6"/>
        <w:spacing w:before="120" w:beforeAutospacing="0"/>
      </w:pPr>
      <w:r>
        <w:t>二、建设项目工程分析</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764"/>
      </w:tblGrid>
      <w:tr w14:paraId="2B95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456" w:type="dxa"/>
            <w:vAlign w:val="center"/>
          </w:tcPr>
          <w:p w14:paraId="73BF0FC1">
            <w:pPr>
              <w:ind w:firstLine="0" w:firstLineChars="0"/>
            </w:pPr>
            <w:r>
              <w:t>建设内容</w:t>
            </w:r>
          </w:p>
        </w:tc>
        <w:tc>
          <w:tcPr>
            <w:tcW w:w="13764" w:type="dxa"/>
            <w:vAlign w:val="center"/>
          </w:tcPr>
          <w:p w14:paraId="060FBC44">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2.1、项目概况</w:t>
            </w:r>
          </w:p>
          <w:p w14:paraId="70D09956">
            <w:pPr>
              <w:ind w:firstLine="480"/>
              <w:rPr>
                <w:szCs w:val="22"/>
              </w:rPr>
            </w:pPr>
            <w:r>
              <w:rPr>
                <w:rFonts w:hint="eastAsia"/>
                <w:szCs w:val="22"/>
              </w:rPr>
              <w:t>码头罐区扩建主体工程包括化工品罐组一（MA储罐、BDO储罐）、化工品罐组二（THF储罐），码头罐区的主体工程、</w:t>
            </w:r>
            <w:r>
              <w:rPr>
                <w:szCs w:val="22"/>
              </w:rPr>
              <w:t>辅助工程、公用工程、环保工程</w:t>
            </w:r>
            <w:r>
              <w:rPr>
                <w:rFonts w:hint="eastAsia"/>
                <w:szCs w:val="22"/>
              </w:rPr>
              <w:t>、依托工程具体</w:t>
            </w:r>
            <w:r>
              <w:rPr>
                <w:szCs w:val="22"/>
              </w:rPr>
              <w:t>组成及建设内容见表</w:t>
            </w:r>
            <w:r>
              <w:rPr>
                <w:rFonts w:hint="eastAsia"/>
                <w:szCs w:val="22"/>
              </w:rPr>
              <w:t>2.1-1</w:t>
            </w:r>
            <w:r>
              <w:rPr>
                <w:szCs w:val="22"/>
              </w:rPr>
              <w:t>。</w:t>
            </w:r>
          </w:p>
          <w:p w14:paraId="3833D880">
            <w:pPr>
              <w:ind w:firstLine="480"/>
              <w:rPr>
                <w:szCs w:val="22"/>
              </w:rPr>
            </w:pPr>
            <w:r>
              <w:rPr>
                <w:rFonts w:hint="eastAsia"/>
                <w:szCs w:val="22"/>
              </w:rPr>
              <w:t>本次评价范围为扩建项目红线范围内，其他厂外输送管道另行环评，不在本次评价范围内。依托项目建设情况一览表见表2.1-2，</w:t>
            </w:r>
            <w:r>
              <w:t>主要依托装置能力分析</w:t>
            </w:r>
            <w:r>
              <w:rPr>
                <w:rFonts w:hint="eastAsia"/>
              </w:rPr>
              <w:t>见表2.1-3</w:t>
            </w:r>
            <w:r>
              <w:rPr>
                <w:rFonts w:hint="eastAsia"/>
                <w:szCs w:val="22"/>
              </w:rPr>
              <w:t>。</w:t>
            </w:r>
          </w:p>
          <w:p w14:paraId="33BB2AB6">
            <w:pPr>
              <w:pStyle w:val="68"/>
              <w:rPr>
                <w:kern w:val="2"/>
                <w:sz w:val="24"/>
                <w:szCs w:val="24"/>
                <w:lang w:val="en-US" w:eastAsia="zh-CN"/>
              </w:rPr>
            </w:pPr>
            <w:r>
              <w:rPr>
                <w:kern w:val="2"/>
                <w:sz w:val="24"/>
                <w:szCs w:val="24"/>
                <w:lang w:val="en-US" w:eastAsia="zh-CN"/>
              </w:rPr>
              <w:t>表2.1-</w:t>
            </w:r>
            <w:r>
              <w:rPr>
                <w:rFonts w:hint="eastAsia"/>
                <w:kern w:val="2"/>
                <w:sz w:val="24"/>
                <w:szCs w:val="24"/>
                <w:lang w:val="en-US" w:eastAsia="zh-CN"/>
              </w:rPr>
              <w:t>1扩建后码头罐区建设内容一览表</w:t>
            </w:r>
          </w:p>
          <w:p w14:paraId="601424C4">
            <w:pPr>
              <w:ind w:firstLine="482"/>
              <w:jc w:val="center"/>
              <w:rPr>
                <w:b/>
              </w:rPr>
            </w:pPr>
            <w:r>
              <w:rPr>
                <w:rFonts w:hint="eastAsia"/>
                <w:b/>
              </w:rPr>
              <w:t>***（略，涉及商业秘密）</w:t>
            </w:r>
          </w:p>
          <w:p w14:paraId="6AEA8D45">
            <w:pPr>
              <w:pStyle w:val="91"/>
              <w:widowControl w:val="0"/>
              <w:numPr>
                <w:ilvl w:val="0"/>
                <w:numId w:val="0"/>
              </w:numPr>
              <w:tabs>
                <w:tab w:val="left" w:pos="-2127"/>
                <w:tab w:val="left" w:pos="0"/>
                <w:tab w:val="left" w:pos="3687"/>
                <w:tab w:val="left" w:pos="6380"/>
              </w:tabs>
              <w:autoSpaceDE w:val="0"/>
              <w:autoSpaceDN w:val="0"/>
              <w:spacing w:beforeLines="0"/>
              <w:outlineLvl w:val="4"/>
            </w:pPr>
            <w:bookmarkStart w:id="6" w:name="_Ref1476"/>
            <w:r>
              <w:rPr>
                <w:szCs w:val="24"/>
              </w:rPr>
              <w:t>表2.1-</w:t>
            </w:r>
            <w:r>
              <w:rPr>
                <w:rFonts w:hint="eastAsia"/>
                <w:szCs w:val="24"/>
              </w:rPr>
              <w:t xml:space="preserve">2 </w:t>
            </w:r>
            <w:r>
              <w:t>依托项目建</w:t>
            </w:r>
            <w:r>
              <w:rPr>
                <w:spacing w:val="4"/>
              </w:rPr>
              <w:t>设</w:t>
            </w:r>
            <w:r>
              <w:t>情况</w:t>
            </w:r>
            <w:r>
              <w:rPr>
                <w:spacing w:val="4"/>
              </w:rPr>
              <w:t>一</w:t>
            </w:r>
            <w:r>
              <w:t>览表</w:t>
            </w:r>
            <w:bookmarkEnd w:id="6"/>
          </w:p>
          <w:p w14:paraId="23E30EC7">
            <w:pPr>
              <w:ind w:firstLine="482"/>
              <w:jc w:val="center"/>
            </w:pPr>
            <w:r>
              <w:rPr>
                <w:rFonts w:hint="eastAsia"/>
                <w:b/>
              </w:rPr>
              <w:t>***（略，涉及商业秘密）</w:t>
            </w:r>
          </w:p>
          <w:p w14:paraId="136D8E6C">
            <w:pPr>
              <w:pStyle w:val="91"/>
              <w:widowControl w:val="0"/>
              <w:numPr>
                <w:ilvl w:val="0"/>
                <w:numId w:val="0"/>
              </w:numPr>
              <w:tabs>
                <w:tab w:val="left" w:pos="-2127"/>
                <w:tab w:val="left" w:pos="0"/>
                <w:tab w:val="left" w:pos="3687"/>
                <w:tab w:val="left" w:pos="6380"/>
              </w:tabs>
              <w:autoSpaceDE w:val="0"/>
              <w:autoSpaceDN w:val="0"/>
              <w:spacing w:before="120" w:after="120" w:afterLines="50"/>
              <w:outlineLvl w:val="4"/>
            </w:pPr>
            <w:bookmarkStart w:id="7" w:name="_Ref106816224"/>
            <w:r>
              <w:rPr>
                <w:szCs w:val="24"/>
              </w:rPr>
              <w:t>表2.1-</w:t>
            </w:r>
            <w:r>
              <w:rPr>
                <w:rFonts w:hint="eastAsia"/>
                <w:szCs w:val="24"/>
              </w:rPr>
              <w:t xml:space="preserve">3 </w:t>
            </w:r>
            <w:r>
              <w:t>主要依托装置能力分析表</w:t>
            </w:r>
            <w:bookmarkEnd w:id="7"/>
          </w:p>
          <w:p w14:paraId="0EE84641">
            <w:pPr>
              <w:ind w:firstLine="482"/>
              <w:jc w:val="center"/>
            </w:pPr>
            <w:r>
              <w:rPr>
                <w:rFonts w:hint="eastAsia"/>
                <w:b/>
              </w:rPr>
              <w:t>***（略，涉及商业秘密）</w:t>
            </w:r>
          </w:p>
          <w:p w14:paraId="72661E4E">
            <w:pPr>
              <w:pStyle w:val="2"/>
              <w:ind w:firstLine="480"/>
              <w:rPr>
                <w:lang w:val="en-US" w:eastAsia="zh-CN"/>
              </w:rPr>
            </w:pPr>
          </w:p>
          <w:p w14:paraId="2A26CC53">
            <w:pPr>
              <w:ind w:firstLine="480"/>
            </w:pPr>
          </w:p>
          <w:p w14:paraId="316339FC">
            <w:pPr>
              <w:ind w:firstLine="0" w:firstLineChars="0"/>
            </w:pPr>
          </w:p>
        </w:tc>
      </w:tr>
    </w:tbl>
    <w:p w14:paraId="304F4CE2">
      <w:pPr>
        <w:ind w:firstLine="480"/>
        <w:sectPr>
          <w:pgSz w:w="16838" w:h="11905" w:orient="landscape"/>
          <w:pgMar w:top="1417" w:right="1417" w:bottom="1417" w:left="1417" w:header="851" w:footer="850" w:gutter="0"/>
          <w:cols w:space="720" w:num="1"/>
          <w:docGrid w:linePitch="326"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8861"/>
      </w:tblGrid>
      <w:tr w14:paraId="642C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jc w:val="center"/>
        </w:trPr>
        <w:tc>
          <w:tcPr>
            <w:tcW w:w="145" w:type="pct"/>
            <w:vAlign w:val="center"/>
          </w:tcPr>
          <w:p w14:paraId="3BA1E4A0">
            <w:pPr>
              <w:pStyle w:val="71"/>
              <w:rPr>
                <w:kern w:val="2"/>
                <w:szCs w:val="24"/>
                <w:lang w:val="en-US" w:eastAsia="zh-CN"/>
              </w:rPr>
            </w:pPr>
            <w:r>
              <w:rPr>
                <w:kern w:val="2"/>
                <w:szCs w:val="24"/>
                <w:lang w:val="en-US" w:eastAsia="zh-CN"/>
              </w:rPr>
              <w:t>建设内容</w:t>
            </w:r>
          </w:p>
        </w:tc>
        <w:tc>
          <w:tcPr>
            <w:tcW w:w="4855" w:type="pct"/>
          </w:tcPr>
          <w:p w14:paraId="19D5F6FD">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2.2主要产品与产能</w:t>
            </w:r>
          </w:p>
          <w:p w14:paraId="2FB7003C">
            <w:pPr>
              <w:ind w:firstLine="480"/>
            </w:pPr>
            <w:r>
              <w:rPr>
                <w:rFonts w:hint="eastAsia"/>
              </w:rPr>
              <w:t>扩建项目新增年周转40万吨MA、28.5万BDO、2.4万吨THF。具体周转情况见表2.2-1。</w:t>
            </w:r>
          </w:p>
          <w:p w14:paraId="5A7D191C">
            <w:pPr>
              <w:pStyle w:val="139"/>
              <w:ind w:firstLine="480"/>
              <w:rPr>
                <w:lang w:eastAsia="zh-CN"/>
              </w:rPr>
            </w:pPr>
            <w:r>
              <w:rPr>
                <w:lang w:eastAsia="zh-CN"/>
              </w:rPr>
              <w:t>本报告所用缩略词语及其含义：</w:t>
            </w:r>
          </w:p>
          <w:p w14:paraId="6124A98B">
            <w:pPr>
              <w:pStyle w:val="139"/>
              <w:ind w:firstLine="480"/>
              <w:rPr>
                <w:lang w:eastAsia="zh-CN"/>
              </w:rPr>
            </w:pPr>
            <w:r>
              <w:rPr>
                <w:rFonts w:hint="eastAsia"/>
                <w:lang w:eastAsia="zh-CN"/>
              </w:rPr>
              <w:t>MA：顺酐（马来酸酐）</w:t>
            </w:r>
          </w:p>
          <w:p w14:paraId="4A802469">
            <w:pPr>
              <w:pStyle w:val="139"/>
              <w:ind w:firstLine="480"/>
              <w:rPr>
                <w:lang w:eastAsia="zh-CN"/>
              </w:rPr>
            </w:pPr>
            <w:r>
              <w:rPr>
                <w:rFonts w:hint="eastAsia"/>
                <w:lang w:eastAsia="zh-CN"/>
              </w:rPr>
              <w:t>THF：</w:t>
            </w:r>
            <w:r>
              <w:rPr>
                <w:lang w:eastAsia="zh-CN"/>
              </w:rPr>
              <w:t>四氢呋喃</w:t>
            </w:r>
          </w:p>
          <w:p w14:paraId="19190691">
            <w:pPr>
              <w:pStyle w:val="139"/>
              <w:ind w:firstLine="480"/>
              <w:rPr>
                <w:lang w:eastAsia="zh-CN"/>
              </w:rPr>
            </w:pPr>
            <w:r>
              <w:rPr>
                <w:rFonts w:hint="eastAsia"/>
                <w:lang w:eastAsia="zh-CN"/>
              </w:rPr>
              <w:t>BDO：</w:t>
            </w:r>
            <w:r>
              <w:rPr>
                <w:lang w:eastAsia="zh-CN"/>
              </w:rPr>
              <w:t>1，4-丁二醇</w:t>
            </w:r>
          </w:p>
          <w:p w14:paraId="7B58F9CE">
            <w:pPr>
              <w:pStyle w:val="68"/>
              <w:rPr>
                <w:kern w:val="2"/>
                <w:sz w:val="24"/>
                <w:szCs w:val="24"/>
                <w:lang w:val="en-US" w:eastAsia="zh-CN"/>
              </w:rPr>
            </w:pPr>
            <w:r>
              <w:rPr>
                <w:kern w:val="2"/>
                <w:sz w:val="24"/>
                <w:szCs w:val="24"/>
                <w:lang w:val="en-US" w:eastAsia="zh-CN"/>
              </w:rPr>
              <w:t>表2.2-1</w:t>
            </w:r>
            <w:r>
              <w:rPr>
                <w:rFonts w:hint="eastAsia"/>
                <w:kern w:val="2"/>
                <w:sz w:val="24"/>
                <w:szCs w:val="24"/>
                <w:lang w:val="en-US" w:eastAsia="zh-CN"/>
              </w:rPr>
              <w:t>扩建项目</w:t>
            </w:r>
            <w:r>
              <w:rPr>
                <w:kern w:val="2"/>
                <w:sz w:val="24"/>
                <w:szCs w:val="24"/>
                <w:lang w:val="en-US" w:eastAsia="zh-CN"/>
              </w:rPr>
              <w:t>产品产能</w:t>
            </w:r>
          </w:p>
          <w:p w14:paraId="4AACE72A">
            <w:pPr>
              <w:ind w:firstLine="482"/>
              <w:jc w:val="center"/>
            </w:pPr>
            <w:r>
              <w:rPr>
                <w:rFonts w:hint="eastAsia"/>
                <w:b/>
              </w:rPr>
              <w:t>***（略，涉及商业秘密）</w:t>
            </w:r>
          </w:p>
          <w:p w14:paraId="4395BB7A">
            <w:pPr>
              <w:pStyle w:val="68"/>
              <w:rPr>
                <w:kern w:val="2"/>
                <w:sz w:val="24"/>
                <w:szCs w:val="24"/>
                <w:lang w:val="en-US" w:eastAsia="zh-CN"/>
              </w:rPr>
            </w:pPr>
            <w:r>
              <w:rPr>
                <w:kern w:val="2"/>
                <w:sz w:val="24"/>
                <w:szCs w:val="24"/>
                <w:lang w:val="en-US" w:eastAsia="zh-CN"/>
              </w:rPr>
              <w:t>表</w:t>
            </w:r>
            <w:r>
              <w:rPr>
                <w:rFonts w:hint="eastAsia"/>
                <w:kern w:val="2"/>
                <w:sz w:val="24"/>
                <w:szCs w:val="24"/>
                <w:lang w:val="en-US" w:eastAsia="zh-CN"/>
              </w:rPr>
              <w:t>2.2-2</w:t>
            </w:r>
            <w:r>
              <w:rPr>
                <w:kern w:val="2"/>
                <w:sz w:val="24"/>
                <w:szCs w:val="24"/>
                <w:lang w:val="en-US" w:eastAsia="zh-CN"/>
              </w:rPr>
              <w:t>产品理化性质表</w:t>
            </w:r>
          </w:p>
          <w:p w14:paraId="575ABC34">
            <w:pPr>
              <w:ind w:firstLine="482"/>
              <w:jc w:val="center"/>
            </w:pPr>
            <w:r>
              <w:rPr>
                <w:rFonts w:hint="eastAsia"/>
                <w:b/>
              </w:rPr>
              <w:t>***（略，涉及商业秘密）</w:t>
            </w:r>
          </w:p>
          <w:p w14:paraId="18023BE6">
            <w:pPr>
              <w:pStyle w:val="68"/>
              <w:rPr>
                <w:kern w:val="2"/>
                <w:sz w:val="24"/>
                <w:szCs w:val="24"/>
                <w:lang w:val="en-US" w:eastAsia="zh-CN"/>
              </w:rPr>
            </w:pPr>
            <w:r>
              <w:rPr>
                <w:kern w:val="2"/>
                <w:sz w:val="24"/>
                <w:szCs w:val="24"/>
                <w:lang w:val="en-US" w:eastAsia="zh-CN"/>
              </w:rPr>
              <w:t>表</w:t>
            </w:r>
            <w:r>
              <w:rPr>
                <w:rFonts w:hint="eastAsia"/>
                <w:kern w:val="2"/>
                <w:sz w:val="24"/>
                <w:szCs w:val="24"/>
                <w:lang w:val="en-US" w:eastAsia="zh-CN"/>
              </w:rPr>
              <w:t>2.2-3</w:t>
            </w:r>
            <w:r>
              <w:rPr>
                <w:kern w:val="2"/>
                <w:sz w:val="24"/>
                <w:szCs w:val="24"/>
                <w:lang w:val="en-US" w:eastAsia="zh-CN"/>
              </w:rPr>
              <w:t>物料储存情况表</w:t>
            </w:r>
          </w:p>
          <w:p w14:paraId="28E87EE7">
            <w:pPr>
              <w:ind w:firstLine="482"/>
              <w:jc w:val="center"/>
            </w:pPr>
            <w:r>
              <w:rPr>
                <w:rFonts w:hint="eastAsia"/>
                <w:b/>
              </w:rPr>
              <w:t>***（略，涉及商业秘密）</w:t>
            </w:r>
          </w:p>
          <w:p w14:paraId="781A08ED">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2.3主要生产设施</w:t>
            </w:r>
          </w:p>
          <w:p w14:paraId="27D41949">
            <w:pPr>
              <w:ind w:firstLine="480"/>
            </w:pPr>
            <w:r>
              <w:rPr>
                <w:rFonts w:hint="eastAsia"/>
              </w:rPr>
              <w:t>本次扩建</w:t>
            </w:r>
            <w:r>
              <w:t>储罐规格见表</w:t>
            </w:r>
            <w:r>
              <w:rPr>
                <w:rFonts w:hint="eastAsia"/>
              </w:rPr>
              <w:t>2.3-1，</w:t>
            </w:r>
            <w:r>
              <w:t>输送泵一览表</w:t>
            </w:r>
            <w:r>
              <w:rPr>
                <w:rFonts w:hint="eastAsia"/>
              </w:rPr>
              <w:t>见表2.3-2。</w:t>
            </w:r>
          </w:p>
          <w:p w14:paraId="0BD173B0">
            <w:pPr>
              <w:pStyle w:val="68"/>
              <w:tabs>
                <w:tab w:val="center" w:pos="4404"/>
                <w:tab w:val="left" w:pos="7899"/>
              </w:tabs>
              <w:jc w:val="left"/>
              <w:rPr>
                <w:kern w:val="2"/>
                <w:sz w:val="24"/>
                <w:szCs w:val="24"/>
                <w:lang w:val="en-US" w:eastAsia="zh-CN"/>
              </w:rPr>
            </w:pPr>
            <w:r>
              <w:rPr>
                <w:kern w:val="2"/>
                <w:sz w:val="24"/>
                <w:szCs w:val="24"/>
                <w:lang w:val="en-US" w:eastAsia="zh-CN"/>
              </w:rPr>
              <w:tab/>
            </w:r>
            <w:r>
              <w:rPr>
                <w:kern w:val="2"/>
                <w:sz w:val="24"/>
                <w:szCs w:val="24"/>
                <w:lang w:val="en-US" w:eastAsia="zh-CN"/>
              </w:rPr>
              <w:t>表2.3-1</w:t>
            </w:r>
            <w:r>
              <w:rPr>
                <w:rFonts w:hint="eastAsia"/>
                <w:kern w:val="2"/>
                <w:sz w:val="24"/>
                <w:szCs w:val="24"/>
                <w:lang w:val="en-US" w:eastAsia="zh-CN"/>
              </w:rPr>
              <w:t>扩建</w:t>
            </w:r>
            <w:r>
              <w:rPr>
                <w:kern w:val="2"/>
                <w:sz w:val="24"/>
                <w:szCs w:val="24"/>
                <w:lang w:val="en-US" w:eastAsia="zh-CN"/>
              </w:rPr>
              <w:t>储罐规格表</w:t>
            </w:r>
            <w:r>
              <w:rPr>
                <w:rFonts w:hint="eastAsia"/>
                <w:kern w:val="2"/>
                <w:sz w:val="24"/>
                <w:szCs w:val="24"/>
                <w:lang w:val="en-US" w:eastAsia="zh-CN"/>
              </w:rPr>
              <w:t>（主要设备）</w:t>
            </w:r>
          </w:p>
          <w:p w14:paraId="45A0A5A1">
            <w:pPr>
              <w:ind w:firstLine="482"/>
              <w:jc w:val="center"/>
              <w:rPr>
                <w:b/>
              </w:rPr>
            </w:pPr>
            <w:r>
              <w:rPr>
                <w:b/>
              </w:rPr>
              <w:t>***（略，涉及商业秘密）</w:t>
            </w:r>
          </w:p>
          <w:p w14:paraId="0D719F2A">
            <w:pPr>
              <w:pStyle w:val="68"/>
              <w:tabs>
                <w:tab w:val="center" w:pos="4404"/>
                <w:tab w:val="left" w:pos="7899"/>
              </w:tabs>
              <w:jc w:val="left"/>
              <w:rPr>
                <w:kern w:val="2"/>
                <w:sz w:val="24"/>
                <w:szCs w:val="24"/>
                <w:lang w:val="en-US" w:eastAsia="zh-CN"/>
              </w:rPr>
            </w:pPr>
          </w:p>
          <w:p w14:paraId="56BA43E5">
            <w:pPr>
              <w:pStyle w:val="68"/>
              <w:rPr>
                <w:kern w:val="2"/>
                <w:sz w:val="24"/>
                <w:szCs w:val="24"/>
                <w:lang w:val="en-US" w:eastAsia="zh-CN"/>
              </w:rPr>
            </w:pPr>
            <w:r>
              <w:rPr>
                <w:kern w:val="2"/>
                <w:sz w:val="24"/>
                <w:szCs w:val="24"/>
                <w:lang w:val="en-US" w:eastAsia="zh-CN"/>
              </w:rPr>
              <w:t>表2.3-</w:t>
            </w:r>
            <w:r>
              <w:rPr>
                <w:rFonts w:hint="eastAsia"/>
                <w:kern w:val="2"/>
                <w:sz w:val="24"/>
                <w:szCs w:val="24"/>
                <w:lang w:val="en-US" w:eastAsia="zh-CN"/>
              </w:rPr>
              <w:t>2扩建</w:t>
            </w:r>
            <w:r>
              <w:rPr>
                <w:kern w:val="2"/>
                <w:sz w:val="24"/>
                <w:szCs w:val="24"/>
                <w:lang w:val="en-US" w:eastAsia="zh-CN"/>
              </w:rPr>
              <w:t>输送泵一览表</w:t>
            </w:r>
            <w:r>
              <w:rPr>
                <w:rFonts w:hint="eastAsia"/>
                <w:kern w:val="2"/>
                <w:sz w:val="24"/>
                <w:szCs w:val="24"/>
                <w:lang w:val="en-US" w:eastAsia="zh-CN"/>
              </w:rPr>
              <w:t>（主要辅助设备）</w:t>
            </w:r>
          </w:p>
          <w:p w14:paraId="2EE0E7D5">
            <w:pPr>
              <w:ind w:firstLine="482"/>
              <w:jc w:val="center"/>
              <w:rPr>
                <w:b/>
              </w:rPr>
            </w:pPr>
            <w:r>
              <w:rPr>
                <w:b/>
              </w:rPr>
              <w:t>***（略，涉及商业秘密）</w:t>
            </w:r>
          </w:p>
          <w:p w14:paraId="51858F33">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2.4主要原辅材料及能源消耗</w:t>
            </w:r>
          </w:p>
          <w:p w14:paraId="502410B2">
            <w:pPr>
              <w:spacing w:line="240" w:lineRule="auto"/>
              <w:ind w:firstLine="0" w:firstLineChars="0"/>
              <w:jc w:val="center"/>
              <w:rPr>
                <w:b/>
                <w:szCs w:val="20"/>
              </w:rPr>
            </w:pPr>
            <w:r>
              <w:rPr>
                <w:b/>
                <w:szCs w:val="20"/>
              </w:rPr>
              <w:t>表2.4-1</w:t>
            </w:r>
            <w:r>
              <w:rPr>
                <w:rFonts w:hint="eastAsia"/>
                <w:b/>
                <w:szCs w:val="20"/>
              </w:rPr>
              <w:t>扩建</w:t>
            </w:r>
            <w:r>
              <w:rPr>
                <w:b/>
                <w:szCs w:val="20"/>
              </w:rPr>
              <w:t>主要原辅材料及能源消耗情况</w:t>
            </w:r>
          </w:p>
          <w:p w14:paraId="26F9CF88">
            <w:pPr>
              <w:ind w:firstLine="482"/>
              <w:jc w:val="center"/>
              <w:rPr>
                <w:b/>
              </w:rPr>
            </w:pPr>
            <w:r>
              <w:rPr>
                <w:b/>
              </w:rPr>
              <w:t>***（略，涉及商业秘密）</w:t>
            </w:r>
          </w:p>
          <w:p w14:paraId="2DFC7FDB">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2.5劳动定员及工作制度</w:t>
            </w:r>
          </w:p>
          <w:p w14:paraId="5417F439">
            <w:pPr>
              <w:ind w:firstLine="480"/>
            </w:pPr>
            <w:r>
              <w:rPr>
                <w:rFonts w:hint="eastAsia"/>
              </w:rPr>
              <w:t>扩建项目</w:t>
            </w:r>
            <w:r>
              <w:t>新增劳动定员</w:t>
            </w:r>
            <w:r>
              <w:rPr>
                <w:rFonts w:hint="eastAsia"/>
              </w:rPr>
              <w:t>40人</w:t>
            </w:r>
            <w:r>
              <w:t>，均不住厂。年工作时间</w:t>
            </w:r>
            <w:r>
              <w:rPr>
                <w:rFonts w:hint="eastAsia"/>
              </w:rPr>
              <w:t>为350</w:t>
            </w:r>
            <w:r>
              <w:t>天，每天生产24小时</w:t>
            </w:r>
            <w:r>
              <w:rPr>
                <w:rFonts w:hint="eastAsia"/>
              </w:rPr>
              <w:t>，合计8400h</w:t>
            </w:r>
            <w:r>
              <w:t>。</w:t>
            </w:r>
          </w:p>
          <w:p w14:paraId="44F1AE0D">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2.6平面布置</w:t>
            </w:r>
            <w:r>
              <w:rPr>
                <w:rFonts w:hint="eastAsia" w:eastAsia="宋体"/>
                <w:b/>
                <w:spacing w:val="8"/>
                <w:kern w:val="2"/>
                <w:szCs w:val="28"/>
                <w:lang w:val="en-US" w:eastAsia="zh-CN"/>
              </w:rPr>
              <w:t>环境合理性分析</w:t>
            </w:r>
          </w:p>
          <w:p w14:paraId="79A75C6E">
            <w:pPr>
              <w:ind w:firstLine="480"/>
            </w:pPr>
            <w:r>
              <w:t>结合当地气象、地质、地形等自然条件，</w:t>
            </w:r>
            <w:r>
              <w:rPr>
                <w:rFonts w:hint="eastAsia"/>
              </w:rPr>
              <w:t>项目在</w:t>
            </w:r>
            <w:r>
              <w:t>总平面布局</w:t>
            </w:r>
            <w:r>
              <w:rPr>
                <w:rFonts w:hint="eastAsia"/>
              </w:rPr>
              <w:t>已</w:t>
            </w:r>
            <w:r>
              <w:t>考虑了周边的环境制约因素，因地制宜，紧凑布置，节约用地，并充分考虑远期发展的可能性</w:t>
            </w:r>
            <w:r>
              <w:rPr>
                <w:rFonts w:hint="eastAsia"/>
              </w:rPr>
              <w:t>，</w:t>
            </w:r>
            <w:r>
              <w:t>平面布置基本按地形和生产工艺流程布置，并能够结合周边环境敏感目标的分布位置，尽可能采取减轻和避让的原则</w:t>
            </w:r>
            <w:r>
              <w:rPr>
                <w:rFonts w:hint="eastAsia"/>
              </w:rPr>
              <w:t>。</w:t>
            </w:r>
          </w:p>
          <w:p w14:paraId="284CFBEC">
            <w:pPr>
              <w:ind w:firstLine="480"/>
            </w:pPr>
            <w:r>
              <w:t>项目根据各单元的功能分为：</w:t>
            </w:r>
            <w:r>
              <w:rPr>
                <w:rFonts w:hint="eastAsia"/>
              </w:rPr>
              <w:t>化工品罐组一、化工品罐组二</w:t>
            </w:r>
            <w:r>
              <w:t>、</w:t>
            </w:r>
            <w:r>
              <w:rPr>
                <w:rFonts w:hint="eastAsia"/>
              </w:rPr>
              <w:t>油气回收设施</w:t>
            </w:r>
            <w:r>
              <w:t>、汽车装车区</w:t>
            </w:r>
            <w:r>
              <w:rPr>
                <w:rFonts w:hint="eastAsia"/>
              </w:rPr>
              <w:t>二</w:t>
            </w:r>
            <w:r>
              <w:t>、</w:t>
            </w:r>
            <w:r>
              <w:rPr>
                <w:rFonts w:hint="eastAsia"/>
              </w:rPr>
              <w:t>初期雨水池（污水提升站）、泡沫站、区域变配电所、3#机柜间</w:t>
            </w:r>
            <w:r>
              <w:t>。管理区位于项目用地的</w:t>
            </w:r>
            <w:r>
              <w:rPr>
                <w:rFonts w:hint="eastAsia"/>
              </w:rPr>
              <w:t>东北</w:t>
            </w:r>
            <w:r>
              <w:t>侧，</w:t>
            </w:r>
            <w:r>
              <w:rPr>
                <w:rFonts w:hint="eastAsia"/>
              </w:rPr>
              <w:t>不在主导风向上，罐区项目用地北侧为园区已有的港前大道，项目</w:t>
            </w:r>
            <w:r>
              <w:rPr>
                <w:rFonts w:ascii="宋体" w:hAnsi="宋体"/>
              </w:rPr>
              <w:t>汽车装车区</w:t>
            </w:r>
            <w:r>
              <w:rPr>
                <w:rFonts w:hint="eastAsia"/>
              </w:rPr>
              <w:t>二设置两个出入口直接对接港前大道，转运车辆不在罐区内绕行，</w:t>
            </w:r>
            <w:r>
              <w:t>确保交通运输安全畅通</w:t>
            </w:r>
            <w:r>
              <w:rPr>
                <w:rFonts w:hint="eastAsia"/>
              </w:rPr>
              <w:t>。罐区用地外延500米范围内无大气环境保护目标，从环境影响角度分析，总平面布局是合理的。</w:t>
            </w:r>
          </w:p>
          <w:p w14:paraId="00271414">
            <w:pPr>
              <w:ind w:firstLine="480"/>
            </w:pPr>
            <w:r>
              <w:rPr>
                <w:rFonts w:hint="eastAsia"/>
              </w:rPr>
              <w:t>项目</w:t>
            </w:r>
            <w:r>
              <w:t>严格遵守国家现行的防火、安全、环保及卫生等相关法律法规，为安全生产创造有利条件</w:t>
            </w:r>
            <w:r>
              <w:rPr>
                <w:rFonts w:hint="eastAsia"/>
              </w:rPr>
              <w:t>，</w:t>
            </w:r>
            <w:r>
              <w:t>满足工艺生产流程要求</w:t>
            </w:r>
            <w:r>
              <w:rPr>
                <w:rFonts w:hint="eastAsia"/>
              </w:rPr>
              <w:t>，符合园区总体</w:t>
            </w:r>
            <w:r>
              <w:t>规划</w:t>
            </w:r>
            <w:r>
              <w:rPr>
                <w:rFonts w:hint="eastAsia"/>
              </w:rPr>
              <w:t>。</w:t>
            </w:r>
            <w:r>
              <w:t>厂区总平面布置图见</w:t>
            </w:r>
            <w:r>
              <w:rPr>
                <w:rFonts w:hint="eastAsia"/>
              </w:rPr>
              <w:t>附图4</w:t>
            </w:r>
            <w:r>
              <w:t>。</w:t>
            </w:r>
          </w:p>
        </w:tc>
      </w:tr>
      <w:tr w14:paraId="61B3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2" w:hRule="atLeast"/>
          <w:jc w:val="center"/>
        </w:trPr>
        <w:tc>
          <w:tcPr>
            <w:tcW w:w="145" w:type="pct"/>
            <w:vAlign w:val="center"/>
          </w:tcPr>
          <w:p w14:paraId="686C789D">
            <w:pPr>
              <w:pStyle w:val="71"/>
              <w:rPr>
                <w:kern w:val="2"/>
                <w:szCs w:val="24"/>
                <w:lang w:val="en-US" w:eastAsia="zh-CN"/>
              </w:rPr>
            </w:pPr>
            <w:r>
              <w:rPr>
                <w:kern w:val="2"/>
                <w:szCs w:val="24"/>
                <w:lang w:val="en-US" w:eastAsia="zh-CN"/>
              </w:rPr>
              <w:t>工艺流程和产排污环节</w:t>
            </w:r>
          </w:p>
        </w:tc>
        <w:tc>
          <w:tcPr>
            <w:tcW w:w="4855" w:type="pct"/>
          </w:tcPr>
          <w:p w14:paraId="21A18770">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2.7工艺流程</w:t>
            </w:r>
          </w:p>
          <w:p w14:paraId="12D23106">
            <w:pPr>
              <w:ind w:firstLine="480"/>
            </w:pPr>
            <w:r>
              <w:t>项目生产工艺流程及产污节点图如图2.7-1：</w:t>
            </w:r>
          </w:p>
          <w:p w14:paraId="5DA66EDD">
            <w:pPr>
              <w:ind w:firstLine="482"/>
              <w:jc w:val="center"/>
              <w:rPr>
                <w:b/>
              </w:rPr>
            </w:pPr>
            <w:r>
              <w:rPr>
                <w:rFonts w:hint="eastAsia"/>
                <w:b/>
              </w:rPr>
              <w:t>***（略，涉及商业秘密）</w:t>
            </w:r>
          </w:p>
          <w:p w14:paraId="389F560B">
            <w:pPr>
              <w:spacing w:line="240" w:lineRule="auto"/>
              <w:ind w:firstLine="482"/>
              <w:jc w:val="center"/>
              <w:rPr>
                <w:b/>
              </w:rPr>
            </w:pPr>
            <w:r>
              <w:rPr>
                <w:b/>
                <w:szCs w:val="20"/>
              </w:rPr>
              <w:t>图2.7-1生产工艺流程及产污节点图</w:t>
            </w:r>
          </w:p>
          <w:p w14:paraId="251A8747">
            <w:pPr>
              <w:ind w:firstLine="480"/>
            </w:pPr>
            <w:r>
              <w:t>项目生产工艺流程说明：</w:t>
            </w:r>
          </w:p>
          <w:p w14:paraId="0BA71626">
            <w:pPr>
              <w:ind w:firstLine="482"/>
              <w:jc w:val="center"/>
              <w:rPr>
                <w:b/>
              </w:rPr>
            </w:pPr>
            <w:r>
              <w:rPr>
                <w:rFonts w:hint="eastAsia"/>
                <w:b/>
              </w:rPr>
              <w:t>***（略，涉及商业秘密）</w:t>
            </w:r>
          </w:p>
          <w:p w14:paraId="3EC71B5E">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2.8主要污染工序</w:t>
            </w:r>
          </w:p>
          <w:p w14:paraId="355B1322">
            <w:pPr>
              <w:ind w:firstLine="480"/>
            </w:pPr>
            <w:r>
              <w:t>建设项目营运期污染物产生环节见表2.8-1。</w:t>
            </w:r>
          </w:p>
          <w:p w14:paraId="64385DE3">
            <w:pPr>
              <w:spacing w:line="240" w:lineRule="auto"/>
              <w:ind w:firstLine="0" w:firstLineChars="0"/>
              <w:jc w:val="center"/>
              <w:rPr>
                <w:b/>
                <w:szCs w:val="20"/>
              </w:rPr>
            </w:pPr>
            <w:r>
              <w:rPr>
                <w:b/>
                <w:szCs w:val="20"/>
              </w:rPr>
              <w:t>表2.8-1建设项目营运期产污环节汇总表</w:t>
            </w:r>
          </w:p>
          <w:p w14:paraId="2CFC0A82">
            <w:pPr>
              <w:ind w:firstLine="482"/>
              <w:jc w:val="center"/>
              <w:rPr>
                <w:b/>
              </w:rPr>
            </w:pPr>
            <w:r>
              <w:rPr>
                <w:rFonts w:hint="eastAsia"/>
                <w:b/>
              </w:rPr>
              <w:t>***（略，涉及商业秘密）</w:t>
            </w:r>
          </w:p>
          <w:p w14:paraId="4F62DFF1">
            <w:pPr>
              <w:pStyle w:val="2"/>
              <w:ind w:firstLine="480"/>
              <w:rPr>
                <w:lang w:val="en-US" w:eastAsia="zh-CN"/>
              </w:rPr>
            </w:pPr>
          </w:p>
          <w:p w14:paraId="20346221">
            <w:pPr>
              <w:pStyle w:val="68"/>
              <w:rPr>
                <w:kern w:val="2"/>
                <w:sz w:val="24"/>
                <w:szCs w:val="24"/>
                <w:lang w:val="en-US" w:eastAsia="zh-CN"/>
              </w:rPr>
            </w:pPr>
          </w:p>
        </w:tc>
      </w:tr>
      <w:tr w14:paraId="1027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145" w:type="pct"/>
            <w:vAlign w:val="center"/>
          </w:tcPr>
          <w:p w14:paraId="0540C603">
            <w:pPr>
              <w:pStyle w:val="71"/>
              <w:rPr>
                <w:kern w:val="2"/>
                <w:szCs w:val="24"/>
                <w:lang w:val="en-US" w:eastAsia="zh-CN"/>
              </w:rPr>
            </w:pPr>
            <w:r>
              <w:rPr>
                <w:kern w:val="2"/>
                <w:szCs w:val="24"/>
                <w:lang w:val="en-US" w:eastAsia="zh-CN"/>
              </w:rPr>
              <w:t>与项目有关的原有环境污染问题</w:t>
            </w:r>
          </w:p>
        </w:tc>
        <w:tc>
          <w:tcPr>
            <w:tcW w:w="4855" w:type="pct"/>
          </w:tcPr>
          <w:p w14:paraId="28AFAB41">
            <w:pPr>
              <w:pStyle w:val="97"/>
              <w:snapToGrid w:val="0"/>
              <w:spacing w:before="120" w:beforeLines="50" w:after="120" w:afterLines="50" w:line="360" w:lineRule="auto"/>
              <w:ind w:firstLine="514"/>
              <w:outlineLvl w:val="1"/>
              <w:rPr>
                <w:rFonts w:eastAsia="宋体"/>
                <w:b/>
                <w:spacing w:val="8"/>
                <w:kern w:val="2"/>
                <w:szCs w:val="28"/>
                <w:lang w:val="en-US" w:eastAsia="zh-CN"/>
              </w:rPr>
            </w:pPr>
            <w:r>
              <w:rPr>
                <w:rFonts w:eastAsia="宋体"/>
                <w:b/>
                <w:spacing w:val="8"/>
                <w:kern w:val="2"/>
                <w:szCs w:val="28"/>
                <w:lang w:val="en-US" w:eastAsia="zh-CN"/>
              </w:rPr>
              <w:t>2.</w:t>
            </w:r>
            <w:r>
              <w:rPr>
                <w:rFonts w:hint="eastAsia" w:eastAsia="宋体"/>
                <w:b/>
                <w:spacing w:val="8"/>
                <w:kern w:val="2"/>
                <w:szCs w:val="28"/>
                <w:lang w:val="en-US" w:eastAsia="zh-CN"/>
              </w:rPr>
              <w:t>9</w:t>
            </w:r>
            <w:r>
              <w:rPr>
                <w:rFonts w:hAnsi="宋体" w:eastAsia="宋体"/>
                <w:b/>
                <w:spacing w:val="8"/>
                <w:kern w:val="2"/>
                <w:szCs w:val="28"/>
                <w:lang w:val="en-US" w:eastAsia="zh-CN"/>
              </w:rPr>
              <w:t>现有工程环境污染问题</w:t>
            </w:r>
          </w:p>
          <w:p w14:paraId="61603AE7">
            <w:pPr>
              <w:adjustRightInd w:val="0"/>
              <w:snapToGrid w:val="0"/>
              <w:ind w:firstLine="482"/>
              <w:outlineLvl w:val="2"/>
              <w:rPr>
                <w:rFonts w:hAnsi="宋体"/>
                <w:b/>
                <w:bCs/>
              </w:rPr>
            </w:pPr>
            <w:r>
              <w:rPr>
                <w:b/>
                <w:bCs/>
              </w:rPr>
              <w:t>2.</w:t>
            </w:r>
            <w:r>
              <w:rPr>
                <w:rFonts w:hint="eastAsia"/>
                <w:b/>
                <w:bCs/>
              </w:rPr>
              <w:t>9</w:t>
            </w:r>
            <w:r>
              <w:rPr>
                <w:b/>
                <w:bCs/>
              </w:rPr>
              <w:t>.1</w:t>
            </w:r>
            <w:r>
              <w:rPr>
                <w:rFonts w:hAnsi="宋体"/>
                <w:b/>
                <w:bCs/>
              </w:rPr>
              <w:t>现有工程环评、验收履行情况</w:t>
            </w:r>
          </w:p>
          <w:p w14:paraId="7D7AC6D2">
            <w:pPr>
              <w:pStyle w:val="3"/>
              <w:ind w:firstLine="480"/>
            </w:pPr>
            <w:r>
              <w:rPr>
                <w:rFonts w:hint="eastAsia"/>
                <w:szCs w:val="22"/>
              </w:rPr>
              <w:t>现有工程为12#、12-1号、12-2#、12-3#、12-4#泊位工程，已通过环评审批手续，12#、12-1#、12-2#泊位工程已建成投产并通过环保竣工验收，12-3#、12-4#泊位工程尚未建成。详见表2.9-1。</w:t>
            </w:r>
          </w:p>
          <w:p w14:paraId="2709943E">
            <w:pPr>
              <w:pStyle w:val="91"/>
              <w:numPr>
                <w:ilvl w:val="4"/>
                <w:numId w:val="0"/>
              </w:numPr>
              <w:spacing w:before="120"/>
              <w:rPr>
                <w:rFonts w:hAnsi="宋体"/>
              </w:rPr>
            </w:pPr>
          </w:p>
          <w:p w14:paraId="03ABB07D">
            <w:pPr>
              <w:pStyle w:val="91"/>
              <w:numPr>
                <w:ilvl w:val="4"/>
                <w:numId w:val="0"/>
              </w:numPr>
              <w:spacing w:before="120"/>
              <w:rPr>
                <w:rFonts w:hAnsi="宋体"/>
              </w:rPr>
            </w:pPr>
          </w:p>
          <w:p w14:paraId="5BE49DF4">
            <w:pPr>
              <w:pStyle w:val="91"/>
              <w:numPr>
                <w:ilvl w:val="4"/>
                <w:numId w:val="0"/>
              </w:numPr>
              <w:spacing w:before="120"/>
              <w:rPr>
                <w:rFonts w:hAnsi="宋体"/>
              </w:rPr>
            </w:pPr>
          </w:p>
          <w:p w14:paraId="6FB7C494">
            <w:pPr>
              <w:pStyle w:val="91"/>
              <w:numPr>
                <w:ilvl w:val="4"/>
                <w:numId w:val="0"/>
              </w:numPr>
              <w:spacing w:before="120"/>
              <w:rPr>
                <w:rFonts w:hAnsi="宋体"/>
              </w:rPr>
            </w:pPr>
            <w:r>
              <w:rPr>
                <w:rFonts w:hAnsi="宋体"/>
              </w:rPr>
              <w:t>表</w:t>
            </w:r>
            <w:r>
              <w:t>2.</w:t>
            </w:r>
            <w:r>
              <w:rPr>
                <w:rFonts w:hint="eastAsia"/>
              </w:rPr>
              <w:t>9</w:t>
            </w:r>
            <w:r>
              <w:t>-1</w:t>
            </w:r>
            <w:r>
              <w:rPr>
                <w:rFonts w:hint="eastAsia"/>
              </w:rPr>
              <w:t>现有工程</w:t>
            </w:r>
            <w:r>
              <w:rPr>
                <w:rFonts w:hAnsi="宋体"/>
              </w:rPr>
              <w:t>环评及环保验收履行情况一览表</w:t>
            </w:r>
          </w:p>
          <w:p w14:paraId="77E8D3BF">
            <w:pPr>
              <w:ind w:firstLine="482"/>
              <w:jc w:val="center"/>
              <w:rPr>
                <w:b/>
              </w:rPr>
            </w:pPr>
            <w:r>
              <w:rPr>
                <w:rFonts w:hint="eastAsia"/>
                <w:b/>
              </w:rPr>
              <w:t>***（略，涉及商业秘密）</w:t>
            </w:r>
          </w:p>
          <w:p w14:paraId="7E925D1E">
            <w:pPr>
              <w:pStyle w:val="91"/>
              <w:numPr>
                <w:ilvl w:val="4"/>
                <w:numId w:val="0"/>
              </w:numPr>
              <w:spacing w:before="120"/>
            </w:pPr>
          </w:p>
          <w:p w14:paraId="1653F0DF">
            <w:pPr>
              <w:ind w:firstLine="480"/>
            </w:pPr>
          </w:p>
        </w:tc>
      </w:tr>
      <w:tr w14:paraId="56C1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84" w:hRule="atLeast"/>
          <w:jc w:val="center"/>
        </w:trPr>
        <w:tc>
          <w:tcPr>
            <w:tcW w:w="145" w:type="pct"/>
            <w:vAlign w:val="center"/>
          </w:tcPr>
          <w:p w14:paraId="0E06E74E">
            <w:pPr>
              <w:pStyle w:val="71"/>
              <w:rPr>
                <w:kern w:val="2"/>
                <w:szCs w:val="24"/>
                <w:lang w:val="en-US" w:eastAsia="zh-CN"/>
              </w:rPr>
            </w:pPr>
          </w:p>
        </w:tc>
        <w:tc>
          <w:tcPr>
            <w:tcW w:w="4855" w:type="pct"/>
          </w:tcPr>
          <w:p w14:paraId="27BAED5B">
            <w:pPr>
              <w:adjustRightInd w:val="0"/>
              <w:snapToGrid w:val="0"/>
              <w:ind w:firstLine="482"/>
              <w:outlineLvl w:val="2"/>
              <w:rPr>
                <w:b/>
                <w:bCs/>
              </w:rPr>
            </w:pPr>
            <w:r>
              <w:rPr>
                <w:b/>
                <w:bCs/>
              </w:rPr>
              <w:t>2.</w:t>
            </w:r>
            <w:r>
              <w:rPr>
                <w:rFonts w:hint="eastAsia"/>
                <w:b/>
                <w:bCs/>
              </w:rPr>
              <w:t>9</w:t>
            </w:r>
            <w:r>
              <w:rPr>
                <w:b/>
                <w:bCs/>
              </w:rPr>
              <w:t>.</w:t>
            </w:r>
            <w:r>
              <w:rPr>
                <w:rFonts w:hint="eastAsia"/>
                <w:b/>
                <w:bCs/>
              </w:rPr>
              <w:t>2现有工程建设基本情况</w:t>
            </w:r>
          </w:p>
          <w:p w14:paraId="473CFFE3">
            <w:pPr>
              <w:ind w:firstLine="480"/>
            </w:pPr>
            <w:r>
              <w:rPr>
                <w:rFonts w:hint="eastAsia"/>
              </w:rPr>
              <w:t>现有工程包括12#泊位、12-1号、12-2号泊位、12-3号、12-4号泊位。其中已建成投产项目包括1个5万吨级液体化工泊位（12#泊位）、后侧2个3千吨级液体化工泊位（12-1号、12-2号泊位）、栈桥1座，相应范围内的工艺、水、电等配套设施及罐区陆域形成（不包括陆域形成上的罐区平面、地面建筑及基础面层和配套专业等）。工程年货物吞吐量共270万吨，其中12#泊位年货物吞吐能力为195万吨，具体货种为丙烷、丙烯、丁烷；12-1号、12-2号泊位年货物吞吐能力为75万吨，具体货种为丙烯、丁烷。现有工程中12号、12-1号、12-2号泊位已建成投产并验收，</w:t>
            </w:r>
            <w:r>
              <w:t>建设内容一览表见表</w:t>
            </w:r>
            <w:r>
              <w:rPr>
                <w:rFonts w:hint="eastAsia"/>
              </w:rPr>
              <w:t>2.9-2</w:t>
            </w:r>
            <w:r>
              <w:t>。</w:t>
            </w:r>
          </w:p>
          <w:p w14:paraId="1E32CB08">
            <w:pPr>
              <w:pStyle w:val="91"/>
              <w:numPr>
                <w:ilvl w:val="4"/>
                <w:numId w:val="0"/>
              </w:numPr>
              <w:spacing w:before="120"/>
              <w:rPr>
                <w:rFonts w:hAnsi="宋体"/>
              </w:rPr>
            </w:pPr>
            <w:r>
              <w:rPr>
                <w:rFonts w:hAnsi="宋体"/>
              </w:rPr>
              <w:t>表2.</w:t>
            </w:r>
            <w:r>
              <w:rPr>
                <w:rFonts w:hint="eastAsia" w:hAnsi="宋体"/>
              </w:rPr>
              <w:t>9-2工程</w:t>
            </w:r>
            <w:r>
              <w:rPr>
                <w:rFonts w:hAnsi="宋体"/>
              </w:rPr>
              <w:t>建设内容一览表</w:t>
            </w:r>
          </w:p>
          <w:p w14:paraId="699B1114">
            <w:pPr>
              <w:ind w:firstLine="482"/>
              <w:jc w:val="center"/>
              <w:rPr>
                <w:b/>
              </w:rPr>
            </w:pPr>
            <w:r>
              <w:rPr>
                <w:rFonts w:hint="eastAsia"/>
                <w:b/>
              </w:rPr>
              <w:t>***（略，涉及商业秘密）</w:t>
            </w:r>
          </w:p>
          <w:p w14:paraId="5A2DFA0B">
            <w:pPr>
              <w:pStyle w:val="2"/>
              <w:ind w:firstLine="480"/>
              <w:rPr>
                <w:lang w:val="en-US" w:eastAsia="zh-CN"/>
              </w:rPr>
            </w:pPr>
          </w:p>
        </w:tc>
      </w:tr>
    </w:tbl>
    <w:p w14:paraId="7AC4FD77">
      <w:pPr>
        <w:ind w:firstLine="720"/>
        <w:rPr>
          <w:rFonts w:eastAsia="黑体"/>
          <w:snapToGrid w:val="0"/>
          <w:sz w:val="36"/>
          <w:szCs w:val="36"/>
        </w:rPr>
        <w:sectPr>
          <w:footerReference r:id="rId24" w:type="default"/>
          <w:pgSz w:w="11905" w:h="16838"/>
          <w:pgMar w:top="1417" w:right="1417" w:bottom="1417" w:left="1417" w:header="851" w:footer="850" w:gutter="0"/>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86"/>
      </w:tblGrid>
      <w:tr w14:paraId="33AD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B5E5555">
            <w:pPr>
              <w:ind w:firstLine="0" w:firstLineChars="0"/>
              <w:rPr>
                <w:rFonts w:eastAsia="黑体"/>
                <w:snapToGrid w:val="0"/>
                <w:sz w:val="36"/>
                <w:szCs w:val="36"/>
              </w:rPr>
            </w:pPr>
          </w:p>
        </w:tc>
        <w:tc>
          <w:tcPr>
            <w:tcW w:w="13686" w:type="dxa"/>
          </w:tcPr>
          <w:p w14:paraId="7A07A2C1">
            <w:pPr>
              <w:adjustRightInd w:val="0"/>
              <w:snapToGrid w:val="0"/>
              <w:ind w:firstLine="482"/>
              <w:outlineLvl w:val="2"/>
              <w:rPr>
                <w:b/>
                <w:bCs/>
              </w:rPr>
            </w:pPr>
            <w:r>
              <w:rPr>
                <w:b/>
                <w:bCs/>
              </w:rPr>
              <w:t>2.</w:t>
            </w:r>
            <w:r>
              <w:rPr>
                <w:rFonts w:hint="eastAsia"/>
                <w:b/>
                <w:bCs/>
              </w:rPr>
              <w:t>9</w:t>
            </w:r>
            <w:r>
              <w:rPr>
                <w:b/>
                <w:bCs/>
              </w:rPr>
              <w:t>.</w:t>
            </w:r>
            <w:r>
              <w:rPr>
                <w:rFonts w:hint="eastAsia"/>
                <w:b/>
                <w:bCs/>
              </w:rPr>
              <w:t>4</w:t>
            </w:r>
            <w:r>
              <w:rPr>
                <w:rFonts w:hAnsi="宋体"/>
                <w:b/>
                <w:bCs/>
              </w:rPr>
              <w:t>污染物排放总量</w:t>
            </w:r>
          </w:p>
          <w:p w14:paraId="3E16FD0B">
            <w:pPr>
              <w:adjustRightInd w:val="0"/>
              <w:snapToGrid w:val="0"/>
              <w:ind w:firstLine="482"/>
              <w:outlineLvl w:val="2"/>
              <w:rPr>
                <w:rFonts w:hAnsi="宋体"/>
                <w:b/>
                <w:bCs/>
              </w:rPr>
            </w:pPr>
            <w:r>
              <w:rPr>
                <w:rFonts w:hint="eastAsia" w:hAnsi="宋体"/>
                <w:b/>
                <w:bCs/>
              </w:rPr>
              <w:t>（1）废水</w:t>
            </w:r>
          </w:p>
          <w:p w14:paraId="10279763">
            <w:pPr>
              <w:adjustRightInd w:val="0"/>
              <w:snapToGrid w:val="0"/>
              <w:ind w:firstLine="480"/>
              <w:outlineLvl w:val="2"/>
            </w:pPr>
            <w:r>
              <w:rPr>
                <w:rFonts w:hint="eastAsia"/>
              </w:rPr>
              <w:t>码头排水采用雨污水分流制，初期雨水和地面冲洗污水依托码头后方的中景石化有限公司处理；船舶携带污水要求由船舶自身处理或港区接收船统一接收处理，由海事部门监管；港区内少量生活污水依托码头后方的中景石化有限公司处理，具体见表2.9-3。</w:t>
            </w:r>
          </w:p>
          <w:p w14:paraId="08E243DC">
            <w:pPr>
              <w:pStyle w:val="91"/>
              <w:numPr>
                <w:ilvl w:val="4"/>
                <w:numId w:val="0"/>
              </w:numPr>
              <w:spacing w:before="120"/>
              <w:rPr>
                <w:rFonts w:hAnsi="宋体"/>
              </w:rPr>
            </w:pPr>
            <w:r>
              <w:rPr>
                <w:rFonts w:hint="eastAsia" w:hAnsi="宋体"/>
              </w:rPr>
              <w:t>表2.9-3项目污水来源及处理方式</w:t>
            </w:r>
          </w:p>
          <w:p w14:paraId="7FCB8AB6">
            <w:pPr>
              <w:ind w:firstLine="482"/>
              <w:jc w:val="center"/>
              <w:rPr>
                <w:b/>
              </w:rPr>
            </w:pPr>
            <w:r>
              <w:rPr>
                <w:rFonts w:hint="eastAsia"/>
                <w:b/>
              </w:rPr>
              <w:t>***（略，涉及商业秘密）</w:t>
            </w:r>
          </w:p>
          <w:p w14:paraId="68E7B3E8">
            <w:pPr>
              <w:adjustRightInd w:val="0"/>
              <w:snapToGrid w:val="0"/>
              <w:ind w:firstLine="480"/>
              <w:outlineLvl w:val="2"/>
            </w:pPr>
            <w:r>
              <w:rPr>
                <w:rFonts w:hint="eastAsia"/>
              </w:rPr>
              <w:t>福建省福州环境监测中心站于2017年6月20日-21日在港区内污水处理设施进出口采样分析，在项目验收监测报告中，按照验收监测的规范要求对各污水处理站污水处理前后效果进行了监测，监测结果详见表2.9-5：</w:t>
            </w:r>
          </w:p>
          <w:p w14:paraId="4689425F">
            <w:pPr>
              <w:spacing w:line="240" w:lineRule="auto"/>
              <w:ind w:firstLine="0" w:firstLineChars="0"/>
              <w:jc w:val="center"/>
              <w:rPr>
                <w:b/>
                <w:szCs w:val="20"/>
              </w:rPr>
            </w:pPr>
            <w:r>
              <w:rPr>
                <w:rFonts w:hint="eastAsia"/>
                <w:b/>
                <w:szCs w:val="20"/>
              </w:rPr>
              <w:t>表2.9-5各污水采样点位监测结果</w:t>
            </w:r>
          </w:p>
          <w:p w14:paraId="29D2277D">
            <w:pPr>
              <w:ind w:firstLine="482"/>
              <w:jc w:val="center"/>
              <w:rPr>
                <w:b/>
              </w:rPr>
            </w:pPr>
            <w:r>
              <w:rPr>
                <w:rFonts w:hint="eastAsia"/>
                <w:b/>
              </w:rPr>
              <w:t>***（略，涉及商业秘密）</w:t>
            </w:r>
          </w:p>
          <w:p w14:paraId="76670E17">
            <w:pPr>
              <w:adjustRightInd w:val="0"/>
              <w:snapToGrid w:val="0"/>
              <w:ind w:firstLine="480"/>
              <w:outlineLvl w:val="2"/>
            </w:pPr>
            <w:r>
              <w:rPr>
                <w:rFonts w:hint="eastAsia"/>
              </w:rPr>
              <w:t>生活污水经化粪池处理后进入天汇石化有限公司的提升池，因验收监测期间水体几乎不流动，故福建省福州环境监测站对化粪池出口采集了平行样。根据项目验收监测数据可知，福州港江阴港区12#、12-1#、12-2#泊位工程港区内的生活污水经化粪池处理后的外排水，各监测水样平均值均能达到《污水综合排放标准》（GB8978-1996）表4三级标准。</w:t>
            </w:r>
          </w:p>
          <w:p w14:paraId="384573C0">
            <w:pPr>
              <w:adjustRightInd w:val="0"/>
              <w:snapToGrid w:val="0"/>
              <w:ind w:firstLine="480"/>
              <w:outlineLvl w:val="2"/>
            </w:pPr>
            <w:r>
              <w:rPr>
                <w:rFonts w:hint="eastAsia"/>
              </w:rPr>
              <w:t>中景石化污水处理设施出口废水经处理后出水中各污染物浓度均能达到《污水综合排放标准》（GB8978-1996）表4三级标准，满足排入江阴工业集中区污水处理厂的条件。</w:t>
            </w:r>
          </w:p>
          <w:p w14:paraId="7ACEBB64">
            <w:pPr>
              <w:adjustRightInd w:val="0"/>
              <w:snapToGrid w:val="0"/>
              <w:ind w:firstLine="482"/>
              <w:outlineLvl w:val="2"/>
              <w:rPr>
                <w:rFonts w:hAnsi="宋体"/>
                <w:b/>
                <w:bCs/>
              </w:rPr>
            </w:pPr>
            <w:r>
              <w:rPr>
                <w:rFonts w:hint="eastAsia" w:hAnsi="宋体"/>
                <w:b/>
                <w:bCs/>
              </w:rPr>
              <w:t>（2）海水监测</w:t>
            </w:r>
          </w:p>
          <w:p w14:paraId="47879971">
            <w:pPr>
              <w:ind w:firstLine="480"/>
              <w:rPr>
                <w:rFonts w:ascii="宋体" w:hAnsi="宋体"/>
              </w:rPr>
            </w:pPr>
            <w:r>
              <w:rPr>
                <w:rFonts w:hint="eastAsia" w:ascii="宋体" w:hAnsi="宋体"/>
              </w:rPr>
              <w:t>一、海水水质监测</w:t>
            </w:r>
          </w:p>
          <w:p w14:paraId="3199102E">
            <w:pPr>
              <w:ind w:firstLine="480"/>
            </w:pPr>
            <w:r>
              <w:rPr>
                <w:rFonts w:hint="eastAsia"/>
              </w:rPr>
              <w:t>验收期间，福建中凯检测技术有限公司于2017年6月20-21日开展现有工程</w:t>
            </w:r>
            <w:r>
              <w:rPr>
                <w:rFonts w:hint="eastAsia" w:ascii="宋体" w:hAnsi="宋体"/>
              </w:rPr>
              <w:t>海水水质监测，</w:t>
            </w:r>
            <w:r>
              <w:rPr>
                <w:rFonts w:hint="eastAsia"/>
              </w:rPr>
              <w:t>在码头西侧、南侧和东侧附近海域布设8个监测点位，对海水水质进行监测。</w:t>
            </w:r>
          </w:p>
          <w:p w14:paraId="034A6511">
            <w:pPr>
              <w:spacing w:line="240" w:lineRule="auto"/>
              <w:ind w:firstLine="0" w:firstLineChars="0"/>
              <w:jc w:val="center"/>
              <w:rPr>
                <w:b/>
                <w:szCs w:val="20"/>
              </w:rPr>
            </w:pPr>
            <w:r>
              <w:rPr>
                <w:rFonts w:hint="eastAsia"/>
                <w:b/>
                <w:szCs w:val="20"/>
              </w:rPr>
              <w:t>表2.9-6码头周边海水水质测点监测结果</w:t>
            </w:r>
          </w:p>
          <w:p w14:paraId="28FB6A4A">
            <w:pPr>
              <w:ind w:firstLine="482"/>
              <w:jc w:val="center"/>
              <w:rPr>
                <w:b/>
              </w:rPr>
            </w:pPr>
            <w:r>
              <w:rPr>
                <w:rFonts w:hint="eastAsia"/>
                <w:b/>
              </w:rPr>
              <w:t>***（略，涉及商业秘密）</w:t>
            </w:r>
          </w:p>
          <w:p w14:paraId="298538AA">
            <w:pPr>
              <w:pStyle w:val="2"/>
              <w:ind w:firstLine="480"/>
            </w:pPr>
            <w:r>
              <w:rPr>
                <w:rFonts w:hint="eastAsia"/>
                <w:lang w:val="en-US" w:eastAsia="zh-CN"/>
              </w:rPr>
              <w:t>从码头周边的水质监测结果来看，附近海水水质与环评阶段水平差别不大。除了无机氮超过第三类标准外，H02、H03、H04、H05、H06、H07站位其余各监测项目水质都可以达到《海水水质标准》（GB3097-1997）第二类标准，H01、H08站位其余各监测项目水质可以达到《海水水质标准》（GB3097-1997）第三类标准。采用环评阶段与验收监测4个相同监测点位的海水水质进行比较，2011年9月的海水水质监测报告中，上述无机氮污染物也出现了超标现象，主要超标原因可能和江阴工业集中区区域污水排放、江阴港区污水排放，以及项目附近海域水产养殖区本身污染的影响等因素有关。</w:t>
            </w:r>
          </w:p>
        </w:tc>
      </w:tr>
    </w:tbl>
    <w:p w14:paraId="0311274C">
      <w:pPr>
        <w:pStyle w:val="6"/>
        <w:spacing w:before="120" w:beforeAutospacing="0"/>
        <w:sectPr>
          <w:footerReference r:id="rId25" w:type="default"/>
          <w:pgSz w:w="16838" w:h="11905" w:orient="landscape"/>
          <w:pgMar w:top="1417" w:right="1417" w:bottom="1417" w:left="1417" w:header="851" w:footer="850" w:gutter="0"/>
          <w:cols w:space="720" w:num="1"/>
          <w:docGrid w:linePitch="326"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
        <w:gridCol w:w="8896"/>
      </w:tblGrid>
      <w:tr w14:paraId="32E2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75" w:hRule="atLeast"/>
        </w:trPr>
        <w:tc>
          <w:tcPr>
            <w:tcW w:w="391" w:type="dxa"/>
          </w:tcPr>
          <w:p w14:paraId="2F2B9CF6">
            <w:pPr>
              <w:pStyle w:val="6"/>
              <w:spacing w:before="120" w:beforeAutospacing="0"/>
            </w:pPr>
          </w:p>
        </w:tc>
        <w:tc>
          <w:tcPr>
            <w:tcW w:w="8896" w:type="dxa"/>
          </w:tcPr>
          <w:p w14:paraId="2BAC6387">
            <w:pPr>
              <w:ind w:firstLine="480"/>
              <w:rPr>
                <w:rFonts w:ascii="宋体" w:hAnsi="宋体"/>
              </w:rPr>
            </w:pPr>
            <w:r>
              <w:rPr>
                <w:rFonts w:hint="eastAsia" w:ascii="宋体" w:hAnsi="宋体"/>
              </w:rPr>
              <w:t>二、海洋沉积物监测</w:t>
            </w:r>
          </w:p>
          <w:p w14:paraId="220C6F81">
            <w:pPr>
              <w:pStyle w:val="2"/>
              <w:ind w:firstLine="480"/>
              <w:rPr>
                <w:lang w:val="en-US" w:eastAsia="zh-CN"/>
              </w:rPr>
            </w:pPr>
            <w:r>
              <w:rPr>
                <w:rFonts w:hint="eastAsia"/>
              </w:rPr>
              <w:t>验收期间，福建中凯检测技术有限公司于2017年6月20-21日开展现有工程</w:t>
            </w:r>
            <w:r>
              <w:rPr>
                <w:rFonts w:hint="eastAsia" w:ascii="宋体" w:hAnsi="宋体"/>
              </w:rPr>
              <w:t>海洋沉积物监测</w:t>
            </w:r>
            <w:r>
              <w:rPr>
                <w:rFonts w:hint="eastAsia" w:ascii="宋体" w:hAnsi="宋体"/>
                <w:lang w:eastAsia="zh-CN"/>
              </w:rPr>
              <w:t>，</w:t>
            </w:r>
            <w:r>
              <w:rPr>
                <w:rFonts w:hint="eastAsia"/>
              </w:rPr>
              <w:t>在码头西侧、南侧和东侧附近海域布设5个监测站位，对</w:t>
            </w:r>
            <w:r>
              <w:rPr>
                <w:rFonts w:hint="eastAsia" w:ascii="宋体" w:hAnsi="宋体"/>
              </w:rPr>
              <w:t>海洋沉积物</w:t>
            </w:r>
            <w:r>
              <w:rPr>
                <w:rFonts w:hint="eastAsia" w:ascii="宋体" w:hAnsi="宋体"/>
                <w:lang w:eastAsia="zh-CN"/>
              </w:rPr>
              <w:t>进行</w:t>
            </w:r>
            <w:r>
              <w:rPr>
                <w:rFonts w:hint="eastAsia" w:ascii="宋体" w:hAnsi="宋体"/>
              </w:rPr>
              <w:t>监测</w:t>
            </w:r>
            <w:r>
              <w:rPr>
                <w:rFonts w:hint="eastAsia"/>
              </w:rPr>
              <w:t>。</w:t>
            </w:r>
          </w:p>
          <w:p w14:paraId="03E7FA68">
            <w:pPr>
              <w:spacing w:line="240" w:lineRule="auto"/>
              <w:ind w:firstLine="0" w:firstLineChars="0"/>
              <w:jc w:val="center"/>
              <w:rPr>
                <w:b/>
                <w:szCs w:val="20"/>
              </w:rPr>
            </w:pPr>
            <w:r>
              <w:rPr>
                <w:rFonts w:hint="eastAsia"/>
                <w:b/>
                <w:szCs w:val="20"/>
              </w:rPr>
              <w:t>表2.9-7 码头周边海洋沉积物监测结果</w:t>
            </w:r>
          </w:p>
          <w:p w14:paraId="67DBC2CF">
            <w:pPr>
              <w:ind w:firstLine="482"/>
              <w:jc w:val="center"/>
            </w:pPr>
            <w:r>
              <w:rPr>
                <w:rFonts w:hint="eastAsia"/>
                <w:b/>
              </w:rPr>
              <w:t>***（略，涉及商业秘密）</w:t>
            </w:r>
          </w:p>
          <w:p w14:paraId="57E23DDF">
            <w:pPr>
              <w:ind w:firstLine="480"/>
            </w:pPr>
            <w:r>
              <w:rPr>
                <w:rFonts w:hint="eastAsia"/>
              </w:rPr>
              <w:t>项目海域沉积物执行《海洋沉积物质量》（GB18668-2002）第一类标准。表2.9-7可以看出，各监测因子均可达到一类海洋沉积物质量标准。</w:t>
            </w:r>
          </w:p>
          <w:p w14:paraId="2C4E5D8F">
            <w:pPr>
              <w:adjustRightInd w:val="0"/>
              <w:snapToGrid w:val="0"/>
              <w:ind w:firstLine="482"/>
              <w:outlineLvl w:val="2"/>
              <w:rPr>
                <w:rFonts w:hAnsi="宋体"/>
                <w:b/>
                <w:bCs/>
              </w:rPr>
            </w:pPr>
            <w:r>
              <w:rPr>
                <w:rFonts w:hint="eastAsia" w:hAnsi="宋体"/>
                <w:b/>
                <w:bCs/>
              </w:rPr>
              <w:t>（3）环境空气影响</w:t>
            </w:r>
          </w:p>
          <w:p w14:paraId="6FC5DB2F">
            <w:pPr>
              <w:ind w:firstLine="480"/>
            </w:pPr>
            <w:r>
              <w:rPr>
                <w:rFonts w:hint="eastAsia"/>
              </w:rPr>
              <w:t>根据验收调查报告现场调查，现有工程试生产期间基本落实环评及环评批复要求的废气污染防治措施：（1）液化品装船时采用浸没式装船方式，同时在装船过程进行密闭收集；（2）严格控制船舶尾气，制定港区船舶准入条件，要求进入本码头的船舶性能符合《船舶大气污染物排放标准》（船舶大气污染物排放控制区实施方案），不符合上述性能的船舶禁止进入现有项目码头。</w:t>
            </w:r>
          </w:p>
          <w:p w14:paraId="1BEB4273">
            <w:pPr>
              <w:ind w:firstLine="480"/>
            </w:pPr>
            <w:r>
              <w:rPr>
                <w:rFonts w:hint="eastAsia"/>
              </w:rPr>
              <w:t>验收期间，福建省福州环境监测中心站于2017年6月20日~22日开展现有工程的环境空气质量和废气监测。设置环境质量监测点位1个；设置大气无组织监测点位4个，上风向参照点1个，单位周界外10m范围内设置3个监控点。</w:t>
            </w:r>
          </w:p>
          <w:p w14:paraId="190D7173">
            <w:pPr>
              <w:spacing w:line="440" w:lineRule="exact"/>
              <w:ind w:firstLine="480"/>
              <w:rPr>
                <w:szCs w:val="21"/>
              </w:rPr>
            </w:pPr>
          </w:p>
          <w:p w14:paraId="0C8EDC13">
            <w:pPr>
              <w:pStyle w:val="6"/>
              <w:spacing w:before="120" w:beforeAutospacing="0"/>
            </w:pPr>
          </w:p>
        </w:tc>
      </w:tr>
      <w:tr w14:paraId="7777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5" w:hRule="atLeast"/>
        </w:trPr>
        <w:tc>
          <w:tcPr>
            <w:tcW w:w="391" w:type="dxa"/>
          </w:tcPr>
          <w:p w14:paraId="0CF9B459">
            <w:pPr>
              <w:pStyle w:val="6"/>
              <w:spacing w:before="120" w:beforeAutospacing="0"/>
            </w:pPr>
          </w:p>
        </w:tc>
        <w:tc>
          <w:tcPr>
            <w:tcW w:w="8896" w:type="dxa"/>
          </w:tcPr>
          <w:p w14:paraId="10AEE3C5">
            <w:pPr>
              <w:spacing w:line="240" w:lineRule="auto"/>
              <w:ind w:firstLine="0" w:firstLineChars="0"/>
              <w:jc w:val="center"/>
              <w:rPr>
                <w:b/>
                <w:szCs w:val="20"/>
              </w:rPr>
            </w:pPr>
            <w:r>
              <w:rPr>
                <w:rFonts w:hint="eastAsia"/>
                <w:b/>
                <w:szCs w:val="20"/>
              </w:rPr>
              <w:t>表2.9-8试运营期间环境空气质量及厂界无组织监测结果单位：mg/m³</w:t>
            </w:r>
          </w:p>
          <w:p w14:paraId="2D1BF62B">
            <w:pPr>
              <w:ind w:firstLine="0" w:firstLineChars="0"/>
              <w:jc w:val="center"/>
            </w:pPr>
            <w:r>
              <w:rPr>
                <w:rFonts w:hint="eastAsia"/>
                <w:b/>
              </w:rPr>
              <w:t>***（略，涉及商业秘密）</w:t>
            </w:r>
          </w:p>
          <w:p w14:paraId="1B0757D8">
            <w:pPr>
              <w:ind w:firstLine="480"/>
            </w:pPr>
            <w:r>
              <w:rPr>
                <w:rFonts w:hint="eastAsia"/>
              </w:rPr>
              <w:t>由监测结果可以看出，在验收监测期间：后林村非甲烷总烃浓度最大值0.14</w:t>
            </w:r>
            <w:r>
              <w:t>mg/m³</w:t>
            </w:r>
            <w:r>
              <w:rPr>
                <w:rFonts w:hint="eastAsia"/>
              </w:rPr>
              <w:t>，符合《大气污染物综合排放标准详解》</w:t>
            </w:r>
            <w:r>
              <w:t>中规定的2mg/m³的标准</w:t>
            </w:r>
            <w:r>
              <w:rPr>
                <w:rFonts w:hint="eastAsia"/>
              </w:rPr>
              <w:t>，调查区域环境空气质量现状较好。码头周边4个大气无组织监控点，非甲烷总烃浓度最大值0.12</w:t>
            </w:r>
            <w:r>
              <w:t>mg/m³</w:t>
            </w:r>
            <w:r>
              <w:rPr>
                <w:rFonts w:hint="eastAsia"/>
              </w:rPr>
              <w:t>，符合《大气污染物综合排放标准》（GB16297-1996）中周界外浓度最高值4.0</w:t>
            </w:r>
            <w:r>
              <w:t>mg/m³</w:t>
            </w:r>
            <w:r>
              <w:rPr>
                <w:rFonts w:hint="eastAsia"/>
              </w:rPr>
              <w:t>的要求。项目试运营期对周边大气环境影响不大。</w:t>
            </w:r>
          </w:p>
          <w:p w14:paraId="535ECCDB">
            <w:pPr>
              <w:adjustRightInd w:val="0"/>
              <w:snapToGrid w:val="0"/>
              <w:ind w:firstLine="482"/>
              <w:outlineLvl w:val="2"/>
              <w:rPr>
                <w:rFonts w:hAnsi="宋体"/>
                <w:b/>
                <w:bCs/>
              </w:rPr>
            </w:pPr>
            <w:r>
              <w:rPr>
                <w:rFonts w:hint="eastAsia" w:hAnsi="宋体"/>
                <w:b/>
                <w:bCs/>
              </w:rPr>
              <w:t>（4）噪声</w:t>
            </w:r>
          </w:p>
          <w:p w14:paraId="6512DE81">
            <w:pPr>
              <w:pStyle w:val="2"/>
              <w:ind w:firstLine="480"/>
              <w:rPr>
                <w:lang w:val="en-US" w:eastAsia="zh-CN"/>
              </w:rPr>
            </w:pPr>
            <w:r>
              <w:rPr>
                <w:rFonts w:hint="eastAsia"/>
              </w:rPr>
              <w:t>验收期间，</w:t>
            </w:r>
            <w:r>
              <w:rPr>
                <w:rFonts w:hint="eastAsia"/>
                <w:lang w:val="en-US" w:eastAsia="zh-CN"/>
              </w:rPr>
              <w:t>福建省福州环境监测中心站于2017年6月20日~21日开展现有工程的噪声监测。厂界共布设5个噪声点位，分别位于12#码头南界外1m、12#码头东界外1m，12#码头北界外1m，12#码头栈桥北界外1m。</w:t>
            </w:r>
          </w:p>
          <w:p w14:paraId="6022FEC3">
            <w:pPr>
              <w:spacing w:line="240" w:lineRule="auto"/>
              <w:ind w:firstLine="0" w:firstLineChars="0"/>
              <w:jc w:val="center"/>
              <w:rPr>
                <w:b/>
                <w:szCs w:val="20"/>
              </w:rPr>
            </w:pPr>
            <w:r>
              <w:rPr>
                <w:rFonts w:hint="eastAsia"/>
                <w:b/>
                <w:szCs w:val="20"/>
              </w:rPr>
              <w:t>表2.9-9噪声检测结果</w:t>
            </w:r>
          </w:p>
          <w:p w14:paraId="49F6FDD4">
            <w:pPr>
              <w:ind w:firstLine="0" w:firstLineChars="0"/>
              <w:jc w:val="center"/>
            </w:pPr>
            <w:r>
              <w:rPr>
                <w:rFonts w:hint="eastAsia"/>
                <w:b/>
              </w:rPr>
              <w:t>***（略，涉及商业秘密）</w:t>
            </w:r>
          </w:p>
          <w:p w14:paraId="5FCD9ACF">
            <w:pPr>
              <w:pStyle w:val="2"/>
              <w:ind w:firstLine="480"/>
              <w:rPr>
                <w:szCs w:val="22"/>
              </w:rPr>
            </w:pPr>
            <w:r>
              <w:rPr>
                <w:rFonts w:hint="eastAsia"/>
                <w:lang w:val="en-US" w:eastAsia="zh-CN"/>
              </w:rPr>
              <w:t>由上表可以看出，厂界噪声监测点位昼间噪声在48.3~54.8dB之间，夜间噪声在48.0~54.7dB之间，满足《工业企业厂界环境噪声排放标准》（GB12348-2008）中的3类标准要求（昼间65dB、夜间55dB）。根据对工程附近居民的走访以及向当地生态环境部门进行咨询，现有工程试运营阶段生态环境部门未接到相关环保投诉。综上所述，现有工程营运过程产生的噪声没有对工程周围声环境及保护目标产生明显影响。</w:t>
            </w:r>
          </w:p>
          <w:p w14:paraId="2D7AFB53">
            <w:pPr>
              <w:adjustRightInd w:val="0"/>
              <w:snapToGrid w:val="0"/>
              <w:ind w:firstLine="482"/>
              <w:outlineLvl w:val="2"/>
              <w:rPr>
                <w:rFonts w:hAnsi="宋体"/>
                <w:b/>
                <w:bCs/>
              </w:rPr>
            </w:pPr>
            <w:r>
              <w:rPr>
                <w:rFonts w:hint="eastAsia" w:hAnsi="宋体"/>
                <w:b/>
                <w:bCs/>
              </w:rPr>
              <w:t>（4）固体废物</w:t>
            </w:r>
          </w:p>
          <w:p w14:paraId="277EFE10">
            <w:pPr>
              <w:ind w:firstLine="480"/>
              <w:rPr>
                <w:szCs w:val="22"/>
              </w:rPr>
            </w:pPr>
            <w:r>
              <w:rPr>
                <w:rFonts w:hint="eastAsia"/>
                <w:szCs w:val="22"/>
              </w:rPr>
              <w:t>现有工程固体废物主要为港区生活垃圾及船舶生活垃圾、维修废物等。</w:t>
            </w:r>
          </w:p>
          <w:p w14:paraId="661D9612">
            <w:pPr>
              <w:ind w:firstLine="480"/>
              <w:rPr>
                <w:szCs w:val="22"/>
              </w:rPr>
            </w:pPr>
            <w:r>
              <w:rPr>
                <w:rFonts w:hint="eastAsia"/>
                <w:szCs w:val="22"/>
              </w:rPr>
              <w:t>1）生活垃圾</w:t>
            </w:r>
          </w:p>
          <w:p w14:paraId="282DC9F6">
            <w:pPr>
              <w:ind w:firstLine="480"/>
              <w:rPr>
                <w:szCs w:val="22"/>
              </w:rPr>
            </w:pPr>
            <w:r>
              <w:rPr>
                <w:rFonts w:hint="eastAsia"/>
                <w:szCs w:val="22"/>
              </w:rPr>
              <w:t>根据实际调查，码头作业人员生活设施依托码头后方的福州中民新能源有限公司，其中码头控制室操作人员及门岗工作人员共7人，产生的生活垃圾需进行收集，每天产生量为5kg/d，年产生量1.6t（320天计）。生活垃圾统一由当地环卫部门收集后处理。</w:t>
            </w:r>
          </w:p>
          <w:p w14:paraId="70B3A0B9">
            <w:pPr>
              <w:ind w:firstLine="480"/>
              <w:rPr>
                <w:szCs w:val="22"/>
              </w:rPr>
            </w:pPr>
            <w:r>
              <w:rPr>
                <w:rFonts w:hint="eastAsia"/>
                <w:szCs w:val="22"/>
              </w:rPr>
              <w:t>2）危险废物</w:t>
            </w:r>
          </w:p>
          <w:p w14:paraId="7888A9BE">
            <w:pPr>
              <w:ind w:firstLine="480"/>
              <w:rPr>
                <w:szCs w:val="22"/>
              </w:rPr>
            </w:pPr>
            <w:r>
              <w:rPr>
                <w:rFonts w:hint="eastAsia"/>
                <w:szCs w:val="22"/>
              </w:rPr>
              <w:t>现有工程机修过程产生的机修废物主要是废油，属于危险废物类别HW08（900-200-08）。现有工程自试运行以来，尚未产生危险废物。机修过程产生的危险废物暂存于危险废物贮存库。公司已与邵武绿益新环保产业开发有限公司签订处置协议委托处理。</w:t>
            </w:r>
          </w:p>
          <w:p w14:paraId="315AD371">
            <w:pPr>
              <w:ind w:firstLine="480"/>
              <w:rPr>
                <w:szCs w:val="22"/>
              </w:rPr>
            </w:pPr>
            <w:r>
              <w:rPr>
                <w:rFonts w:hint="eastAsia"/>
                <w:szCs w:val="22"/>
              </w:rPr>
              <w:t>3）到港船舶生活垃圾</w:t>
            </w:r>
          </w:p>
          <w:p w14:paraId="41D33690">
            <w:pPr>
              <w:ind w:firstLine="480"/>
              <w:rPr>
                <w:szCs w:val="22"/>
              </w:rPr>
            </w:pPr>
            <w:r>
              <w:rPr>
                <w:rFonts w:hint="eastAsia"/>
                <w:szCs w:val="22"/>
              </w:rPr>
              <w:t>到港船舶生活垃圾由福州百洋恒丰船舶服务有限公司进行接收处置。</w:t>
            </w:r>
          </w:p>
          <w:p w14:paraId="1E4BA5D5">
            <w:pPr>
              <w:ind w:firstLine="480"/>
              <w:rPr>
                <w:szCs w:val="22"/>
              </w:rPr>
            </w:pPr>
            <w:r>
              <w:rPr>
                <w:rFonts w:hint="eastAsia"/>
                <w:szCs w:val="22"/>
              </w:rPr>
              <w:t>综上，现有工程产生的固体废物均可得到有效处置，不会对周边环境产生影响。</w:t>
            </w:r>
          </w:p>
          <w:p w14:paraId="4FE7AAC1">
            <w:pPr>
              <w:adjustRightInd w:val="0"/>
              <w:snapToGrid w:val="0"/>
              <w:ind w:firstLine="482"/>
              <w:outlineLvl w:val="2"/>
              <w:rPr>
                <w:rFonts w:hAnsi="宋体"/>
                <w:b/>
                <w:bCs/>
              </w:rPr>
            </w:pPr>
            <w:r>
              <w:rPr>
                <w:rFonts w:hint="eastAsia" w:hAnsi="宋体"/>
                <w:b/>
                <w:bCs/>
              </w:rPr>
              <w:t>（5）海洋生态环境现状调查</w:t>
            </w:r>
          </w:p>
          <w:p w14:paraId="32AB72C5">
            <w:pPr>
              <w:ind w:firstLine="480"/>
              <w:rPr>
                <w:szCs w:val="22"/>
              </w:rPr>
            </w:pPr>
            <w:r>
              <w:rPr>
                <w:rFonts w:hint="eastAsia"/>
                <w:szCs w:val="22"/>
              </w:rPr>
              <w:t>验收期间，福建中凯检测技术有限公司于现有工程2017年6月21日海洋生态环境现状调查，其中设海洋生态调查站位5个，海洋生态监测的内容包括叶绿素a、浮游植物、浮游动物、底栖生物、潮间带生物。采样站点及位置共5个，分别为H01、H03、H04、H05、H07，调查情况如下。</w:t>
            </w:r>
          </w:p>
          <w:p w14:paraId="35045160">
            <w:pPr>
              <w:ind w:firstLine="480"/>
              <w:rPr>
                <w:szCs w:val="22"/>
              </w:rPr>
            </w:pPr>
            <w:r>
              <w:rPr>
                <w:rFonts w:hint="eastAsia"/>
                <w:szCs w:val="22"/>
              </w:rPr>
              <w:t>（1）叶绿素-a</w:t>
            </w:r>
          </w:p>
          <w:p w14:paraId="78523F7E">
            <w:pPr>
              <w:ind w:firstLine="480"/>
              <w:rPr>
                <w:szCs w:val="22"/>
              </w:rPr>
            </w:pPr>
            <w:r>
              <w:rPr>
                <w:rFonts w:hint="eastAsia"/>
                <w:szCs w:val="22"/>
              </w:rPr>
              <w:t>调查监测期间，各站点叶绿素-a浓度范围1.78~4.38µg/L，平均值3.33µg/L，其中H04站点最大，为4.38µg/L；H05站点最小，为1.78µg/L。</w:t>
            </w:r>
          </w:p>
          <w:p w14:paraId="6BBDAABD">
            <w:pPr>
              <w:ind w:firstLine="480"/>
              <w:rPr>
                <w:szCs w:val="22"/>
              </w:rPr>
            </w:pPr>
            <w:r>
              <w:rPr>
                <w:rFonts w:hint="eastAsia"/>
                <w:szCs w:val="22"/>
              </w:rPr>
              <w:t>（2）浮游植物</w:t>
            </w:r>
          </w:p>
          <w:p w14:paraId="2376B373">
            <w:pPr>
              <w:ind w:firstLine="480"/>
              <w:rPr>
                <w:szCs w:val="22"/>
              </w:rPr>
            </w:pPr>
            <w:r>
              <w:rPr>
                <w:rFonts w:hint="eastAsia"/>
                <w:szCs w:val="22"/>
              </w:rPr>
              <w:t>①种类组成</w:t>
            </w:r>
          </w:p>
          <w:p w14:paraId="4166EAD2">
            <w:pPr>
              <w:ind w:firstLine="480"/>
              <w:rPr>
                <w:szCs w:val="22"/>
              </w:rPr>
            </w:pPr>
            <w:r>
              <w:rPr>
                <w:rFonts w:hint="eastAsia"/>
                <w:szCs w:val="22"/>
              </w:rPr>
              <w:t>调查区域的浮游植物共计有28种，其中H01站位浮游植物为23种，H03站位浮游植物为18种，H04站位浮游植物为25种，H05站位浮游植物为25种，H07站位浮游植物为23种。总体来说，浮游植物空间分布比较均匀，种类数量相当。</w:t>
            </w:r>
          </w:p>
          <w:p w14:paraId="4B16A1C2">
            <w:pPr>
              <w:ind w:firstLine="480"/>
              <w:rPr>
                <w:szCs w:val="22"/>
              </w:rPr>
            </w:pPr>
            <w:r>
              <w:rPr>
                <w:rFonts w:hint="eastAsia"/>
                <w:szCs w:val="22"/>
              </w:rPr>
              <w:t>②数量分布</w:t>
            </w:r>
          </w:p>
          <w:p w14:paraId="16B9F60B">
            <w:pPr>
              <w:ind w:firstLine="480"/>
              <w:rPr>
                <w:szCs w:val="22"/>
              </w:rPr>
            </w:pPr>
            <w:r>
              <w:rPr>
                <w:rFonts w:hint="eastAsia"/>
                <w:szCs w:val="22"/>
              </w:rPr>
              <w:t>调查海域的浮游植物栖息密度范围在3280个/L～9680个/L之间，各站位之间分布比较均匀，最高值出现在H07站位，为9680个/L；最低值出现在3#站位，为3280个/L。平均值6432个/L。</w:t>
            </w:r>
          </w:p>
          <w:p w14:paraId="31150D8B">
            <w:pPr>
              <w:ind w:firstLine="480"/>
              <w:rPr>
                <w:szCs w:val="22"/>
              </w:rPr>
            </w:pPr>
            <w:r>
              <w:rPr>
                <w:rFonts w:hint="eastAsia"/>
                <w:szCs w:val="22"/>
              </w:rPr>
              <w:t>③多样性水平</w:t>
            </w:r>
          </w:p>
          <w:p w14:paraId="7758B6ED">
            <w:pPr>
              <w:ind w:firstLine="480"/>
              <w:rPr>
                <w:szCs w:val="22"/>
              </w:rPr>
            </w:pPr>
            <w:r>
              <w:rPr>
                <w:rFonts w:hint="eastAsia"/>
                <w:szCs w:val="22"/>
              </w:rPr>
              <w:t>浮游植物多样性指数H′分布较为均匀，范围为3.23～3.98，平均值为3.67；均匀度J范围为0.47～0.71，平均值为0.60；优势度D范围为0.25～0.45，平均值为0.35；丰富度d范围为3.04～3.77，平均值为3.41。</w:t>
            </w:r>
          </w:p>
          <w:p w14:paraId="262A1106">
            <w:pPr>
              <w:ind w:firstLine="480"/>
              <w:rPr>
                <w:szCs w:val="22"/>
              </w:rPr>
            </w:pPr>
            <w:r>
              <w:rPr>
                <w:rFonts w:hint="eastAsia"/>
                <w:szCs w:val="22"/>
              </w:rPr>
              <w:t>（3）浮游动物</w:t>
            </w:r>
          </w:p>
          <w:p w14:paraId="4C4D187F">
            <w:pPr>
              <w:ind w:firstLine="480"/>
              <w:rPr>
                <w:szCs w:val="22"/>
              </w:rPr>
            </w:pPr>
            <w:r>
              <w:rPr>
                <w:rFonts w:hint="eastAsia"/>
                <w:szCs w:val="22"/>
              </w:rPr>
              <w:t>浮游动物多样性指数H′分布较为均匀，范围为3.11～3.52，平均值为3.32；均匀度J范围为0.32～0.35，平均值为0.34；优势度D范围为0.34～0.44，平均值为0.39；丰富度d范围为1.20~1.40，平均值为1.30。</w:t>
            </w:r>
          </w:p>
          <w:p w14:paraId="03907249">
            <w:pPr>
              <w:ind w:firstLine="480"/>
              <w:rPr>
                <w:szCs w:val="22"/>
              </w:rPr>
            </w:pPr>
            <w:r>
              <w:rPr>
                <w:rFonts w:hint="eastAsia"/>
                <w:szCs w:val="22"/>
              </w:rPr>
              <w:t>（4）底栖生物</w:t>
            </w:r>
          </w:p>
          <w:p w14:paraId="4238301F">
            <w:pPr>
              <w:ind w:firstLine="480"/>
              <w:rPr>
                <w:szCs w:val="22"/>
              </w:rPr>
            </w:pPr>
            <w:r>
              <w:rPr>
                <w:rFonts w:hint="eastAsia"/>
                <w:szCs w:val="22"/>
              </w:rPr>
              <w:t>①种类组成</w:t>
            </w:r>
          </w:p>
          <w:p w14:paraId="7E6396F6">
            <w:pPr>
              <w:ind w:firstLine="480"/>
              <w:rPr>
                <w:szCs w:val="22"/>
              </w:rPr>
            </w:pPr>
            <w:r>
              <w:rPr>
                <w:rFonts w:hint="eastAsia"/>
                <w:szCs w:val="22"/>
              </w:rPr>
              <w:t>经鉴定本次调查的底栖生物共15种，其中H05、H07站位种类最多，为13种；H03站位最少，为10种。总体来说，浮游动物空间分布比较均匀，种类数量相当。</w:t>
            </w:r>
          </w:p>
          <w:p w14:paraId="167CBF51">
            <w:pPr>
              <w:ind w:firstLine="480"/>
              <w:rPr>
                <w:szCs w:val="22"/>
              </w:rPr>
            </w:pPr>
            <w:r>
              <w:rPr>
                <w:rFonts w:hint="eastAsia"/>
                <w:szCs w:val="22"/>
              </w:rPr>
              <w:t>②数量分布</w:t>
            </w:r>
          </w:p>
          <w:p w14:paraId="3D17F892">
            <w:pPr>
              <w:ind w:firstLine="480"/>
              <w:rPr>
                <w:szCs w:val="22"/>
              </w:rPr>
            </w:pPr>
            <w:r>
              <w:rPr>
                <w:rFonts w:hint="eastAsia"/>
                <w:szCs w:val="22"/>
              </w:rPr>
              <w:t>调查海域的底栖生物密度分布均匀，密度范围为210~290个/m²，平均值242个/m²。</w:t>
            </w:r>
          </w:p>
          <w:p w14:paraId="007A0AEA">
            <w:pPr>
              <w:ind w:firstLine="480"/>
              <w:rPr>
                <w:szCs w:val="22"/>
              </w:rPr>
            </w:pPr>
            <w:r>
              <w:rPr>
                <w:rFonts w:hint="eastAsia"/>
                <w:szCs w:val="22"/>
              </w:rPr>
              <w:t>H07站位密度最大，为290个/m²；H03、H04站位密度最小，为210个/m²。生物量分布空间差异较大，范围71.3~193.1mg/m²，平均值138.82mg/m²。H05站位生物量最大，为193.1mg/m²，H03站位生物量最小，为71.3mg/m²。</w:t>
            </w:r>
          </w:p>
          <w:p w14:paraId="118DA116">
            <w:pPr>
              <w:ind w:firstLine="480"/>
              <w:rPr>
                <w:szCs w:val="22"/>
              </w:rPr>
            </w:pPr>
            <w:r>
              <w:rPr>
                <w:rFonts w:hint="eastAsia"/>
                <w:szCs w:val="22"/>
              </w:rPr>
              <w:t>③多样性水平</w:t>
            </w:r>
          </w:p>
          <w:p w14:paraId="6810BBDC">
            <w:pPr>
              <w:ind w:firstLine="480"/>
              <w:rPr>
                <w:szCs w:val="22"/>
              </w:rPr>
            </w:pPr>
            <w:r>
              <w:rPr>
                <w:rFonts w:hint="eastAsia"/>
                <w:szCs w:val="22"/>
              </w:rPr>
              <w:t>底栖生物多样性指数H′分布较为均匀，范围为3.10～3.58，平均值为3.39；均匀度J范围为0.72～0.89，平均值为0.78；优势度D范围为0.24～0.36，平均值为0.30；丰富度d范围为2.21~2.52，平均值为2.40。</w:t>
            </w:r>
          </w:p>
          <w:p w14:paraId="3EA8E206">
            <w:pPr>
              <w:ind w:firstLine="480"/>
              <w:rPr>
                <w:szCs w:val="22"/>
              </w:rPr>
            </w:pPr>
            <w:r>
              <w:rPr>
                <w:rFonts w:hint="eastAsia"/>
                <w:szCs w:val="22"/>
              </w:rPr>
              <w:t>（5）潮间带生物</w:t>
            </w:r>
          </w:p>
          <w:p w14:paraId="6F0A376D">
            <w:pPr>
              <w:ind w:firstLine="480"/>
              <w:rPr>
                <w:szCs w:val="22"/>
              </w:rPr>
            </w:pPr>
            <w:r>
              <w:rPr>
                <w:rFonts w:hint="eastAsia"/>
                <w:szCs w:val="22"/>
              </w:rPr>
              <w:t>①种类组成</w:t>
            </w:r>
          </w:p>
          <w:p w14:paraId="1721C048">
            <w:pPr>
              <w:ind w:firstLine="480"/>
              <w:rPr>
                <w:szCs w:val="22"/>
              </w:rPr>
            </w:pPr>
            <w:r>
              <w:rPr>
                <w:rFonts w:hint="eastAsia"/>
                <w:szCs w:val="22"/>
              </w:rPr>
              <w:t>经鉴定本次调查的潮间带生物共10种，其中高潮区6中，中潮、低潮区各10种。</w:t>
            </w:r>
          </w:p>
          <w:p w14:paraId="73EEDD86">
            <w:pPr>
              <w:ind w:firstLine="480"/>
              <w:rPr>
                <w:szCs w:val="22"/>
              </w:rPr>
            </w:pPr>
            <w:r>
              <w:rPr>
                <w:rFonts w:hint="eastAsia"/>
                <w:szCs w:val="22"/>
              </w:rPr>
              <w:t>②数量分布</w:t>
            </w:r>
          </w:p>
          <w:p w14:paraId="60667494">
            <w:pPr>
              <w:ind w:firstLine="480"/>
              <w:rPr>
                <w:szCs w:val="22"/>
              </w:rPr>
            </w:pPr>
            <w:r>
              <w:rPr>
                <w:rFonts w:hint="eastAsia"/>
                <w:szCs w:val="22"/>
              </w:rPr>
              <w:t>调查海域的潮间带生物密度分布均匀，密度范围为88~104个/m²，平均值98个/m²。</w:t>
            </w:r>
          </w:p>
          <w:p w14:paraId="38E0BAD2">
            <w:pPr>
              <w:ind w:firstLine="480"/>
              <w:rPr>
                <w:szCs w:val="22"/>
              </w:rPr>
            </w:pPr>
            <w:r>
              <w:rPr>
                <w:rFonts w:hint="eastAsia"/>
                <w:szCs w:val="22"/>
              </w:rPr>
              <w:t>中潮区密度最大，为104个/m²；高潮区密度最小，为88个/m²。生物量分布较为均匀，范围219.5~261.5mg/m²，平均值240.7mg/m²。低潮区生物量最大，为261.5mg/m²，高潮区生物量最小，为219.5mg/m²。</w:t>
            </w:r>
          </w:p>
          <w:p w14:paraId="06CE9638">
            <w:pPr>
              <w:ind w:firstLine="480"/>
              <w:rPr>
                <w:szCs w:val="22"/>
              </w:rPr>
            </w:pPr>
            <w:r>
              <w:rPr>
                <w:rFonts w:hint="eastAsia"/>
                <w:szCs w:val="22"/>
              </w:rPr>
              <w:t>④多样性水平</w:t>
            </w:r>
          </w:p>
          <w:p w14:paraId="7522598B">
            <w:pPr>
              <w:ind w:firstLine="480"/>
              <w:rPr>
                <w:szCs w:val="22"/>
              </w:rPr>
            </w:pPr>
            <w:r>
              <w:rPr>
                <w:rFonts w:hint="eastAsia"/>
                <w:szCs w:val="22"/>
              </w:rPr>
              <w:t>潮间带生物多样性指数H′分布较为均匀，范围为2.73～3.39，平均值为3.12；均匀度J范围为0.57～0.79，平均值为0.65；优势度D范围为0.31～0.39，平均值为0.35；丰富度d范围为1.73~1.94，平均值为1.87。</w:t>
            </w:r>
          </w:p>
          <w:p w14:paraId="10D54305">
            <w:pPr>
              <w:adjustRightInd w:val="0"/>
              <w:snapToGrid w:val="0"/>
              <w:ind w:firstLine="482"/>
              <w:outlineLvl w:val="2"/>
              <w:rPr>
                <w:rFonts w:hAnsi="宋体"/>
                <w:b/>
                <w:bCs/>
              </w:rPr>
            </w:pPr>
            <w:r>
              <w:rPr>
                <w:rFonts w:hint="eastAsia" w:hAnsi="宋体"/>
                <w:b/>
                <w:bCs/>
              </w:rPr>
              <w:t>（6）试运营期海洋生态环境影响调查结果</w:t>
            </w:r>
          </w:p>
          <w:p w14:paraId="66435AF1">
            <w:pPr>
              <w:ind w:firstLine="480"/>
              <w:rPr>
                <w:szCs w:val="22"/>
              </w:rPr>
            </w:pPr>
            <w:r>
              <w:rPr>
                <w:rFonts w:hint="eastAsia"/>
                <w:szCs w:val="22"/>
              </w:rPr>
              <w:t>采用种类多样性指数、均匀度指数进行调查结果分析，</w:t>
            </w:r>
          </w:p>
          <w:p w14:paraId="30FFDF84">
            <w:pPr>
              <w:ind w:firstLine="480"/>
              <w:rPr>
                <w:szCs w:val="22"/>
              </w:rPr>
            </w:pPr>
            <w:r>
              <w:rPr>
                <w:rFonts w:hint="eastAsia"/>
                <w:szCs w:val="22"/>
              </w:rPr>
              <w:t>（1）浮游植物</w:t>
            </w:r>
          </w:p>
          <w:p w14:paraId="016584D3">
            <w:pPr>
              <w:ind w:firstLine="480"/>
              <w:rPr>
                <w:szCs w:val="22"/>
              </w:rPr>
            </w:pPr>
            <w:r>
              <w:rPr>
                <w:rFonts w:hint="eastAsia"/>
                <w:szCs w:val="22"/>
              </w:rPr>
              <w:t>调查区域的浮游植物多样性指数平均值为3.67，生境质量等级为优良。均匀度平均值为0.60，个体分布较均匀。</w:t>
            </w:r>
          </w:p>
          <w:p w14:paraId="330096A5">
            <w:pPr>
              <w:ind w:firstLine="480"/>
              <w:rPr>
                <w:szCs w:val="22"/>
              </w:rPr>
            </w:pPr>
            <w:r>
              <w:rPr>
                <w:rFonts w:hint="eastAsia"/>
                <w:szCs w:val="22"/>
              </w:rPr>
              <w:t>（2）浮游动物</w:t>
            </w:r>
          </w:p>
          <w:p w14:paraId="00CEA5B5">
            <w:pPr>
              <w:ind w:firstLine="480"/>
              <w:rPr>
                <w:szCs w:val="22"/>
              </w:rPr>
            </w:pPr>
            <w:r>
              <w:rPr>
                <w:rFonts w:hint="eastAsia"/>
                <w:szCs w:val="22"/>
              </w:rPr>
              <w:t>浮游动物多样性指数平均值为3.32，生境质量等级为优良。均匀度平均值为0.34，个体分布欠均匀。</w:t>
            </w:r>
          </w:p>
          <w:p w14:paraId="3C408E85">
            <w:pPr>
              <w:ind w:firstLine="480"/>
              <w:rPr>
                <w:szCs w:val="22"/>
              </w:rPr>
            </w:pPr>
            <w:r>
              <w:rPr>
                <w:rFonts w:hint="eastAsia"/>
                <w:szCs w:val="22"/>
              </w:rPr>
              <w:t>（3）底栖生物</w:t>
            </w:r>
          </w:p>
          <w:p w14:paraId="18F66160">
            <w:pPr>
              <w:ind w:firstLine="480"/>
              <w:rPr>
                <w:szCs w:val="22"/>
              </w:rPr>
            </w:pPr>
            <w:r>
              <w:rPr>
                <w:rFonts w:hint="eastAsia"/>
                <w:szCs w:val="22"/>
              </w:rPr>
              <w:t>底栖生物多样性指数平均值为3.39，生境质量等级为优良。均匀度平均值为0.78，个体分布较均匀。</w:t>
            </w:r>
          </w:p>
          <w:p w14:paraId="172D1F94">
            <w:pPr>
              <w:ind w:firstLine="480"/>
              <w:rPr>
                <w:szCs w:val="22"/>
              </w:rPr>
            </w:pPr>
            <w:r>
              <w:rPr>
                <w:rFonts w:hint="eastAsia"/>
                <w:szCs w:val="22"/>
              </w:rPr>
              <w:t>（4）潮间带生物</w:t>
            </w:r>
          </w:p>
          <w:p w14:paraId="3E239805">
            <w:pPr>
              <w:ind w:firstLine="480"/>
              <w:rPr>
                <w:szCs w:val="22"/>
              </w:rPr>
            </w:pPr>
            <w:r>
              <w:rPr>
                <w:rFonts w:hint="eastAsia"/>
                <w:szCs w:val="22"/>
              </w:rPr>
              <w:t>潮间带生物多样性指数平均值为3.12，生境质量等级为优良。均匀度平均值为0.65，个体分布较均匀。</w:t>
            </w:r>
          </w:p>
          <w:p w14:paraId="3DCE9F66">
            <w:pPr>
              <w:ind w:firstLine="480"/>
              <w:rPr>
                <w:szCs w:val="22"/>
              </w:rPr>
            </w:pPr>
            <w:r>
              <w:rPr>
                <w:rFonts w:hint="eastAsia"/>
                <w:szCs w:val="22"/>
              </w:rPr>
              <w:t>总体来说，现有项目试运营期对浮游植物、底栖生物、潮间带生物的影响均较小，浮游动物个体分布欠均匀，受到一定的影响，但是随着时间的推移浮游动物的种类会逐渐得到恢复。</w:t>
            </w:r>
          </w:p>
          <w:p w14:paraId="65561599">
            <w:pPr>
              <w:adjustRightInd w:val="0"/>
              <w:snapToGrid w:val="0"/>
              <w:ind w:firstLine="482"/>
              <w:outlineLvl w:val="2"/>
              <w:rPr>
                <w:rFonts w:hAnsi="宋体"/>
                <w:b/>
                <w:bCs/>
              </w:rPr>
            </w:pPr>
            <w:r>
              <w:rPr>
                <w:rFonts w:hint="eastAsia" w:hAnsi="宋体"/>
                <w:b/>
                <w:bCs/>
              </w:rPr>
              <w:t>（7）试运营过程社会环境影响调查分析</w:t>
            </w:r>
          </w:p>
          <w:p w14:paraId="46022E19">
            <w:pPr>
              <w:pStyle w:val="2"/>
              <w:ind w:firstLine="480"/>
              <w:rPr>
                <w:lang w:val="en-US" w:eastAsia="zh-CN"/>
              </w:rPr>
            </w:pPr>
            <w:r>
              <w:rPr>
                <w:rFonts w:hint="eastAsia"/>
                <w:lang w:val="en-US" w:eastAsia="zh-CN"/>
              </w:rPr>
              <w:t>根据验收调查公众意见调查结果表明，被调查的当地居民87%对工程环保工作表示满意，13%表示基本满意；被调查的来港船舶作业人员100%对工程环保工作表示满意；被调查的单位16.7%对工程环保工作表示满意，83.3%表示基本满意。经向当地环保主管部门咨询，本工程建设和试运营期间未收到与工程施工和运营有关的环保投诉。本工程施工及试运营期间社会环境影响在可接受范围内。</w:t>
            </w:r>
          </w:p>
          <w:p w14:paraId="49E3816B">
            <w:pPr>
              <w:adjustRightInd w:val="0"/>
              <w:snapToGrid w:val="0"/>
              <w:ind w:firstLine="482"/>
              <w:outlineLvl w:val="2"/>
              <w:rPr>
                <w:b/>
                <w:bCs/>
              </w:rPr>
            </w:pPr>
            <w:r>
              <w:rPr>
                <w:b/>
                <w:bCs/>
              </w:rPr>
              <w:t>2.</w:t>
            </w:r>
            <w:r>
              <w:rPr>
                <w:rFonts w:hint="eastAsia"/>
                <w:b/>
                <w:bCs/>
              </w:rPr>
              <w:t>9</w:t>
            </w:r>
            <w:r>
              <w:rPr>
                <w:b/>
                <w:bCs/>
              </w:rPr>
              <w:t>.</w:t>
            </w:r>
            <w:r>
              <w:rPr>
                <w:rFonts w:hint="eastAsia"/>
                <w:b/>
                <w:bCs/>
              </w:rPr>
              <w:t>5</w:t>
            </w:r>
            <w:r>
              <w:rPr>
                <w:rFonts w:hAnsi="宋体"/>
                <w:b/>
                <w:bCs/>
              </w:rPr>
              <w:t>现有工程污染物排放总量</w:t>
            </w:r>
          </w:p>
          <w:p w14:paraId="493C9171">
            <w:pPr>
              <w:pStyle w:val="2"/>
              <w:ind w:firstLine="480"/>
              <w:rPr>
                <w:lang w:val="en-US" w:eastAsia="zh-CN"/>
              </w:rPr>
            </w:pPr>
            <w:r>
              <w:rPr>
                <w:rFonts w:hint="eastAsia"/>
                <w:lang w:val="en-US" w:eastAsia="zh-CN"/>
              </w:rPr>
              <w:t>《福州港江阴港区12#、12-1#、12-2#泊位工程竣工环境保护验收调查报告》中章节9.2总量控制目标达标分析：</w:t>
            </w:r>
          </w:p>
          <w:p w14:paraId="14E1D0C9">
            <w:pPr>
              <w:pStyle w:val="2"/>
              <w:ind w:firstLine="480"/>
              <w:rPr>
                <w:lang w:val="en-US" w:eastAsia="zh-CN"/>
              </w:rPr>
            </w:pPr>
            <w:r>
              <w:rPr>
                <w:rFonts w:hint="eastAsia"/>
                <w:lang w:val="en-US" w:eastAsia="zh-CN"/>
              </w:rPr>
              <w:t>根据工程实际建设情况，港区内产生的少量生活污水经化粪池处理达GB8978-1996《污水综合排放标准》中的三级标准后，排入天汇物流石化有限公司提升池后接中景石化有限公司污水处理站均质池后纳入江阴工业集中区污水处理厂。</w:t>
            </w:r>
          </w:p>
          <w:p w14:paraId="35981169">
            <w:pPr>
              <w:pStyle w:val="2"/>
              <w:ind w:firstLine="480"/>
              <w:rPr>
                <w:lang w:val="en-US" w:eastAsia="zh-CN"/>
              </w:rPr>
            </w:pPr>
            <w:r>
              <w:rPr>
                <w:rFonts w:hint="eastAsia"/>
                <w:lang w:val="en-US" w:eastAsia="zh-CN"/>
              </w:rPr>
              <w:t>生产废水及初期雨水等经收集后送入后方陆域的福建中景石化有限公司污水处理站经预处理达标后排入江阴工业区污水处理统一处理。</w:t>
            </w:r>
          </w:p>
          <w:p w14:paraId="16EC57B3">
            <w:pPr>
              <w:pStyle w:val="2"/>
              <w:ind w:firstLine="480"/>
              <w:rPr>
                <w:lang w:val="en-US" w:eastAsia="zh-CN"/>
              </w:rPr>
            </w:pPr>
            <w:r>
              <w:rPr>
                <w:rFonts w:hint="eastAsia"/>
                <w:lang w:val="en-US" w:eastAsia="zh-CN"/>
              </w:rPr>
              <w:t>因此，现有项目水污染物排放总量纳入江阴工业集中区污水处理厂总量控制范围，故现有项目不进行污染物的总量控制和调配。满足环境影响报告书提出的总量控制要求。</w:t>
            </w:r>
          </w:p>
          <w:p w14:paraId="5904F385">
            <w:pPr>
              <w:adjustRightInd w:val="0"/>
              <w:snapToGrid w:val="0"/>
              <w:ind w:firstLine="482"/>
              <w:outlineLvl w:val="2"/>
              <w:rPr>
                <w:rFonts w:hAnsi="宋体"/>
                <w:b/>
                <w:bCs/>
              </w:rPr>
            </w:pPr>
            <w:r>
              <w:rPr>
                <w:rFonts w:hAnsi="宋体"/>
                <w:b/>
                <w:bCs/>
              </w:rPr>
              <w:t>2.</w:t>
            </w:r>
            <w:r>
              <w:rPr>
                <w:rFonts w:hint="eastAsia" w:hAnsi="宋体"/>
                <w:b/>
                <w:bCs/>
              </w:rPr>
              <w:t>9</w:t>
            </w:r>
            <w:r>
              <w:rPr>
                <w:rFonts w:hAnsi="宋体"/>
                <w:b/>
                <w:bCs/>
              </w:rPr>
              <w:t>.</w:t>
            </w:r>
            <w:r>
              <w:rPr>
                <w:rFonts w:hint="eastAsia" w:hAnsi="宋体"/>
                <w:b/>
                <w:bCs/>
              </w:rPr>
              <w:t>8</w:t>
            </w:r>
            <w:r>
              <w:rPr>
                <w:rFonts w:hAnsi="宋体"/>
                <w:b/>
                <w:bCs/>
              </w:rPr>
              <w:t>现有工程存在的环保问题及整改措施</w:t>
            </w:r>
          </w:p>
          <w:p w14:paraId="2DE68458">
            <w:pPr>
              <w:ind w:firstLine="480"/>
              <w:rPr>
                <w:szCs w:val="22"/>
              </w:rPr>
            </w:pPr>
            <w:r>
              <w:rPr>
                <w:rFonts w:hint="eastAsia"/>
                <w:szCs w:val="22"/>
              </w:rPr>
              <w:t>1、12-3号、12-4号</w:t>
            </w:r>
            <w:r>
              <w:rPr>
                <w:rFonts w:hint="eastAsia"/>
              </w:rPr>
              <w:t>泊位正处于建设暂停期，水工部分目前已建设，建设暂停期应做好环境保护相关措施，并保证环保措施正常运行，防止环境污染</w:t>
            </w:r>
            <w:r>
              <w:rPr>
                <w:rFonts w:hint="eastAsia"/>
                <w:szCs w:val="22"/>
              </w:rPr>
              <w:t>。</w:t>
            </w:r>
          </w:p>
          <w:p w14:paraId="37616026">
            <w:pPr>
              <w:pStyle w:val="2"/>
              <w:ind w:firstLine="480"/>
              <w:rPr>
                <w:lang w:val="en-US" w:eastAsia="zh-CN"/>
              </w:rPr>
            </w:pPr>
            <w:r>
              <w:rPr>
                <w:rFonts w:hint="eastAsia"/>
                <w:lang w:val="en-US" w:eastAsia="zh-CN"/>
              </w:rPr>
              <w:t>2、现有工程建设内容在竣工验收合格后发生一些变动，但不属于重大变动，建设单位应将现有项目变动情况纳入后续项目的验收范围内。</w:t>
            </w:r>
          </w:p>
          <w:p w14:paraId="5E40B695">
            <w:pPr>
              <w:ind w:firstLine="480"/>
            </w:pPr>
          </w:p>
        </w:tc>
      </w:tr>
    </w:tbl>
    <w:p w14:paraId="3707C255">
      <w:pPr>
        <w:pStyle w:val="6"/>
        <w:spacing w:before="120" w:beforeAutospacing="0"/>
        <w:sectPr>
          <w:footerReference r:id="rId26" w:type="default"/>
          <w:pgSz w:w="11905" w:h="16838"/>
          <w:pgMar w:top="1417" w:right="1417" w:bottom="1417" w:left="1417" w:header="851" w:footer="850" w:gutter="0"/>
          <w:cols w:space="720" w:num="1"/>
          <w:docGrid w:linePitch="312" w:charSpace="0"/>
        </w:sectPr>
      </w:pPr>
    </w:p>
    <w:p w14:paraId="78F7A4BA">
      <w:pPr>
        <w:pStyle w:val="6"/>
        <w:spacing w:before="120" w:beforeAutospacing="0"/>
      </w:pPr>
      <w:r>
        <w:t>三、区域环境质量现状、环境保护目标及评价标准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14:paraId="5A42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229" w:type="pct"/>
            <w:vAlign w:val="center"/>
          </w:tcPr>
          <w:p w14:paraId="5B79C1D5">
            <w:pPr>
              <w:pStyle w:val="71"/>
              <w:rPr>
                <w:kern w:val="2"/>
                <w:szCs w:val="24"/>
                <w:lang w:val="en-US" w:eastAsia="zh-CN"/>
              </w:rPr>
            </w:pPr>
            <w:r>
              <w:rPr>
                <w:kern w:val="2"/>
                <w:szCs w:val="24"/>
                <w:lang w:val="en-US" w:eastAsia="zh-CN"/>
              </w:rPr>
              <w:t>区域</w:t>
            </w:r>
          </w:p>
          <w:p w14:paraId="73C88F52">
            <w:pPr>
              <w:pStyle w:val="71"/>
              <w:rPr>
                <w:kern w:val="2"/>
                <w:szCs w:val="24"/>
                <w:lang w:val="en-US" w:eastAsia="zh-CN"/>
              </w:rPr>
            </w:pPr>
            <w:r>
              <w:rPr>
                <w:kern w:val="2"/>
                <w:szCs w:val="24"/>
                <w:lang w:val="en-US" w:eastAsia="zh-CN"/>
              </w:rPr>
              <w:t>环境</w:t>
            </w:r>
          </w:p>
          <w:p w14:paraId="4BE4EC59">
            <w:pPr>
              <w:pStyle w:val="71"/>
              <w:rPr>
                <w:kern w:val="2"/>
                <w:szCs w:val="24"/>
                <w:lang w:val="en-US" w:eastAsia="zh-CN"/>
              </w:rPr>
            </w:pPr>
            <w:r>
              <w:rPr>
                <w:kern w:val="2"/>
                <w:szCs w:val="24"/>
                <w:lang w:val="en-US" w:eastAsia="zh-CN"/>
              </w:rPr>
              <w:t>质量</w:t>
            </w:r>
          </w:p>
          <w:p w14:paraId="05243F46">
            <w:pPr>
              <w:pStyle w:val="71"/>
              <w:rPr>
                <w:kern w:val="2"/>
                <w:szCs w:val="24"/>
                <w:lang w:val="en-US" w:eastAsia="zh-CN"/>
              </w:rPr>
            </w:pPr>
            <w:r>
              <w:rPr>
                <w:kern w:val="2"/>
                <w:szCs w:val="24"/>
                <w:lang w:val="en-US" w:eastAsia="zh-CN"/>
              </w:rPr>
              <w:t>现状</w:t>
            </w:r>
          </w:p>
        </w:tc>
        <w:tc>
          <w:tcPr>
            <w:tcW w:w="4771" w:type="pct"/>
            <w:vAlign w:val="center"/>
          </w:tcPr>
          <w:p w14:paraId="650C1A4D">
            <w:pPr>
              <w:pStyle w:val="97"/>
              <w:snapToGrid w:val="0"/>
              <w:spacing w:before="120" w:beforeLines="50" w:after="120" w:afterLines="50" w:line="360" w:lineRule="auto"/>
              <w:ind w:firstLine="0"/>
              <w:outlineLvl w:val="1"/>
              <w:rPr>
                <w:rFonts w:eastAsia="宋体"/>
                <w:b/>
                <w:spacing w:val="8"/>
                <w:kern w:val="2"/>
                <w:szCs w:val="28"/>
                <w:lang w:val="en-US" w:eastAsia="zh-CN"/>
              </w:rPr>
            </w:pPr>
            <w:bookmarkStart w:id="8" w:name="_Toc32631"/>
            <w:r>
              <w:rPr>
                <w:rFonts w:eastAsia="宋体"/>
                <w:b/>
                <w:spacing w:val="8"/>
                <w:kern w:val="2"/>
                <w:szCs w:val="28"/>
                <w:lang w:val="en-US" w:eastAsia="zh-CN"/>
              </w:rPr>
              <w:t>3.1环境质量</w:t>
            </w:r>
            <w:r>
              <w:rPr>
                <w:rFonts w:hint="eastAsia" w:eastAsia="宋体"/>
                <w:b/>
                <w:spacing w:val="8"/>
                <w:kern w:val="2"/>
                <w:szCs w:val="28"/>
                <w:lang w:val="en-US" w:eastAsia="zh-CN"/>
              </w:rPr>
              <w:t>标准</w:t>
            </w:r>
          </w:p>
          <w:p w14:paraId="6295EDF0">
            <w:pPr>
              <w:adjustRightInd w:val="0"/>
              <w:snapToGrid w:val="0"/>
              <w:ind w:firstLine="0" w:firstLineChars="0"/>
              <w:outlineLvl w:val="2"/>
              <w:rPr>
                <w:b/>
                <w:bCs/>
              </w:rPr>
            </w:pPr>
            <w:r>
              <w:rPr>
                <w:b/>
                <w:bCs/>
              </w:rPr>
              <w:t>3.1.1</w:t>
            </w:r>
            <w:r>
              <w:rPr>
                <w:rFonts w:hint="eastAsia"/>
                <w:b/>
              </w:rPr>
              <w:t>大气环境</w:t>
            </w:r>
          </w:p>
          <w:p w14:paraId="6EB936A3">
            <w:pPr>
              <w:ind w:firstLine="480"/>
              <w:rPr>
                <w:szCs w:val="22"/>
              </w:rPr>
            </w:pPr>
            <w:r>
              <w:t>根据《福州市人民政府关于印发福州市环境空气质量功能区划和福州市声环境功能区划的通知》（榕政综[2014]30号），</w:t>
            </w:r>
            <w:r>
              <w:rPr>
                <w:rFonts w:hint="eastAsia"/>
                <w:szCs w:val="22"/>
              </w:rPr>
              <w:t>项目所在区域划为二类环境空气质量功能区</w:t>
            </w:r>
            <w:r>
              <w:t>，</w:t>
            </w:r>
            <w:r>
              <w:rPr>
                <w:rFonts w:hint="eastAsia"/>
              </w:rPr>
              <w:t>过渡期（2026.3.1-2030.12.31）</w:t>
            </w:r>
            <w:r>
              <w:t>执行《环境空气质量标准》（GB3095-20</w:t>
            </w:r>
            <w:r>
              <w:rPr>
                <w:rFonts w:hint="eastAsia"/>
              </w:rPr>
              <w:t>26</w:t>
            </w:r>
            <w:r>
              <w:t>）</w:t>
            </w:r>
            <w:r>
              <w:rPr>
                <w:rFonts w:hint="eastAsia"/>
              </w:rPr>
              <w:t>过渡阶段二级浓度</w:t>
            </w:r>
            <w:r>
              <w:t>限值</w:t>
            </w:r>
            <w:r>
              <w:rPr>
                <w:rFonts w:hint="eastAsia"/>
              </w:rPr>
              <w:t>，2031年1月1日起执行</w:t>
            </w:r>
            <w:r>
              <w:t>《环境空气质量标准》（GB3095-20</w:t>
            </w:r>
            <w:r>
              <w:rPr>
                <w:rFonts w:hint="eastAsia"/>
              </w:rPr>
              <w:t>26</w:t>
            </w:r>
            <w:r>
              <w:t>）</w:t>
            </w:r>
            <w:r>
              <w:rPr>
                <w:rFonts w:hint="eastAsia"/>
              </w:rPr>
              <w:t>二级浓度</w:t>
            </w:r>
            <w:r>
              <w:t>限值</w:t>
            </w:r>
            <w:r>
              <w:rPr>
                <w:rFonts w:hint="eastAsia"/>
                <w:szCs w:val="22"/>
              </w:rPr>
              <w:t>；《环境空气质量标准》（</w:t>
            </w:r>
            <w:r>
              <w:rPr>
                <w:szCs w:val="22"/>
              </w:rPr>
              <w:t>GB3095-2026</w:t>
            </w:r>
            <w:r>
              <w:rPr>
                <w:rFonts w:hint="eastAsia"/>
                <w:szCs w:val="22"/>
              </w:rPr>
              <w:t>）中未要求的项目：总挥发性有机物（TVOC）参照执行《环境影响评价技术导则大气环境》（</w:t>
            </w:r>
            <w:r>
              <w:rPr>
                <w:szCs w:val="22"/>
              </w:rPr>
              <w:t>HJ2.2-2018</w:t>
            </w:r>
            <w:r>
              <w:rPr>
                <w:rFonts w:hint="eastAsia"/>
                <w:szCs w:val="22"/>
              </w:rPr>
              <w:t>）中附录</w:t>
            </w:r>
            <w:r>
              <w:rPr>
                <w:szCs w:val="22"/>
              </w:rPr>
              <w:t>D</w:t>
            </w:r>
            <w:r>
              <w:rPr>
                <w:rFonts w:hint="eastAsia"/>
                <w:szCs w:val="22"/>
              </w:rPr>
              <w:t>其他污染物空气质量浓度参考限值要求；非甲烷总烃参照《大气污染物综合排放标准详解》中</w:t>
            </w:r>
            <w:r>
              <w:rPr>
                <w:szCs w:val="22"/>
              </w:rPr>
              <w:t>Cm</w:t>
            </w:r>
            <w:r>
              <w:rPr>
                <w:rFonts w:hint="eastAsia"/>
                <w:szCs w:val="22"/>
              </w:rPr>
              <w:t>取值规定作为质量标准参考值</w:t>
            </w:r>
            <w:r>
              <w:rPr>
                <w:rFonts w:hint="eastAsia"/>
              </w:rPr>
              <w:t>；MA、BDO、THF没有相关环境质量标准，本评价采用多介质环境目标值估算方法确定</w:t>
            </w:r>
            <w:r>
              <w:t>。</w:t>
            </w:r>
            <w:r>
              <w:rPr>
                <w:rFonts w:hint="eastAsia"/>
                <w:szCs w:val="22"/>
              </w:rPr>
              <w:t>环境空气质量执行标准详见表3.1-1。</w:t>
            </w:r>
          </w:p>
          <w:p w14:paraId="75A91338">
            <w:pPr>
              <w:spacing w:line="240" w:lineRule="auto"/>
              <w:ind w:firstLine="0" w:firstLineChars="0"/>
              <w:jc w:val="center"/>
              <w:rPr>
                <w:b/>
                <w:szCs w:val="20"/>
              </w:rPr>
            </w:pPr>
            <w:r>
              <w:rPr>
                <w:rFonts w:hint="eastAsia"/>
                <w:b/>
                <w:szCs w:val="20"/>
              </w:rPr>
              <w:t>表3.1-1环境空气质量执行标准（摘录）</w:t>
            </w:r>
          </w:p>
          <w:tbl>
            <w:tblPr>
              <w:tblStyle w:val="30"/>
              <w:tblW w:w="4984"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25"/>
              <w:gridCol w:w="1673"/>
              <w:gridCol w:w="993"/>
              <w:gridCol w:w="1394"/>
              <w:gridCol w:w="1394"/>
              <w:gridCol w:w="2138"/>
            </w:tblGrid>
            <w:tr w14:paraId="100908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95" w:type="pct"/>
                  <w:tcBorders>
                    <w:tl2br w:val="nil"/>
                    <w:tr2bl w:val="nil"/>
                  </w:tcBorders>
                  <w:vAlign w:val="center"/>
                </w:tcPr>
                <w:p w14:paraId="397B3BE4">
                  <w:pPr>
                    <w:widowControl/>
                    <w:adjustRightInd w:val="0"/>
                    <w:snapToGrid w:val="0"/>
                    <w:spacing w:line="240" w:lineRule="auto"/>
                    <w:ind w:firstLine="0" w:firstLineChars="0"/>
                    <w:jc w:val="center"/>
                    <w:rPr>
                      <w:sz w:val="21"/>
                      <w:szCs w:val="22"/>
                    </w:rPr>
                  </w:pPr>
                  <w:r>
                    <w:rPr>
                      <w:sz w:val="21"/>
                      <w:szCs w:val="22"/>
                    </w:rPr>
                    <w:t>污染物名称</w:t>
                  </w:r>
                </w:p>
              </w:tc>
              <w:tc>
                <w:tcPr>
                  <w:tcW w:w="971" w:type="pct"/>
                  <w:tcBorders>
                    <w:tl2br w:val="nil"/>
                    <w:tr2bl w:val="nil"/>
                  </w:tcBorders>
                  <w:vAlign w:val="center"/>
                </w:tcPr>
                <w:p w14:paraId="388948B3">
                  <w:pPr>
                    <w:widowControl/>
                    <w:adjustRightInd w:val="0"/>
                    <w:snapToGrid w:val="0"/>
                    <w:spacing w:line="240" w:lineRule="auto"/>
                    <w:ind w:firstLine="0" w:firstLineChars="0"/>
                    <w:jc w:val="center"/>
                    <w:rPr>
                      <w:sz w:val="21"/>
                      <w:szCs w:val="22"/>
                    </w:rPr>
                  </w:pPr>
                  <w:r>
                    <w:rPr>
                      <w:rFonts w:hint="eastAsia"/>
                      <w:sz w:val="21"/>
                      <w:szCs w:val="22"/>
                    </w:rPr>
                    <w:t>平均时间</w:t>
                  </w:r>
                </w:p>
              </w:tc>
              <w:tc>
                <w:tcPr>
                  <w:tcW w:w="576" w:type="pct"/>
                  <w:tcBorders>
                    <w:tl2br w:val="nil"/>
                    <w:tr2bl w:val="nil"/>
                  </w:tcBorders>
                  <w:vAlign w:val="center"/>
                </w:tcPr>
                <w:p w14:paraId="65F3A2EC">
                  <w:pPr>
                    <w:widowControl/>
                    <w:adjustRightInd w:val="0"/>
                    <w:snapToGrid w:val="0"/>
                    <w:spacing w:line="240" w:lineRule="auto"/>
                    <w:ind w:firstLine="0" w:firstLineChars="0"/>
                    <w:jc w:val="center"/>
                    <w:rPr>
                      <w:sz w:val="21"/>
                      <w:szCs w:val="22"/>
                    </w:rPr>
                  </w:pPr>
                  <w:r>
                    <w:rPr>
                      <w:sz w:val="21"/>
                      <w:szCs w:val="22"/>
                    </w:rPr>
                    <w:t>单位</w:t>
                  </w:r>
                </w:p>
              </w:tc>
              <w:tc>
                <w:tcPr>
                  <w:tcW w:w="809" w:type="pct"/>
                  <w:tcBorders>
                    <w:tl2br w:val="nil"/>
                    <w:tr2bl w:val="nil"/>
                  </w:tcBorders>
                  <w:vAlign w:val="center"/>
                </w:tcPr>
                <w:p w14:paraId="5C826615">
                  <w:pPr>
                    <w:widowControl/>
                    <w:adjustRightInd w:val="0"/>
                    <w:snapToGrid w:val="0"/>
                    <w:spacing w:line="240" w:lineRule="auto"/>
                    <w:ind w:firstLine="0" w:firstLineChars="0"/>
                    <w:jc w:val="center"/>
                    <w:rPr>
                      <w:sz w:val="21"/>
                      <w:szCs w:val="22"/>
                    </w:rPr>
                  </w:pPr>
                  <w:r>
                    <w:rPr>
                      <w:rFonts w:hint="eastAsia"/>
                      <w:sz w:val="21"/>
                      <w:szCs w:val="22"/>
                    </w:rPr>
                    <w:t>过渡阶段</w:t>
                  </w:r>
                  <w:r>
                    <w:rPr>
                      <w:sz w:val="21"/>
                      <w:szCs w:val="22"/>
                    </w:rPr>
                    <w:t>浓度限值</w:t>
                  </w:r>
                </w:p>
              </w:tc>
              <w:tc>
                <w:tcPr>
                  <w:tcW w:w="809" w:type="pct"/>
                  <w:tcBorders>
                    <w:tl2br w:val="nil"/>
                    <w:tr2bl w:val="nil"/>
                  </w:tcBorders>
                  <w:vAlign w:val="center"/>
                </w:tcPr>
                <w:p w14:paraId="4205385C">
                  <w:pPr>
                    <w:widowControl/>
                    <w:adjustRightInd w:val="0"/>
                    <w:snapToGrid w:val="0"/>
                    <w:spacing w:line="240" w:lineRule="auto"/>
                    <w:ind w:firstLine="0" w:firstLineChars="0"/>
                    <w:jc w:val="center"/>
                    <w:rPr>
                      <w:sz w:val="21"/>
                      <w:szCs w:val="22"/>
                    </w:rPr>
                  </w:pPr>
                  <w:r>
                    <w:rPr>
                      <w:rFonts w:hint="eastAsia"/>
                      <w:sz w:val="21"/>
                      <w:szCs w:val="22"/>
                    </w:rPr>
                    <w:t>浓度限值</w:t>
                  </w:r>
                </w:p>
              </w:tc>
              <w:tc>
                <w:tcPr>
                  <w:tcW w:w="1240" w:type="pct"/>
                  <w:tcBorders>
                    <w:tl2br w:val="nil"/>
                    <w:tr2bl w:val="nil"/>
                  </w:tcBorders>
                  <w:vAlign w:val="center"/>
                </w:tcPr>
                <w:p w14:paraId="2D3D490E">
                  <w:pPr>
                    <w:widowControl/>
                    <w:adjustRightInd w:val="0"/>
                    <w:snapToGrid w:val="0"/>
                    <w:spacing w:line="240" w:lineRule="auto"/>
                    <w:ind w:firstLine="0" w:firstLineChars="0"/>
                    <w:jc w:val="center"/>
                    <w:rPr>
                      <w:sz w:val="21"/>
                      <w:szCs w:val="22"/>
                    </w:rPr>
                  </w:pPr>
                  <w:r>
                    <w:rPr>
                      <w:sz w:val="21"/>
                      <w:szCs w:val="22"/>
                    </w:rPr>
                    <w:t>执行标准</w:t>
                  </w:r>
                </w:p>
              </w:tc>
            </w:tr>
            <w:tr w14:paraId="166329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3A9E4DC2">
                  <w:pPr>
                    <w:widowControl/>
                    <w:adjustRightInd w:val="0"/>
                    <w:snapToGrid w:val="0"/>
                    <w:spacing w:line="240" w:lineRule="auto"/>
                    <w:ind w:firstLine="0" w:firstLineChars="0"/>
                    <w:jc w:val="center"/>
                    <w:rPr>
                      <w:sz w:val="21"/>
                      <w:szCs w:val="22"/>
                    </w:rPr>
                  </w:pPr>
                  <w:r>
                    <w:rPr>
                      <w:sz w:val="21"/>
                      <w:szCs w:val="22"/>
                    </w:rPr>
                    <w:t>SO</w:t>
                  </w:r>
                  <w:r>
                    <w:rPr>
                      <w:sz w:val="21"/>
                      <w:szCs w:val="22"/>
                      <w:vertAlign w:val="subscript"/>
                    </w:rPr>
                    <w:t>2</w:t>
                  </w:r>
                </w:p>
              </w:tc>
              <w:tc>
                <w:tcPr>
                  <w:tcW w:w="971" w:type="pct"/>
                  <w:tcBorders>
                    <w:tl2br w:val="nil"/>
                    <w:tr2bl w:val="nil"/>
                  </w:tcBorders>
                  <w:vAlign w:val="center"/>
                </w:tcPr>
                <w:p w14:paraId="0FE8AD39">
                  <w:pPr>
                    <w:widowControl/>
                    <w:adjustRightInd w:val="0"/>
                    <w:snapToGrid w:val="0"/>
                    <w:spacing w:line="240" w:lineRule="auto"/>
                    <w:ind w:firstLine="0" w:firstLineChars="0"/>
                    <w:jc w:val="center"/>
                    <w:rPr>
                      <w:sz w:val="21"/>
                      <w:szCs w:val="22"/>
                    </w:rPr>
                  </w:pPr>
                  <w:r>
                    <w:rPr>
                      <w:sz w:val="21"/>
                      <w:szCs w:val="22"/>
                    </w:rPr>
                    <w:t>年平均</w:t>
                  </w:r>
                </w:p>
              </w:tc>
              <w:tc>
                <w:tcPr>
                  <w:tcW w:w="576" w:type="pct"/>
                  <w:tcBorders>
                    <w:tl2br w:val="nil"/>
                    <w:tr2bl w:val="nil"/>
                  </w:tcBorders>
                  <w:vAlign w:val="center"/>
                </w:tcPr>
                <w:p w14:paraId="662170CB">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32593A6A">
                  <w:pPr>
                    <w:widowControl/>
                    <w:adjustRightInd w:val="0"/>
                    <w:snapToGrid w:val="0"/>
                    <w:spacing w:line="240" w:lineRule="auto"/>
                    <w:ind w:firstLine="0" w:firstLineChars="0"/>
                    <w:jc w:val="center"/>
                    <w:rPr>
                      <w:sz w:val="21"/>
                      <w:szCs w:val="22"/>
                    </w:rPr>
                  </w:pPr>
                  <w:r>
                    <w:rPr>
                      <w:sz w:val="21"/>
                      <w:szCs w:val="22"/>
                    </w:rPr>
                    <w:t>60</w:t>
                  </w:r>
                </w:p>
              </w:tc>
              <w:tc>
                <w:tcPr>
                  <w:tcW w:w="809" w:type="pct"/>
                  <w:tcBorders>
                    <w:tl2br w:val="nil"/>
                    <w:tr2bl w:val="nil"/>
                  </w:tcBorders>
                  <w:vAlign w:val="center"/>
                </w:tcPr>
                <w:p w14:paraId="77B12BCF">
                  <w:pPr>
                    <w:widowControl/>
                    <w:adjustRightInd w:val="0"/>
                    <w:snapToGrid w:val="0"/>
                    <w:spacing w:line="240" w:lineRule="auto"/>
                    <w:ind w:firstLine="0" w:firstLineChars="0"/>
                    <w:jc w:val="center"/>
                    <w:rPr>
                      <w:sz w:val="21"/>
                      <w:szCs w:val="22"/>
                    </w:rPr>
                  </w:pPr>
                  <w:r>
                    <w:rPr>
                      <w:rFonts w:hint="eastAsia"/>
                      <w:sz w:val="21"/>
                      <w:szCs w:val="22"/>
                    </w:rPr>
                    <w:t>20</w:t>
                  </w:r>
                </w:p>
              </w:tc>
              <w:tc>
                <w:tcPr>
                  <w:tcW w:w="1240" w:type="pct"/>
                  <w:vMerge w:val="restart"/>
                  <w:tcBorders>
                    <w:tl2br w:val="nil"/>
                    <w:tr2bl w:val="nil"/>
                  </w:tcBorders>
                  <w:vAlign w:val="center"/>
                </w:tcPr>
                <w:p w14:paraId="27C66C59">
                  <w:pPr>
                    <w:widowControl/>
                    <w:adjustRightInd w:val="0"/>
                    <w:snapToGrid w:val="0"/>
                    <w:spacing w:line="240" w:lineRule="auto"/>
                    <w:ind w:firstLine="0" w:firstLineChars="0"/>
                    <w:jc w:val="center"/>
                    <w:rPr>
                      <w:sz w:val="21"/>
                      <w:szCs w:val="22"/>
                    </w:rPr>
                  </w:pPr>
                  <w:r>
                    <w:rPr>
                      <w:sz w:val="21"/>
                      <w:szCs w:val="22"/>
                    </w:rPr>
                    <w:t>《环境空气质量标准》（GB3095-20</w:t>
                  </w:r>
                  <w:r>
                    <w:rPr>
                      <w:rFonts w:hint="eastAsia"/>
                      <w:sz w:val="21"/>
                      <w:szCs w:val="22"/>
                    </w:rPr>
                    <w:t>26</w:t>
                  </w:r>
                  <w:r>
                    <w:rPr>
                      <w:sz w:val="21"/>
                      <w:szCs w:val="22"/>
                    </w:rPr>
                    <w:t>）</w:t>
                  </w:r>
                </w:p>
              </w:tc>
            </w:tr>
            <w:tr w14:paraId="510A42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413859FD">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512E6B3A">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6D8A6B5B">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0C832955">
                  <w:pPr>
                    <w:widowControl/>
                    <w:adjustRightInd w:val="0"/>
                    <w:snapToGrid w:val="0"/>
                    <w:spacing w:line="240" w:lineRule="auto"/>
                    <w:ind w:firstLine="0" w:firstLineChars="0"/>
                    <w:jc w:val="center"/>
                    <w:rPr>
                      <w:sz w:val="21"/>
                      <w:szCs w:val="22"/>
                    </w:rPr>
                  </w:pPr>
                  <w:r>
                    <w:rPr>
                      <w:sz w:val="21"/>
                      <w:szCs w:val="22"/>
                    </w:rPr>
                    <w:t>150</w:t>
                  </w:r>
                </w:p>
              </w:tc>
              <w:tc>
                <w:tcPr>
                  <w:tcW w:w="809" w:type="pct"/>
                  <w:tcBorders>
                    <w:tl2br w:val="nil"/>
                    <w:tr2bl w:val="nil"/>
                  </w:tcBorders>
                  <w:vAlign w:val="center"/>
                </w:tcPr>
                <w:p w14:paraId="091EBC7F">
                  <w:pPr>
                    <w:widowControl/>
                    <w:adjustRightInd w:val="0"/>
                    <w:snapToGrid w:val="0"/>
                    <w:spacing w:line="240" w:lineRule="auto"/>
                    <w:ind w:firstLine="0" w:firstLineChars="0"/>
                    <w:jc w:val="center"/>
                    <w:rPr>
                      <w:sz w:val="21"/>
                      <w:szCs w:val="22"/>
                    </w:rPr>
                  </w:pPr>
                  <w:r>
                    <w:rPr>
                      <w:rFonts w:hint="eastAsia"/>
                      <w:sz w:val="21"/>
                      <w:szCs w:val="22"/>
                    </w:rPr>
                    <w:t>50</w:t>
                  </w:r>
                </w:p>
              </w:tc>
              <w:tc>
                <w:tcPr>
                  <w:tcW w:w="1240" w:type="pct"/>
                  <w:vMerge w:val="continue"/>
                  <w:tcBorders>
                    <w:tl2br w:val="nil"/>
                    <w:tr2bl w:val="nil"/>
                  </w:tcBorders>
                  <w:vAlign w:val="center"/>
                </w:tcPr>
                <w:p w14:paraId="058B850D">
                  <w:pPr>
                    <w:widowControl/>
                    <w:adjustRightInd w:val="0"/>
                    <w:snapToGrid w:val="0"/>
                    <w:spacing w:line="240" w:lineRule="auto"/>
                    <w:ind w:firstLine="0" w:firstLineChars="0"/>
                    <w:jc w:val="center"/>
                    <w:rPr>
                      <w:sz w:val="21"/>
                      <w:szCs w:val="22"/>
                    </w:rPr>
                  </w:pPr>
                </w:p>
              </w:tc>
            </w:tr>
            <w:tr w14:paraId="17B3CA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759CD1AE">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0FF24DFD">
                  <w:pPr>
                    <w:widowControl/>
                    <w:adjustRightInd w:val="0"/>
                    <w:snapToGrid w:val="0"/>
                    <w:spacing w:line="240" w:lineRule="auto"/>
                    <w:ind w:firstLine="0" w:firstLineChars="0"/>
                    <w:jc w:val="center"/>
                    <w:rPr>
                      <w:sz w:val="21"/>
                      <w:szCs w:val="22"/>
                    </w:rPr>
                  </w:pPr>
                  <w:r>
                    <w:rPr>
                      <w:sz w:val="21"/>
                      <w:szCs w:val="22"/>
                    </w:rPr>
                    <w:t>1小时平均</w:t>
                  </w:r>
                </w:p>
              </w:tc>
              <w:tc>
                <w:tcPr>
                  <w:tcW w:w="576" w:type="pct"/>
                  <w:tcBorders>
                    <w:tl2br w:val="nil"/>
                    <w:tr2bl w:val="nil"/>
                  </w:tcBorders>
                  <w:vAlign w:val="center"/>
                </w:tcPr>
                <w:p w14:paraId="4108EE1B">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1839C037">
                  <w:pPr>
                    <w:widowControl/>
                    <w:adjustRightInd w:val="0"/>
                    <w:snapToGrid w:val="0"/>
                    <w:spacing w:line="240" w:lineRule="auto"/>
                    <w:ind w:firstLine="0" w:firstLineChars="0"/>
                    <w:jc w:val="center"/>
                    <w:rPr>
                      <w:sz w:val="21"/>
                      <w:szCs w:val="22"/>
                    </w:rPr>
                  </w:pPr>
                  <w:r>
                    <w:rPr>
                      <w:sz w:val="21"/>
                      <w:szCs w:val="22"/>
                    </w:rPr>
                    <w:t>500</w:t>
                  </w:r>
                </w:p>
              </w:tc>
              <w:tc>
                <w:tcPr>
                  <w:tcW w:w="809" w:type="pct"/>
                  <w:tcBorders>
                    <w:tl2br w:val="nil"/>
                    <w:tr2bl w:val="nil"/>
                  </w:tcBorders>
                  <w:vAlign w:val="center"/>
                </w:tcPr>
                <w:p w14:paraId="53C2CD88">
                  <w:pPr>
                    <w:widowControl/>
                    <w:adjustRightInd w:val="0"/>
                    <w:snapToGrid w:val="0"/>
                    <w:spacing w:line="240" w:lineRule="auto"/>
                    <w:ind w:firstLine="0" w:firstLineChars="0"/>
                    <w:jc w:val="center"/>
                    <w:rPr>
                      <w:sz w:val="21"/>
                      <w:szCs w:val="22"/>
                    </w:rPr>
                  </w:pPr>
                  <w:r>
                    <w:rPr>
                      <w:rFonts w:hint="eastAsia"/>
                      <w:sz w:val="21"/>
                      <w:szCs w:val="22"/>
                    </w:rPr>
                    <w:t>150</w:t>
                  </w:r>
                </w:p>
              </w:tc>
              <w:tc>
                <w:tcPr>
                  <w:tcW w:w="1240" w:type="pct"/>
                  <w:vMerge w:val="continue"/>
                  <w:tcBorders>
                    <w:tl2br w:val="nil"/>
                    <w:tr2bl w:val="nil"/>
                  </w:tcBorders>
                  <w:vAlign w:val="center"/>
                </w:tcPr>
                <w:p w14:paraId="3A75014B">
                  <w:pPr>
                    <w:widowControl/>
                    <w:adjustRightInd w:val="0"/>
                    <w:snapToGrid w:val="0"/>
                    <w:spacing w:line="240" w:lineRule="auto"/>
                    <w:ind w:firstLine="0" w:firstLineChars="0"/>
                    <w:jc w:val="center"/>
                    <w:rPr>
                      <w:sz w:val="21"/>
                      <w:szCs w:val="22"/>
                    </w:rPr>
                  </w:pPr>
                </w:p>
              </w:tc>
            </w:tr>
            <w:tr w14:paraId="6A2756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5B647E72">
                  <w:pPr>
                    <w:widowControl/>
                    <w:adjustRightInd w:val="0"/>
                    <w:snapToGrid w:val="0"/>
                    <w:spacing w:line="240" w:lineRule="auto"/>
                    <w:ind w:firstLine="0" w:firstLineChars="0"/>
                    <w:jc w:val="center"/>
                    <w:rPr>
                      <w:sz w:val="21"/>
                      <w:szCs w:val="22"/>
                    </w:rPr>
                  </w:pPr>
                  <w:r>
                    <w:rPr>
                      <w:sz w:val="21"/>
                      <w:szCs w:val="22"/>
                    </w:rPr>
                    <w:t>NO</w:t>
                  </w:r>
                  <w:r>
                    <w:rPr>
                      <w:sz w:val="21"/>
                      <w:szCs w:val="22"/>
                      <w:vertAlign w:val="subscript"/>
                    </w:rPr>
                    <w:t>2</w:t>
                  </w:r>
                </w:p>
              </w:tc>
              <w:tc>
                <w:tcPr>
                  <w:tcW w:w="971" w:type="pct"/>
                  <w:tcBorders>
                    <w:tl2br w:val="nil"/>
                    <w:tr2bl w:val="nil"/>
                  </w:tcBorders>
                  <w:vAlign w:val="center"/>
                </w:tcPr>
                <w:p w14:paraId="010F5F8E">
                  <w:pPr>
                    <w:widowControl/>
                    <w:adjustRightInd w:val="0"/>
                    <w:snapToGrid w:val="0"/>
                    <w:spacing w:line="240" w:lineRule="auto"/>
                    <w:ind w:firstLine="0" w:firstLineChars="0"/>
                    <w:jc w:val="center"/>
                    <w:rPr>
                      <w:sz w:val="21"/>
                      <w:szCs w:val="22"/>
                    </w:rPr>
                  </w:pPr>
                  <w:r>
                    <w:rPr>
                      <w:sz w:val="21"/>
                      <w:szCs w:val="22"/>
                    </w:rPr>
                    <w:t>年平均</w:t>
                  </w:r>
                </w:p>
              </w:tc>
              <w:tc>
                <w:tcPr>
                  <w:tcW w:w="576" w:type="pct"/>
                  <w:tcBorders>
                    <w:tl2br w:val="nil"/>
                    <w:tr2bl w:val="nil"/>
                  </w:tcBorders>
                  <w:vAlign w:val="center"/>
                </w:tcPr>
                <w:p w14:paraId="25B76DC9">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09A9C99B">
                  <w:pPr>
                    <w:widowControl/>
                    <w:adjustRightInd w:val="0"/>
                    <w:snapToGrid w:val="0"/>
                    <w:spacing w:line="240" w:lineRule="auto"/>
                    <w:ind w:firstLine="0" w:firstLineChars="0"/>
                    <w:jc w:val="center"/>
                    <w:rPr>
                      <w:sz w:val="21"/>
                      <w:szCs w:val="22"/>
                    </w:rPr>
                  </w:pPr>
                  <w:r>
                    <w:rPr>
                      <w:sz w:val="21"/>
                      <w:szCs w:val="22"/>
                    </w:rPr>
                    <w:t>40</w:t>
                  </w:r>
                </w:p>
              </w:tc>
              <w:tc>
                <w:tcPr>
                  <w:tcW w:w="809" w:type="pct"/>
                  <w:tcBorders>
                    <w:tl2br w:val="nil"/>
                    <w:tr2bl w:val="nil"/>
                  </w:tcBorders>
                  <w:vAlign w:val="center"/>
                </w:tcPr>
                <w:p w14:paraId="1DCBFD76">
                  <w:pPr>
                    <w:widowControl/>
                    <w:adjustRightInd w:val="0"/>
                    <w:snapToGrid w:val="0"/>
                    <w:spacing w:line="240" w:lineRule="auto"/>
                    <w:ind w:firstLine="0" w:firstLineChars="0"/>
                    <w:jc w:val="center"/>
                    <w:rPr>
                      <w:sz w:val="21"/>
                      <w:szCs w:val="22"/>
                    </w:rPr>
                  </w:pPr>
                  <w:r>
                    <w:rPr>
                      <w:rFonts w:hint="eastAsia"/>
                      <w:sz w:val="21"/>
                      <w:szCs w:val="22"/>
                    </w:rPr>
                    <w:t>30</w:t>
                  </w:r>
                </w:p>
              </w:tc>
              <w:tc>
                <w:tcPr>
                  <w:tcW w:w="1240" w:type="pct"/>
                  <w:vMerge w:val="continue"/>
                  <w:tcBorders>
                    <w:tl2br w:val="nil"/>
                    <w:tr2bl w:val="nil"/>
                  </w:tcBorders>
                  <w:vAlign w:val="center"/>
                </w:tcPr>
                <w:p w14:paraId="686E72F7">
                  <w:pPr>
                    <w:widowControl/>
                    <w:adjustRightInd w:val="0"/>
                    <w:snapToGrid w:val="0"/>
                    <w:spacing w:line="240" w:lineRule="auto"/>
                    <w:ind w:firstLine="0" w:firstLineChars="0"/>
                    <w:jc w:val="center"/>
                    <w:rPr>
                      <w:sz w:val="21"/>
                      <w:szCs w:val="22"/>
                    </w:rPr>
                  </w:pPr>
                </w:p>
              </w:tc>
            </w:tr>
            <w:tr w14:paraId="29147E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3DC82ADD">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01B1A381">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3BC0F16F">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44C15F08">
                  <w:pPr>
                    <w:widowControl/>
                    <w:adjustRightInd w:val="0"/>
                    <w:snapToGrid w:val="0"/>
                    <w:spacing w:line="240" w:lineRule="auto"/>
                    <w:ind w:firstLine="0" w:firstLineChars="0"/>
                    <w:jc w:val="center"/>
                    <w:rPr>
                      <w:sz w:val="21"/>
                      <w:szCs w:val="22"/>
                    </w:rPr>
                  </w:pPr>
                  <w:r>
                    <w:rPr>
                      <w:sz w:val="21"/>
                      <w:szCs w:val="22"/>
                    </w:rPr>
                    <w:t>80</w:t>
                  </w:r>
                </w:p>
              </w:tc>
              <w:tc>
                <w:tcPr>
                  <w:tcW w:w="809" w:type="pct"/>
                  <w:tcBorders>
                    <w:tl2br w:val="nil"/>
                    <w:tr2bl w:val="nil"/>
                  </w:tcBorders>
                  <w:vAlign w:val="center"/>
                </w:tcPr>
                <w:p w14:paraId="449A096C">
                  <w:pPr>
                    <w:widowControl/>
                    <w:adjustRightInd w:val="0"/>
                    <w:snapToGrid w:val="0"/>
                    <w:spacing w:line="240" w:lineRule="auto"/>
                    <w:ind w:firstLine="0" w:firstLineChars="0"/>
                    <w:jc w:val="center"/>
                    <w:rPr>
                      <w:sz w:val="21"/>
                      <w:szCs w:val="22"/>
                    </w:rPr>
                  </w:pPr>
                  <w:r>
                    <w:rPr>
                      <w:rFonts w:hint="eastAsia"/>
                      <w:sz w:val="21"/>
                      <w:szCs w:val="22"/>
                    </w:rPr>
                    <w:t>50</w:t>
                  </w:r>
                </w:p>
              </w:tc>
              <w:tc>
                <w:tcPr>
                  <w:tcW w:w="1240" w:type="pct"/>
                  <w:vMerge w:val="continue"/>
                  <w:tcBorders>
                    <w:tl2br w:val="nil"/>
                    <w:tr2bl w:val="nil"/>
                  </w:tcBorders>
                  <w:vAlign w:val="center"/>
                </w:tcPr>
                <w:p w14:paraId="7CE14726">
                  <w:pPr>
                    <w:widowControl/>
                    <w:adjustRightInd w:val="0"/>
                    <w:snapToGrid w:val="0"/>
                    <w:spacing w:line="240" w:lineRule="auto"/>
                    <w:ind w:firstLine="0" w:firstLineChars="0"/>
                    <w:jc w:val="center"/>
                    <w:rPr>
                      <w:sz w:val="21"/>
                      <w:szCs w:val="22"/>
                    </w:rPr>
                  </w:pPr>
                </w:p>
              </w:tc>
            </w:tr>
            <w:tr w14:paraId="30FAB2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0B4EF68C">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1A55C72D">
                  <w:pPr>
                    <w:widowControl/>
                    <w:adjustRightInd w:val="0"/>
                    <w:snapToGrid w:val="0"/>
                    <w:spacing w:line="240" w:lineRule="auto"/>
                    <w:ind w:firstLine="0" w:firstLineChars="0"/>
                    <w:jc w:val="center"/>
                    <w:rPr>
                      <w:sz w:val="21"/>
                      <w:szCs w:val="22"/>
                    </w:rPr>
                  </w:pPr>
                  <w:r>
                    <w:rPr>
                      <w:sz w:val="21"/>
                      <w:szCs w:val="22"/>
                    </w:rPr>
                    <w:t>1小时平均</w:t>
                  </w:r>
                </w:p>
              </w:tc>
              <w:tc>
                <w:tcPr>
                  <w:tcW w:w="576" w:type="pct"/>
                  <w:tcBorders>
                    <w:tl2br w:val="nil"/>
                    <w:tr2bl w:val="nil"/>
                  </w:tcBorders>
                  <w:vAlign w:val="center"/>
                </w:tcPr>
                <w:p w14:paraId="3572C70D">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2858B9D3">
                  <w:pPr>
                    <w:widowControl/>
                    <w:adjustRightInd w:val="0"/>
                    <w:snapToGrid w:val="0"/>
                    <w:spacing w:line="240" w:lineRule="auto"/>
                    <w:ind w:firstLine="0" w:firstLineChars="0"/>
                    <w:jc w:val="center"/>
                    <w:rPr>
                      <w:sz w:val="21"/>
                      <w:szCs w:val="22"/>
                    </w:rPr>
                  </w:pPr>
                  <w:r>
                    <w:rPr>
                      <w:sz w:val="21"/>
                      <w:szCs w:val="22"/>
                    </w:rPr>
                    <w:t>200</w:t>
                  </w:r>
                </w:p>
              </w:tc>
              <w:tc>
                <w:tcPr>
                  <w:tcW w:w="809" w:type="pct"/>
                  <w:tcBorders>
                    <w:tl2br w:val="nil"/>
                    <w:tr2bl w:val="nil"/>
                  </w:tcBorders>
                  <w:vAlign w:val="center"/>
                </w:tcPr>
                <w:p w14:paraId="35721E77">
                  <w:pPr>
                    <w:widowControl/>
                    <w:adjustRightInd w:val="0"/>
                    <w:snapToGrid w:val="0"/>
                    <w:spacing w:line="240" w:lineRule="auto"/>
                    <w:ind w:firstLine="0" w:firstLineChars="0"/>
                    <w:jc w:val="center"/>
                    <w:rPr>
                      <w:sz w:val="21"/>
                      <w:szCs w:val="22"/>
                    </w:rPr>
                  </w:pPr>
                  <w:r>
                    <w:rPr>
                      <w:rFonts w:hint="eastAsia"/>
                      <w:sz w:val="21"/>
                      <w:szCs w:val="22"/>
                    </w:rPr>
                    <w:t>200</w:t>
                  </w:r>
                </w:p>
              </w:tc>
              <w:tc>
                <w:tcPr>
                  <w:tcW w:w="1240" w:type="pct"/>
                  <w:vMerge w:val="continue"/>
                  <w:tcBorders>
                    <w:tl2br w:val="nil"/>
                    <w:tr2bl w:val="nil"/>
                  </w:tcBorders>
                  <w:vAlign w:val="center"/>
                </w:tcPr>
                <w:p w14:paraId="033AAC78">
                  <w:pPr>
                    <w:widowControl/>
                    <w:adjustRightInd w:val="0"/>
                    <w:snapToGrid w:val="0"/>
                    <w:spacing w:line="240" w:lineRule="auto"/>
                    <w:ind w:firstLine="0" w:firstLineChars="0"/>
                    <w:jc w:val="center"/>
                    <w:rPr>
                      <w:sz w:val="21"/>
                      <w:szCs w:val="22"/>
                    </w:rPr>
                  </w:pPr>
                </w:p>
              </w:tc>
            </w:tr>
            <w:tr w14:paraId="23C9E0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4F90BD22">
                  <w:pPr>
                    <w:widowControl/>
                    <w:adjustRightInd w:val="0"/>
                    <w:snapToGrid w:val="0"/>
                    <w:spacing w:line="240" w:lineRule="auto"/>
                    <w:ind w:firstLine="0" w:firstLineChars="0"/>
                    <w:jc w:val="center"/>
                    <w:rPr>
                      <w:sz w:val="21"/>
                      <w:szCs w:val="22"/>
                    </w:rPr>
                  </w:pPr>
                  <w:r>
                    <w:rPr>
                      <w:sz w:val="21"/>
                      <w:szCs w:val="22"/>
                    </w:rPr>
                    <w:t>PM</w:t>
                  </w:r>
                  <w:r>
                    <w:rPr>
                      <w:sz w:val="21"/>
                      <w:szCs w:val="22"/>
                      <w:vertAlign w:val="subscript"/>
                    </w:rPr>
                    <w:t>10</w:t>
                  </w:r>
                </w:p>
              </w:tc>
              <w:tc>
                <w:tcPr>
                  <w:tcW w:w="971" w:type="pct"/>
                  <w:tcBorders>
                    <w:tl2br w:val="nil"/>
                    <w:tr2bl w:val="nil"/>
                  </w:tcBorders>
                  <w:vAlign w:val="center"/>
                </w:tcPr>
                <w:p w14:paraId="10CA7DAD">
                  <w:pPr>
                    <w:widowControl/>
                    <w:adjustRightInd w:val="0"/>
                    <w:snapToGrid w:val="0"/>
                    <w:spacing w:line="240" w:lineRule="auto"/>
                    <w:ind w:firstLine="0" w:firstLineChars="0"/>
                    <w:jc w:val="center"/>
                    <w:rPr>
                      <w:sz w:val="21"/>
                      <w:szCs w:val="22"/>
                    </w:rPr>
                  </w:pPr>
                  <w:r>
                    <w:rPr>
                      <w:sz w:val="21"/>
                      <w:szCs w:val="22"/>
                    </w:rPr>
                    <w:t>年平均</w:t>
                  </w:r>
                </w:p>
              </w:tc>
              <w:tc>
                <w:tcPr>
                  <w:tcW w:w="576" w:type="pct"/>
                  <w:tcBorders>
                    <w:tl2br w:val="nil"/>
                    <w:tr2bl w:val="nil"/>
                  </w:tcBorders>
                  <w:vAlign w:val="center"/>
                </w:tcPr>
                <w:p w14:paraId="433E59DD">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0DAF7652">
                  <w:pPr>
                    <w:widowControl/>
                    <w:adjustRightInd w:val="0"/>
                    <w:snapToGrid w:val="0"/>
                    <w:spacing w:line="240" w:lineRule="auto"/>
                    <w:ind w:firstLine="0" w:firstLineChars="0"/>
                    <w:jc w:val="center"/>
                    <w:rPr>
                      <w:sz w:val="21"/>
                      <w:szCs w:val="22"/>
                    </w:rPr>
                  </w:pPr>
                  <w:r>
                    <w:rPr>
                      <w:rFonts w:hint="eastAsia"/>
                      <w:sz w:val="21"/>
                      <w:szCs w:val="22"/>
                    </w:rPr>
                    <w:t>60</w:t>
                  </w:r>
                </w:p>
              </w:tc>
              <w:tc>
                <w:tcPr>
                  <w:tcW w:w="809" w:type="pct"/>
                  <w:tcBorders>
                    <w:tl2br w:val="nil"/>
                    <w:tr2bl w:val="nil"/>
                  </w:tcBorders>
                  <w:vAlign w:val="center"/>
                </w:tcPr>
                <w:p w14:paraId="523FD03C">
                  <w:pPr>
                    <w:widowControl/>
                    <w:adjustRightInd w:val="0"/>
                    <w:snapToGrid w:val="0"/>
                    <w:spacing w:line="240" w:lineRule="auto"/>
                    <w:ind w:firstLine="0" w:firstLineChars="0"/>
                    <w:jc w:val="center"/>
                    <w:rPr>
                      <w:sz w:val="21"/>
                      <w:szCs w:val="22"/>
                    </w:rPr>
                  </w:pPr>
                  <w:r>
                    <w:rPr>
                      <w:rFonts w:hint="eastAsia"/>
                      <w:sz w:val="21"/>
                      <w:szCs w:val="22"/>
                    </w:rPr>
                    <w:t>50</w:t>
                  </w:r>
                </w:p>
              </w:tc>
              <w:tc>
                <w:tcPr>
                  <w:tcW w:w="1240" w:type="pct"/>
                  <w:vMerge w:val="continue"/>
                  <w:tcBorders>
                    <w:tl2br w:val="nil"/>
                    <w:tr2bl w:val="nil"/>
                  </w:tcBorders>
                  <w:vAlign w:val="center"/>
                </w:tcPr>
                <w:p w14:paraId="7FBA59F3">
                  <w:pPr>
                    <w:widowControl/>
                    <w:adjustRightInd w:val="0"/>
                    <w:snapToGrid w:val="0"/>
                    <w:spacing w:line="240" w:lineRule="auto"/>
                    <w:ind w:firstLine="0" w:firstLineChars="0"/>
                    <w:jc w:val="center"/>
                    <w:rPr>
                      <w:sz w:val="21"/>
                      <w:szCs w:val="22"/>
                    </w:rPr>
                  </w:pPr>
                </w:p>
              </w:tc>
            </w:tr>
            <w:tr w14:paraId="6CF6EC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3205F3FF">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4181CE11">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240CFC3D">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62C317E2">
                  <w:pPr>
                    <w:widowControl/>
                    <w:adjustRightInd w:val="0"/>
                    <w:snapToGrid w:val="0"/>
                    <w:spacing w:line="240" w:lineRule="auto"/>
                    <w:ind w:firstLine="0" w:firstLineChars="0"/>
                    <w:jc w:val="center"/>
                    <w:rPr>
                      <w:sz w:val="21"/>
                      <w:szCs w:val="22"/>
                    </w:rPr>
                  </w:pPr>
                  <w:r>
                    <w:rPr>
                      <w:sz w:val="21"/>
                      <w:szCs w:val="22"/>
                    </w:rPr>
                    <w:t>1</w:t>
                  </w:r>
                  <w:r>
                    <w:rPr>
                      <w:rFonts w:hint="eastAsia"/>
                      <w:sz w:val="21"/>
                      <w:szCs w:val="22"/>
                    </w:rPr>
                    <w:t>2</w:t>
                  </w:r>
                  <w:r>
                    <w:rPr>
                      <w:sz w:val="21"/>
                      <w:szCs w:val="22"/>
                    </w:rPr>
                    <w:t>0</w:t>
                  </w:r>
                </w:p>
              </w:tc>
              <w:tc>
                <w:tcPr>
                  <w:tcW w:w="809" w:type="pct"/>
                  <w:tcBorders>
                    <w:tl2br w:val="nil"/>
                    <w:tr2bl w:val="nil"/>
                  </w:tcBorders>
                  <w:vAlign w:val="center"/>
                </w:tcPr>
                <w:p w14:paraId="13ABF5E8">
                  <w:pPr>
                    <w:widowControl/>
                    <w:adjustRightInd w:val="0"/>
                    <w:snapToGrid w:val="0"/>
                    <w:spacing w:line="240" w:lineRule="auto"/>
                    <w:ind w:firstLine="0" w:firstLineChars="0"/>
                    <w:jc w:val="center"/>
                    <w:rPr>
                      <w:sz w:val="21"/>
                      <w:szCs w:val="22"/>
                    </w:rPr>
                  </w:pPr>
                  <w:r>
                    <w:rPr>
                      <w:rFonts w:hint="eastAsia"/>
                      <w:sz w:val="21"/>
                      <w:szCs w:val="22"/>
                    </w:rPr>
                    <w:t>100</w:t>
                  </w:r>
                </w:p>
              </w:tc>
              <w:tc>
                <w:tcPr>
                  <w:tcW w:w="1240" w:type="pct"/>
                  <w:vMerge w:val="continue"/>
                  <w:tcBorders>
                    <w:tl2br w:val="nil"/>
                    <w:tr2bl w:val="nil"/>
                  </w:tcBorders>
                  <w:vAlign w:val="center"/>
                </w:tcPr>
                <w:p w14:paraId="7C2C5C3B">
                  <w:pPr>
                    <w:widowControl/>
                    <w:adjustRightInd w:val="0"/>
                    <w:snapToGrid w:val="0"/>
                    <w:spacing w:line="240" w:lineRule="auto"/>
                    <w:ind w:firstLine="0" w:firstLineChars="0"/>
                    <w:jc w:val="center"/>
                    <w:rPr>
                      <w:sz w:val="21"/>
                      <w:szCs w:val="22"/>
                    </w:rPr>
                  </w:pPr>
                </w:p>
              </w:tc>
            </w:tr>
            <w:tr w14:paraId="098666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69C98F79">
                  <w:pPr>
                    <w:widowControl/>
                    <w:adjustRightInd w:val="0"/>
                    <w:snapToGrid w:val="0"/>
                    <w:spacing w:line="240" w:lineRule="auto"/>
                    <w:ind w:firstLine="0" w:firstLineChars="0"/>
                    <w:jc w:val="center"/>
                    <w:rPr>
                      <w:sz w:val="21"/>
                      <w:szCs w:val="22"/>
                    </w:rPr>
                  </w:pPr>
                  <w:r>
                    <w:rPr>
                      <w:sz w:val="21"/>
                      <w:szCs w:val="22"/>
                    </w:rPr>
                    <w:t>PM</w:t>
                  </w:r>
                  <w:r>
                    <w:rPr>
                      <w:sz w:val="21"/>
                      <w:szCs w:val="22"/>
                      <w:vertAlign w:val="subscript"/>
                    </w:rPr>
                    <w:t>2.5</w:t>
                  </w:r>
                </w:p>
              </w:tc>
              <w:tc>
                <w:tcPr>
                  <w:tcW w:w="971" w:type="pct"/>
                  <w:tcBorders>
                    <w:tl2br w:val="nil"/>
                    <w:tr2bl w:val="nil"/>
                  </w:tcBorders>
                  <w:vAlign w:val="center"/>
                </w:tcPr>
                <w:p w14:paraId="3DED4D29">
                  <w:pPr>
                    <w:widowControl/>
                    <w:adjustRightInd w:val="0"/>
                    <w:snapToGrid w:val="0"/>
                    <w:spacing w:line="240" w:lineRule="auto"/>
                    <w:ind w:firstLine="0" w:firstLineChars="0"/>
                    <w:jc w:val="center"/>
                    <w:rPr>
                      <w:sz w:val="21"/>
                      <w:szCs w:val="22"/>
                    </w:rPr>
                  </w:pPr>
                  <w:r>
                    <w:rPr>
                      <w:sz w:val="21"/>
                      <w:szCs w:val="22"/>
                    </w:rPr>
                    <w:t>年平均</w:t>
                  </w:r>
                </w:p>
              </w:tc>
              <w:tc>
                <w:tcPr>
                  <w:tcW w:w="576" w:type="pct"/>
                  <w:tcBorders>
                    <w:tl2br w:val="nil"/>
                    <w:tr2bl w:val="nil"/>
                  </w:tcBorders>
                  <w:vAlign w:val="center"/>
                </w:tcPr>
                <w:p w14:paraId="28BBAB25">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71188252">
                  <w:pPr>
                    <w:widowControl/>
                    <w:adjustRightInd w:val="0"/>
                    <w:snapToGrid w:val="0"/>
                    <w:spacing w:line="240" w:lineRule="auto"/>
                    <w:ind w:firstLine="0" w:firstLineChars="0"/>
                    <w:jc w:val="center"/>
                    <w:rPr>
                      <w:sz w:val="21"/>
                      <w:szCs w:val="22"/>
                    </w:rPr>
                  </w:pPr>
                  <w:r>
                    <w:rPr>
                      <w:sz w:val="21"/>
                      <w:szCs w:val="22"/>
                    </w:rPr>
                    <w:t>3</w:t>
                  </w:r>
                  <w:r>
                    <w:rPr>
                      <w:rFonts w:hint="eastAsia"/>
                      <w:sz w:val="21"/>
                      <w:szCs w:val="22"/>
                    </w:rPr>
                    <w:t>0</w:t>
                  </w:r>
                </w:p>
              </w:tc>
              <w:tc>
                <w:tcPr>
                  <w:tcW w:w="809" w:type="pct"/>
                  <w:tcBorders>
                    <w:tl2br w:val="nil"/>
                    <w:tr2bl w:val="nil"/>
                  </w:tcBorders>
                  <w:vAlign w:val="center"/>
                </w:tcPr>
                <w:p w14:paraId="5A33025C">
                  <w:pPr>
                    <w:widowControl/>
                    <w:adjustRightInd w:val="0"/>
                    <w:snapToGrid w:val="0"/>
                    <w:spacing w:line="240" w:lineRule="auto"/>
                    <w:ind w:firstLine="0" w:firstLineChars="0"/>
                    <w:jc w:val="center"/>
                    <w:rPr>
                      <w:sz w:val="21"/>
                      <w:szCs w:val="22"/>
                    </w:rPr>
                  </w:pPr>
                  <w:r>
                    <w:rPr>
                      <w:rFonts w:hint="eastAsia"/>
                      <w:sz w:val="21"/>
                      <w:szCs w:val="22"/>
                    </w:rPr>
                    <w:t>25</w:t>
                  </w:r>
                </w:p>
              </w:tc>
              <w:tc>
                <w:tcPr>
                  <w:tcW w:w="1240" w:type="pct"/>
                  <w:vMerge w:val="continue"/>
                  <w:tcBorders>
                    <w:tl2br w:val="nil"/>
                    <w:tr2bl w:val="nil"/>
                  </w:tcBorders>
                  <w:vAlign w:val="center"/>
                </w:tcPr>
                <w:p w14:paraId="68FB8425">
                  <w:pPr>
                    <w:widowControl/>
                    <w:adjustRightInd w:val="0"/>
                    <w:snapToGrid w:val="0"/>
                    <w:spacing w:line="240" w:lineRule="auto"/>
                    <w:ind w:firstLine="0" w:firstLineChars="0"/>
                    <w:jc w:val="center"/>
                    <w:rPr>
                      <w:sz w:val="21"/>
                      <w:szCs w:val="22"/>
                    </w:rPr>
                  </w:pPr>
                </w:p>
              </w:tc>
            </w:tr>
            <w:tr w14:paraId="64D941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04386EA7">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0202C5D5">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33FB46CA">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1EA1743E">
                  <w:pPr>
                    <w:widowControl/>
                    <w:adjustRightInd w:val="0"/>
                    <w:snapToGrid w:val="0"/>
                    <w:spacing w:line="240" w:lineRule="auto"/>
                    <w:ind w:firstLine="0" w:firstLineChars="0"/>
                    <w:jc w:val="center"/>
                    <w:rPr>
                      <w:sz w:val="21"/>
                      <w:szCs w:val="22"/>
                    </w:rPr>
                  </w:pPr>
                  <w:r>
                    <w:rPr>
                      <w:rFonts w:hint="eastAsia"/>
                      <w:sz w:val="21"/>
                      <w:szCs w:val="22"/>
                    </w:rPr>
                    <w:t>60</w:t>
                  </w:r>
                </w:p>
              </w:tc>
              <w:tc>
                <w:tcPr>
                  <w:tcW w:w="809" w:type="pct"/>
                  <w:tcBorders>
                    <w:tl2br w:val="nil"/>
                    <w:tr2bl w:val="nil"/>
                  </w:tcBorders>
                  <w:vAlign w:val="center"/>
                </w:tcPr>
                <w:p w14:paraId="59AA8078">
                  <w:pPr>
                    <w:widowControl/>
                    <w:adjustRightInd w:val="0"/>
                    <w:snapToGrid w:val="0"/>
                    <w:spacing w:line="240" w:lineRule="auto"/>
                    <w:ind w:firstLine="0" w:firstLineChars="0"/>
                    <w:jc w:val="center"/>
                    <w:rPr>
                      <w:sz w:val="21"/>
                      <w:szCs w:val="22"/>
                    </w:rPr>
                  </w:pPr>
                  <w:r>
                    <w:rPr>
                      <w:rFonts w:hint="eastAsia"/>
                      <w:sz w:val="21"/>
                      <w:szCs w:val="22"/>
                    </w:rPr>
                    <w:t>50</w:t>
                  </w:r>
                </w:p>
              </w:tc>
              <w:tc>
                <w:tcPr>
                  <w:tcW w:w="1240" w:type="pct"/>
                  <w:vMerge w:val="continue"/>
                  <w:tcBorders>
                    <w:tl2br w:val="nil"/>
                    <w:tr2bl w:val="nil"/>
                  </w:tcBorders>
                  <w:vAlign w:val="center"/>
                </w:tcPr>
                <w:p w14:paraId="5EA8B67D">
                  <w:pPr>
                    <w:widowControl/>
                    <w:adjustRightInd w:val="0"/>
                    <w:snapToGrid w:val="0"/>
                    <w:spacing w:line="240" w:lineRule="auto"/>
                    <w:ind w:firstLine="0" w:firstLineChars="0"/>
                    <w:jc w:val="center"/>
                    <w:rPr>
                      <w:sz w:val="21"/>
                      <w:szCs w:val="22"/>
                    </w:rPr>
                  </w:pPr>
                </w:p>
              </w:tc>
            </w:tr>
            <w:tr w14:paraId="7183F3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09094CCE">
                  <w:pPr>
                    <w:widowControl/>
                    <w:adjustRightInd w:val="0"/>
                    <w:snapToGrid w:val="0"/>
                    <w:spacing w:line="240" w:lineRule="auto"/>
                    <w:ind w:firstLine="0" w:firstLineChars="0"/>
                    <w:jc w:val="center"/>
                    <w:rPr>
                      <w:sz w:val="21"/>
                      <w:szCs w:val="22"/>
                    </w:rPr>
                  </w:pPr>
                  <w:r>
                    <w:rPr>
                      <w:sz w:val="21"/>
                      <w:szCs w:val="22"/>
                    </w:rPr>
                    <w:t>TSP</w:t>
                  </w:r>
                </w:p>
              </w:tc>
              <w:tc>
                <w:tcPr>
                  <w:tcW w:w="971" w:type="pct"/>
                  <w:tcBorders>
                    <w:tl2br w:val="nil"/>
                    <w:tr2bl w:val="nil"/>
                  </w:tcBorders>
                  <w:vAlign w:val="center"/>
                </w:tcPr>
                <w:p w14:paraId="6DA45F35">
                  <w:pPr>
                    <w:widowControl/>
                    <w:adjustRightInd w:val="0"/>
                    <w:snapToGrid w:val="0"/>
                    <w:spacing w:line="240" w:lineRule="auto"/>
                    <w:ind w:firstLine="0" w:firstLineChars="0"/>
                    <w:jc w:val="center"/>
                    <w:rPr>
                      <w:sz w:val="21"/>
                      <w:szCs w:val="22"/>
                    </w:rPr>
                  </w:pPr>
                  <w:r>
                    <w:rPr>
                      <w:sz w:val="21"/>
                      <w:szCs w:val="22"/>
                    </w:rPr>
                    <w:t>年平均</w:t>
                  </w:r>
                </w:p>
              </w:tc>
              <w:tc>
                <w:tcPr>
                  <w:tcW w:w="576" w:type="pct"/>
                  <w:tcBorders>
                    <w:tl2br w:val="nil"/>
                    <w:tr2bl w:val="nil"/>
                  </w:tcBorders>
                  <w:vAlign w:val="center"/>
                </w:tcPr>
                <w:p w14:paraId="447643CE">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0023491C">
                  <w:pPr>
                    <w:widowControl/>
                    <w:adjustRightInd w:val="0"/>
                    <w:snapToGrid w:val="0"/>
                    <w:spacing w:line="240" w:lineRule="auto"/>
                    <w:ind w:firstLine="0" w:firstLineChars="0"/>
                    <w:jc w:val="center"/>
                    <w:rPr>
                      <w:sz w:val="21"/>
                      <w:szCs w:val="22"/>
                    </w:rPr>
                  </w:pPr>
                  <w:r>
                    <w:rPr>
                      <w:sz w:val="21"/>
                      <w:szCs w:val="22"/>
                    </w:rPr>
                    <w:t>200</w:t>
                  </w:r>
                </w:p>
              </w:tc>
              <w:tc>
                <w:tcPr>
                  <w:tcW w:w="809" w:type="pct"/>
                  <w:tcBorders>
                    <w:tl2br w:val="nil"/>
                    <w:tr2bl w:val="nil"/>
                  </w:tcBorders>
                  <w:vAlign w:val="center"/>
                </w:tcPr>
                <w:p w14:paraId="3279EFB1">
                  <w:pPr>
                    <w:widowControl/>
                    <w:adjustRightInd w:val="0"/>
                    <w:snapToGrid w:val="0"/>
                    <w:spacing w:line="240" w:lineRule="auto"/>
                    <w:ind w:firstLine="0" w:firstLineChars="0"/>
                    <w:jc w:val="center"/>
                    <w:rPr>
                      <w:sz w:val="21"/>
                      <w:szCs w:val="22"/>
                    </w:rPr>
                  </w:pPr>
                  <w:r>
                    <w:rPr>
                      <w:rFonts w:hint="eastAsia"/>
                      <w:sz w:val="21"/>
                      <w:szCs w:val="22"/>
                    </w:rPr>
                    <w:t>200</w:t>
                  </w:r>
                </w:p>
              </w:tc>
              <w:tc>
                <w:tcPr>
                  <w:tcW w:w="1240" w:type="pct"/>
                  <w:vMerge w:val="continue"/>
                  <w:tcBorders>
                    <w:tl2br w:val="nil"/>
                    <w:tr2bl w:val="nil"/>
                  </w:tcBorders>
                  <w:vAlign w:val="center"/>
                </w:tcPr>
                <w:p w14:paraId="1D7E54C9">
                  <w:pPr>
                    <w:widowControl/>
                    <w:adjustRightInd w:val="0"/>
                    <w:snapToGrid w:val="0"/>
                    <w:spacing w:line="240" w:lineRule="auto"/>
                    <w:ind w:firstLine="0" w:firstLineChars="0"/>
                    <w:jc w:val="center"/>
                    <w:rPr>
                      <w:sz w:val="21"/>
                      <w:szCs w:val="22"/>
                    </w:rPr>
                  </w:pPr>
                </w:p>
              </w:tc>
            </w:tr>
            <w:tr w14:paraId="23816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3699DCDE">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6C47B6D8">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04AD5B45">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0DA6F9D3">
                  <w:pPr>
                    <w:widowControl/>
                    <w:adjustRightInd w:val="0"/>
                    <w:snapToGrid w:val="0"/>
                    <w:spacing w:line="240" w:lineRule="auto"/>
                    <w:ind w:firstLine="0" w:firstLineChars="0"/>
                    <w:jc w:val="center"/>
                    <w:rPr>
                      <w:sz w:val="21"/>
                      <w:szCs w:val="22"/>
                    </w:rPr>
                  </w:pPr>
                  <w:r>
                    <w:rPr>
                      <w:sz w:val="21"/>
                      <w:szCs w:val="22"/>
                    </w:rPr>
                    <w:t>300</w:t>
                  </w:r>
                </w:p>
              </w:tc>
              <w:tc>
                <w:tcPr>
                  <w:tcW w:w="809" w:type="pct"/>
                  <w:tcBorders>
                    <w:tl2br w:val="nil"/>
                    <w:tr2bl w:val="nil"/>
                  </w:tcBorders>
                  <w:vAlign w:val="center"/>
                </w:tcPr>
                <w:p w14:paraId="7C006FC5">
                  <w:pPr>
                    <w:widowControl/>
                    <w:adjustRightInd w:val="0"/>
                    <w:snapToGrid w:val="0"/>
                    <w:spacing w:line="240" w:lineRule="auto"/>
                    <w:ind w:firstLine="0" w:firstLineChars="0"/>
                    <w:jc w:val="center"/>
                    <w:rPr>
                      <w:sz w:val="21"/>
                      <w:szCs w:val="22"/>
                    </w:rPr>
                  </w:pPr>
                  <w:r>
                    <w:rPr>
                      <w:rFonts w:hint="eastAsia"/>
                      <w:sz w:val="21"/>
                      <w:szCs w:val="22"/>
                    </w:rPr>
                    <w:t>300</w:t>
                  </w:r>
                </w:p>
              </w:tc>
              <w:tc>
                <w:tcPr>
                  <w:tcW w:w="1240" w:type="pct"/>
                  <w:vMerge w:val="continue"/>
                  <w:tcBorders>
                    <w:tl2br w:val="nil"/>
                    <w:tr2bl w:val="nil"/>
                  </w:tcBorders>
                  <w:vAlign w:val="center"/>
                </w:tcPr>
                <w:p w14:paraId="4F4620A3">
                  <w:pPr>
                    <w:widowControl/>
                    <w:adjustRightInd w:val="0"/>
                    <w:snapToGrid w:val="0"/>
                    <w:spacing w:line="240" w:lineRule="auto"/>
                    <w:ind w:firstLine="0" w:firstLineChars="0"/>
                    <w:jc w:val="center"/>
                    <w:rPr>
                      <w:sz w:val="21"/>
                      <w:szCs w:val="22"/>
                    </w:rPr>
                  </w:pPr>
                </w:p>
              </w:tc>
            </w:tr>
            <w:tr w14:paraId="4E4364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405FE484">
                  <w:pPr>
                    <w:widowControl/>
                    <w:adjustRightInd w:val="0"/>
                    <w:snapToGrid w:val="0"/>
                    <w:spacing w:line="240" w:lineRule="auto"/>
                    <w:ind w:firstLine="0" w:firstLineChars="0"/>
                    <w:jc w:val="center"/>
                    <w:rPr>
                      <w:sz w:val="21"/>
                      <w:szCs w:val="22"/>
                    </w:rPr>
                  </w:pPr>
                  <w:r>
                    <w:rPr>
                      <w:sz w:val="21"/>
                      <w:szCs w:val="22"/>
                    </w:rPr>
                    <w:t>CO</w:t>
                  </w:r>
                </w:p>
              </w:tc>
              <w:tc>
                <w:tcPr>
                  <w:tcW w:w="971" w:type="pct"/>
                  <w:tcBorders>
                    <w:tl2br w:val="nil"/>
                    <w:tr2bl w:val="nil"/>
                  </w:tcBorders>
                  <w:vAlign w:val="center"/>
                </w:tcPr>
                <w:p w14:paraId="5911F2A7">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2BC044EE">
                  <w:pPr>
                    <w:widowControl/>
                    <w:adjustRightInd w:val="0"/>
                    <w:snapToGrid w:val="0"/>
                    <w:spacing w:line="240" w:lineRule="auto"/>
                    <w:ind w:firstLine="0" w:firstLineChars="0"/>
                    <w:jc w:val="center"/>
                    <w:rPr>
                      <w:sz w:val="21"/>
                      <w:szCs w:val="22"/>
                    </w:rPr>
                  </w:pPr>
                  <w:r>
                    <w:rPr>
                      <w:sz w:val="21"/>
                      <w:szCs w:val="22"/>
                    </w:rPr>
                    <w:t>mg/m³</w:t>
                  </w:r>
                </w:p>
              </w:tc>
              <w:tc>
                <w:tcPr>
                  <w:tcW w:w="809" w:type="pct"/>
                  <w:tcBorders>
                    <w:tl2br w:val="nil"/>
                    <w:tr2bl w:val="nil"/>
                  </w:tcBorders>
                  <w:vAlign w:val="center"/>
                </w:tcPr>
                <w:p w14:paraId="6006D15E">
                  <w:pPr>
                    <w:widowControl/>
                    <w:adjustRightInd w:val="0"/>
                    <w:snapToGrid w:val="0"/>
                    <w:spacing w:line="240" w:lineRule="auto"/>
                    <w:ind w:firstLine="0" w:firstLineChars="0"/>
                    <w:jc w:val="center"/>
                    <w:rPr>
                      <w:sz w:val="21"/>
                      <w:szCs w:val="22"/>
                    </w:rPr>
                  </w:pPr>
                  <w:r>
                    <w:rPr>
                      <w:sz w:val="21"/>
                      <w:szCs w:val="22"/>
                    </w:rPr>
                    <w:t>4</w:t>
                  </w:r>
                </w:p>
              </w:tc>
              <w:tc>
                <w:tcPr>
                  <w:tcW w:w="809" w:type="pct"/>
                  <w:tcBorders>
                    <w:tl2br w:val="nil"/>
                    <w:tr2bl w:val="nil"/>
                  </w:tcBorders>
                  <w:vAlign w:val="center"/>
                </w:tcPr>
                <w:p w14:paraId="6DC0334A">
                  <w:pPr>
                    <w:widowControl/>
                    <w:adjustRightInd w:val="0"/>
                    <w:snapToGrid w:val="0"/>
                    <w:spacing w:line="240" w:lineRule="auto"/>
                    <w:ind w:firstLine="0" w:firstLineChars="0"/>
                    <w:jc w:val="center"/>
                    <w:rPr>
                      <w:sz w:val="21"/>
                      <w:szCs w:val="22"/>
                    </w:rPr>
                  </w:pPr>
                  <w:r>
                    <w:rPr>
                      <w:rFonts w:hint="eastAsia"/>
                      <w:sz w:val="21"/>
                      <w:szCs w:val="22"/>
                    </w:rPr>
                    <w:t>4</w:t>
                  </w:r>
                </w:p>
              </w:tc>
              <w:tc>
                <w:tcPr>
                  <w:tcW w:w="1240" w:type="pct"/>
                  <w:vMerge w:val="continue"/>
                  <w:tcBorders>
                    <w:tl2br w:val="nil"/>
                    <w:tr2bl w:val="nil"/>
                  </w:tcBorders>
                  <w:vAlign w:val="center"/>
                </w:tcPr>
                <w:p w14:paraId="73D4D232">
                  <w:pPr>
                    <w:widowControl/>
                    <w:adjustRightInd w:val="0"/>
                    <w:snapToGrid w:val="0"/>
                    <w:spacing w:line="240" w:lineRule="auto"/>
                    <w:ind w:firstLine="0" w:firstLineChars="0"/>
                    <w:jc w:val="center"/>
                    <w:rPr>
                      <w:sz w:val="21"/>
                      <w:szCs w:val="22"/>
                    </w:rPr>
                  </w:pPr>
                </w:p>
              </w:tc>
            </w:tr>
            <w:tr w14:paraId="7DB1A8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609AE7D1">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29E9AB18">
                  <w:pPr>
                    <w:widowControl/>
                    <w:adjustRightInd w:val="0"/>
                    <w:snapToGrid w:val="0"/>
                    <w:spacing w:line="240" w:lineRule="auto"/>
                    <w:ind w:firstLine="0" w:firstLineChars="0"/>
                    <w:jc w:val="center"/>
                    <w:rPr>
                      <w:sz w:val="21"/>
                      <w:szCs w:val="22"/>
                    </w:rPr>
                  </w:pPr>
                  <w:r>
                    <w:rPr>
                      <w:sz w:val="21"/>
                      <w:szCs w:val="22"/>
                    </w:rPr>
                    <w:t>1小时平均</w:t>
                  </w:r>
                </w:p>
              </w:tc>
              <w:tc>
                <w:tcPr>
                  <w:tcW w:w="576" w:type="pct"/>
                  <w:tcBorders>
                    <w:tl2br w:val="nil"/>
                    <w:tr2bl w:val="nil"/>
                  </w:tcBorders>
                  <w:vAlign w:val="center"/>
                </w:tcPr>
                <w:p w14:paraId="208ACB37">
                  <w:pPr>
                    <w:widowControl/>
                    <w:adjustRightInd w:val="0"/>
                    <w:snapToGrid w:val="0"/>
                    <w:spacing w:line="240" w:lineRule="auto"/>
                    <w:ind w:firstLine="0" w:firstLineChars="0"/>
                    <w:jc w:val="center"/>
                    <w:rPr>
                      <w:sz w:val="21"/>
                      <w:szCs w:val="22"/>
                    </w:rPr>
                  </w:pPr>
                  <w:r>
                    <w:rPr>
                      <w:sz w:val="21"/>
                      <w:szCs w:val="22"/>
                    </w:rPr>
                    <w:t>mg/m³</w:t>
                  </w:r>
                </w:p>
              </w:tc>
              <w:tc>
                <w:tcPr>
                  <w:tcW w:w="809" w:type="pct"/>
                  <w:tcBorders>
                    <w:tl2br w:val="nil"/>
                    <w:tr2bl w:val="nil"/>
                  </w:tcBorders>
                  <w:vAlign w:val="center"/>
                </w:tcPr>
                <w:p w14:paraId="7D5D548B">
                  <w:pPr>
                    <w:widowControl/>
                    <w:adjustRightInd w:val="0"/>
                    <w:snapToGrid w:val="0"/>
                    <w:spacing w:line="240" w:lineRule="auto"/>
                    <w:ind w:firstLine="0" w:firstLineChars="0"/>
                    <w:jc w:val="center"/>
                    <w:rPr>
                      <w:sz w:val="21"/>
                      <w:szCs w:val="22"/>
                    </w:rPr>
                  </w:pPr>
                  <w:r>
                    <w:rPr>
                      <w:sz w:val="21"/>
                      <w:szCs w:val="22"/>
                    </w:rPr>
                    <w:t>10</w:t>
                  </w:r>
                </w:p>
              </w:tc>
              <w:tc>
                <w:tcPr>
                  <w:tcW w:w="809" w:type="pct"/>
                  <w:tcBorders>
                    <w:tl2br w:val="nil"/>
                    <w:tr2bl w:val="nil"/>
                  </w:tcBorders>
                  <w:vAlign w:val="center"/>
                </w:tcPr>
                <w:p w14:paraId="5FF9724E">
                  <w:pPr>
                    <w:widowControl/>
                    <w:adjustRightInd w:val="0"/>
                    <w:snapToGrid w:val="0"/>
                    <w:spacing w:line="240" w:lineRule="auto"/>
                    <w:ind w:firstLine="0" w:firstLineChars="0"/>
                    <w:jc w:val="center"/>
                    <w:rPr>
                      <w:sz w:val="21"/>
                      <w:szCs w:val="22"/>
                    </w:rPr>
                  </w:pPr>
                  <w:r>
                    <w:rPr>
                      <w:rFonts w:hint="eastAsia"/>
                      <w:sz w:val="21"/>
                      <w:szCs w:val="22"/>
                    </w:rPr>
                    <w:t>10</w:t>
                  </w:r>
                </w:p>
              </w:tc>
              <w:tc>
                <w:tcPr>
                  <w:tcW w:w="1240" w:type="pct"/>
                  <w:vMerge w:val="continue"/>
                  <w:tcBorders>
                    <w:tl2br w:val="nil"/>
                    <w:tr2bl w:val="nil"/>
                  </w:tcBorders>
                  <w:vAlign w:val="center"/>
                </w:tcPr>
                <w:p w14:paraId="1D6358C9">
                  <w:pPr>
                    <w:widowControl/>
                    <w:adjustRightInd w:val="0"/>
                    <w:snapToGrid w:val="0"/>
                    <w:spacing w:line="240" w:lineRule="auto"/>
                    <w:ind w:firstLine="0" w:firstLineChars="0"/>
                    <w:jc w:val="center"/>
                    <w:rPr>
                      <w:sz w:val="21"/>
                      <w:szCs w:val="22"/>
                    </w:rPr>
                  </w:pPr>
                </w:p>
              </w:tc>
            </w:tr>
            <w:tr w14:paraId="4BD260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6E25CABC">
                  <w:pPr>
                    <w:widowControl/>
                    <w:adjustRightInd w:val="0"/>
                    <w:snapToGrid w:val="0"/>
                    <w:spacing w:line="240" w:lineRule="auto"/>
                    <w:ind w:firstLine="0" w:firstLineChars="0"/>
                    <w:jc w:val="center"/>
                    <w:rPr>
                      <w:sz w:val="21"/>
                      <w:szCs w:val="22"/>
                    </w:rPr>
                  </w:pPr>
                  <w:r>
                    <w:rPr>
                      <w:sz w:val="21"/>
                      <w:szCs w:val="22"/>
                    </w:rPr>
                    <w:t>O</w:t>
                  </w:r>
                  <w:r>
                    <w:rPr>
                      <w:sz w:val="21"/>
                      <w:szCs w:val="22"/>
                      <w:vertAlign w:val="subscript"/>
                    </w:rPr>
                    <w:t>3</w:t>
                  </w:r>
                </w:p>
              </w:tc>
              <w:tc>
                <w:tcPr>
                  <w:tcW w:w="971" w:type="pct"/>
                  <w:tcBorders>
                    <w:tl2br w:val="nil"/>
                    <w:tr2bl w:val="nil"/>
                  </w:tcBorders>
                  <w:vAlign w:val="center"/>
                </w:tcPr>
                <w:p w14:paraId="32DD8EB3">
                  <w:pPr>
                    <w:widowControl/>
                    <w:adjustRightInd w:val="0"/>
                    <w:snapToGrid w:val="0"/>
                    <w:spacing w:line="240" w:lineRule="auto"/>
                    <w:ind w:firstLine="0" w:firstLineChars="0"/>
                    <w:jc w:val="center"/>
                    <w:rPr>
                      <w:sz w:val="21"/>
                      <w:szCs w:val="22"/>
                    </w:rPr>
                  </w:pPr>
                  <w:r>
                    <w:rPr>
                      <w:sz w:val="21"/>
                      <w:szCs w:val="22"/>
                    </w:rPr>
                    <w:t>日最大8小时平均</w:t>
                  </w:r>
                </w:p>
              </w:tc>
              <w:tc>
                <w:tcPr>
                  <w:tcW w:w="576" w:type="pct"/>
                  <w:tcBorders>
                    <w:tl2br w:val="nil"/>
                    <w:tr2bl w:val="nil"/>
                  </w:tcBorders>
                  <w:vAlign w:val="center"/>
                </w:tcPr>
                <w:p w14:paraId="529E2C49">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7EF84B7C">
                  <w:pPr>
                    <w:widowControl/>
                    <w:adjustRightInd w:val="0"/>
                    <w:snapToGrid w:val="0"/>
                    <w:spacing w:line="240" w:lineRule="auto"/>
                    <w:ind w:firstLine="0" w:firstLineChars="0"/>
                    <w:jc w:val="center"/>
                    <w:rPr>
                      <w:sz w:val="21"/>
                      <w:szCs w:val="22"/>
                    </w:rPr>
                  </w:pPr>
                  <w:r>
                    <w:rPr>
                      <w:sz w:val="21"/>
                      <w:szCs w:val="22"/>
                    </w:rPr>
                    <w:t>160</w:t>
                  </w:r>
                </w:p>
              </w:tc>
              <w:tc>
                <w:tcPr>
                  <w:tcW w:w="809" w:type="pct"/>
                  <w:tcBorders>
                    <w:tl2br w:val="nil"/>
                    <w:tr2bl w:val="nil"/>
                  </w:tcBorders>
                  <w:vAlign w:val="center"/>
                </w:tcPr>
                <w:p w14:paraId="6D42CFD2">
                  <w:pPr>
                    <w:widowControl/>
                    <w:adjustRightInd w:val="0"/>
                    <w:snapToGrid w:val="0"/>
                    <w:spacing w:line="240" w:lineRule="auto"/>
                    <w:ind w:firstLine="0" w:firstLineChars="0"/>
                    <w:jc w:val="center"/>
                    <w:rPr>
                      <w:sz w:val="21"/>
                      <w:szCs w:val="22"/>
                    </w:rPr>
                  </w:pPr>
                  <w:r>
                    <w:rPr>
                      <w:rFonts w:hint="eastAsia"/>
                      <w:sz w:val="21"/>
                      <w:szCs w:val="22"/>
                    </w:rPr>
                    <w:t>160</w:t>
                  </w:r>
                </w:p>
              </w:tc>
              <w:tc>
                <w:tcPr>
                  <w:tcW w:w="1240" w:type="pct"/>
                  <w:vMerge w:val="continue"/>
                  <w:tcBorders>
                    <w:tl2br w:val="nil"/>
                    <w:tr2bl w:val="nil"/>
                  </w:tcBorders>
                  <w:vAlign w:val="center"/>
                </w:tcPr>
                <w:p w14:paraId="561EFD87">
                  <w:pPr>
                    <w:widowControl/>
                    <w:adjustRightInd w:val="0"/>
                    <w:snapToGrid w:val="0"/>
                    <w:spacing w:line="240" w:lineRule="auto"/>
                    <w:ind w:firstLine="0" w:firstLineChars="0"/>
                    <w:jc w:val="center"/>
                    <w:rPr>
                      <w:sz w:val="21"/>
                      <w:szCs w:val="22"/>
                    </w:rPr>
                  </w:pPr>
                </w:p>
              </w:tc>
            </w:tr>
            <w:tr w14:paraId="3DB014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2E4DC274">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7AD87FDB">
                  <w:pPr>
                    <w:widowControl/>
                    <w:adjustRightInd w:val="0"/>
                    <w:snapToGrid w:val="0"/>
                    <w:spacing w:line="240" w:lineRule="auto"/>
                    <w:ind w:firstLine="0" w:firstLineChars="0"/>
                    <w:jc w:val="center"/>
                    <w:rPr>
                      <w:sz w:val="21"/>
                      <w:szCs w:val="22"/>
                    </w:rPr>
                  </w:pPr>
                  <w:r>
                    <w:rPr>
                      <w:sz w:val="21"/>
                      <w:szCs w:val="22"/>
                    </w:rPr>
                    <w:t>1小时平均</w:t>
                  </w:r>
                </w:p>
              </w:tc>
              <w:tc>
                <w:tcPr>
                  <w:tcW w:w="576" w:type="pct"/>
                  <w:tcBorders>
                    <w:tl2br w:val="nil"/>
                    <w:tr2bl w:val="nil"/>
                  </w:tcBorders>
                  <w:vAlign w:val="center"/>
                </w:tcPr>
                <w:p w14:paraId="749CEBED">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6D500AF3">
                  <w:pPr>
                    <w:widowControl/>
                    <w:adjustRightInd w:val="0"/>
                    <w:snapToGrid w:val="0"/>
                    <w:spacing w:line="240" w:lineRule="auto"/>
                    <w:ind w:firstLine="0" w:firstLineChars="0"/>
                    <w:jc w:val="center"/>
                    <w:rPr>
                      <w:sz w:val="21"/>
                      <w:szCs w:val="22"/>
                    </w:rPr>
                  </w:pPr>
                  <w:r>
                    <w:rPr>
                      <w:sz w:val="21"/>
                      <w:szCs w:val="22"/>
                    </w:rPr>
                    <w:t>200</w:t>
                  </w:r>
                </w:p>
              </w:tc>
              <w:tc>
                <w:tcPr>
                  <w:tcW w:w="809" w:type="pct"/>
                  <w:tcBorders>
                    <w:tl2br w:val="nil"/>
                    <w:tr2bl w:val="nil"/>
                  </w:tcBorders>
                  <w:vAlign w:val="center"/>
                </w:tcPr>
                <w:p w14:paraId="08D1086A">
                  <w:pPr>
                    <w:widowControl/>
                    <w:adjustRightInd w:val="0"/>
                    <w:snapToGrid w:val="0"/>
                    <w:spacing w:line="240" w:lineRule="auto"/>
                    <w:ind w:firstLine="0" w:firstLineChars="0"/>
                    <w:jc w:val="center"/>
                    <w:rPr>
                      <w:sz w:val="21"/>
                      <w:szCs w:val="22"/>
                    </w:rPr>
                  </w:pPr>
                  <w:r>
                    <w:rPr>
                      <w:rFonts w:hint="eastAsia"/>
                      <w:sz w:val="21"/>
                      <w:szCs w:val="22"/>
                    </w:rPr>
                    <w:t>200</w:t>
                  </w:r>
                </w:p>
              </w:tc>
              <w:tc>
                <w:tcPr>
                  <w:tcW w:w="1240" w:type="pct"/>
                  <w:vMerge w:val="continue"/>
                  <w:tcBorders>
                    <w:tl2br w:val="nil"/>
                    <w:tr2bl w:val="nil"/>
                  </w:tcBorders>
                  <w:vAlign w:val="center"/>
                </w:tcPr>
                <w:p w14:paraId="338B3264">
                  <w:pPr>
                    <w:widowControl/>
                    <w:adjustRightInd w:val="0"/>
                    <w:snapToGrid w:val="0"/>
                    <w:spacing w:line="240" w:lineRule="auto"/>
                    <w:ind w:firstLine="0" w:firstLineChars="0"/>
                    <w:jc w:val="center"/>
                    <w:rPr>
                      <w:sz w:val="21"/>
                      <w:szCs w:val="22"/>
                    </w:rPr>
                  </w:pPr>
                </w:p>
              </w:tc>
            </w:tr>
            <w:tr w14:paraId="42E43B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restart"/>
                  <w:tcBorders>
                    <w:tl2br w:val="nil"/>
                    <w:tr2bl w:val="nil"/>
                  </w:tcBorders>
                  <w:vAlign w:val="center"/>
                </w:tcPr>
                <w:p w14:paraId="225E8EF6">
                  <w:pPr>
                    <w:widowControl/>
                    <w:adjustRightInd w:val="0"/>
                    <w:snapToGrid w:val="0"/>
                    <w:spacing w:line="240" w:lineRule="auto"/>
                    <w:ind w:firstLine="0" w:firstLineChars="0"/>
                    <w:jc w:val="center"/>
                    <w:rPr>
                      <w:sz w:val="21"/>
                      <w:szCs w:val="22"/>
                    </w:rPr>
                  </w:pPr>
                  <w:r>
                    <w:rPr>
                      <w:sz w:val="21"/>
                      <w:szCs w:val="22"/>
                    </w:rPr>
                    <w:t>NOx</w:t>
                  </w:r>
                </w:p>
              </w:tc>
              <w:tc>
                <w:tcPr>
                  <w:tcW w:w="971" w:type="pct"/>
                  <w:tcBorders>
                    <w:tl2br w:val="nil"/>
                    <w:tr2bl w:val="nil"/>
                  </w:tcBorders>
                  <w:vAlign w:val="center"/>
                </w:tcPr>
                <w:p w14:paraId="612C3F9D">
                  <w:pPr>
                    <w:widowControl/>
                    <w:adjustRightInd w:val="0"/>
                    <w:snapToGrid w:val="0"/>
                    <w:spacing w:line="240" w:lineRule="auto"/>
                    <w:ind w:firstLine="0" w:firstLineChars="0"/>
                    <w:jc w:val="center"/>
                    <w:rPr>
                      <w:sz w:val="21"/>
                      <w:szCs w:val="22"/>
                    </w:rPr>
                  </w:pPr>
                  <w:r>
                    <w:rPr>
                      <w:sz w:val="21"/>
                      <w:szCs w:val="22"/>
                    </w:rPr>
                    <w:t>年平均</w:t>
                  </w:r>
                </w:p>
              </w:tc>
              <w:tc>
                <w:tcPr>
                  <w:tcW w:w="576" w:type="pct"/>
                  <w:tcBorders>
                    <w:tl2br w:val="nil"/>
                    <w:tr2bl w:val="nil"/>
                  </w:tcBorders>
                  <w:vAlign w:val="center"/>
                </w:tcPr>
                <w:p w14:paraId="3BCF3402">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3EF64876">
                  <w:pPr>
                    <w:widowControl/>
                    <w:adjustRightInd w:val="0"/>
                    <w:snapToGrid w:val="0"/>
                    <w:spacing w:line="240" w:lineRule="auto"/>
                    <w:ind w:firstLine="0" w:firstLineChars="0"/>
                    <w:jc w:val="center"/>
                    <w:rPr>
                      <w:sz w:val="21"/>
                      <w:szCs w:val="22"/>
                    </w:rPr>
                  </w:pPr>
                  <w:r>
                    <w:rPr>
                      <w:sz w:val="21"/>
                      <w:szCs w:val="22"/>
                    </w:rPr>
                    <w:t>50</w:t>
                  </w:r>
                </w:p>
              </w:tc>
              <w:tc>
                <w:tcPr>
                  <w:tcW w:w="809" w:type="pct"/>
                  <w:tcBorders>
                    <w:tl2br w:val="nil"/>
                    <w:tr2bl w:val="nil"/>
                  </w:tcBorders>
                  <w:vAlign w:val="center"/>
                </w:tcPr>
                <w:p w14:paraId="2EDB3004">
                  <w:pPr>
                    <w:widowControl/>
                    <w:adjustRightInd w:val="0"/>
                    <w:snapToGrid w:val="0"/>
                    <w:spacing w:line="240" w:lineRule="auto"/>
                    <w:ind w:firstLine="0" w:firstLineChars="0"/>
                    <w:jc w:val="center"/>
                    <w:rPr>
                      <w:sz w:val="21"/>
                      <w:szCs w:val="22"/>
                    </w:rPr>
                  </w:pPr>
                  <w:r>
                    <w:rPr>
                      <w:rFonts w:hint="eastAsia"/>
                      <w:sz w:val="21"/>
                      <w:szCs w:val="22"/>
                    </w:rPr>
                    <w:t>40</w:t>
                  </w:r>
                </w:p>
              </w:tc>
              <w:tc>
                <w:tcPr>
                  <w:tcW w:w="1240" w:type="pct"/>
                  <w:vMerge w:val="continue"/>
                  <w:tcBorders>
                    <w:tl2br w:val="nil"/>
                    <w:tr2bl w:val="nil"/>
                  </w:tcBorders>
                  <w:vAlign w:val="center"/>
                </w:tcPr>
                <w:p w14:paraId="4762CEE4">
                  <w:pPr>
                    <w:widowControl/>
                    <w:adjustRightInd w:val="0"/>
                    <w:snapToGrid w:val="0"/>
                    <w:spacing w:line="240" w:lineRule="auto"/>
                    <w:ind w:firstLine="0" w:firstLineChars="0"/>
                    <w:jc w:val="center"/>
                    <w:rPr>
                      <w:sz w:val="21"/>
                      <w:szCs w:val="22"/>
                    </w:rPr>
                  </w:pPr>
                </w:p>
              </w:tc>
            </w:tr>
            <w:tr w14:paraId="1BC4C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511F95E4">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1CCDE7A3">
                  <w:pPr>
                    <w:widowControl/>
                    <w:adjustRightInd w:val="0"/>
                    <w:snapToGrid w:val="0"/>
                    <w:spacing w:line="240" w:lineRule="auto"/>
                    <w:ind w:firstLine="0" w:firstLineChars="0"/>
                    <w:jc w:val="center"/>
                    <w:rPr>
                      <w:sz w:val="21"/>
                      <w:szCs w:val="22"/>
                    </w:rPr>
                  </w:pPr>
                  <w:r>
                    <w:rPr>
                      <w:sz w:val="21"/>
                      <w:szCs w:val="22"/>
                    </w:rPr>
                    <w:t>24小时平均</w:t>
                  </w:r>
                </w:p>
              </w:tc>
              <w:tc>
                <w:tcPr>
                  <w:tcW w:w="576" w:type="pct"/>
                  <w:tcBorders>
                    <w:tl2br w:val="nil"/>
                    <w:tr2bl w:val="nil"/>
                  </w:tcBorders>
                  <w:vAlign w:val="center"/>
                </w:tcPr>
                <w:p w14:paraId="225B603B">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051A20BC">
                  <w:pPr>
                    <w:widowControl/>
                    <w:adjustRightInd w:val="0"/>
                    <w:snapToGrid w:val="0"/>
                    <w:spacing w:line="240" w:lineRule="auto"/>
                    <w:ind w:firstLine="0" w:firstLineChars="0"/>
                    <w:jc w:val="center"/>
                    <w:rPr>
                      <w:sz w:val="21"/>
                      <w:szCs w:val="22"/>
                    </w:rPr>
                  </w:pPr>
                  <w:r>
                    <w:rPr>
                      <w:sz w:val="21"/>
                      <w:szCs w:val="22"/>
                    </w:rPr>
                    <w:t>100</w:t>
                  </w:r>
                </w:p>
              </w:tc>
              <w:tc>
                <w:tcPr>
                  <w:tcW w:w="809" w:type="pct"/>
                  <w:tcBorders>
                    <w:tl2br w:val="nil"/>
                    <w:tr2bl w:val="nil"/>
                  </w:tcBorders>
                  <w:vAlign w:val="center"/>
                </w:tcPr>
                <w:p w14:paraId="021436E5">
                  <w:pPr>
                    <w:widowControl/>
                    <w:adjustRightInd w:val="0"/>
                    <w:snapToGrid w:val="0"/>
                    <w:spacing w:line="240" w:lineRule="auto"/>
                    <w:ind w:firstLine="0" w:firstLineChars="0"/>
                    <w:jc w:val="center"/>
                    <w:rPr>
                      <w:sz w:val="21"/>
                      <w:szCs w:val="22"/>
                    </w:rPr>
                  </w:pPr>
                  <w:r>
                    <w:rPr>
                      <w:rFonts w:hint="eastAsia"/>
                      <w:sz w:val="21"/>
                      <w:szCs w:val="22"/>
                    </w:rPr>
                    <w:t>70</w:t>
                  </w:r>
                </w:p>
              </w:tc>
              <w:tc>
                <w:tcPr>
                  <w:tcW w:w="1240" w:type="pct"/>
                  <w:vMerge w:val="continue"/>
                  <w:tcBorders>
                    <w:tl2br w:val="nil"/>
                    <w:tr2bl w:val="nil"/>
                  </w:tcBorders>
                  <w:vAlign w:val="center"/>
                </w:tcPr>
                <w:p w14:paraId="780E1AF3">
                  <w:pPr>
                    <w:widowControl/>
                    <w:adjustRightInd w:val="0"/>
                    <w:snapToGrid w:val="0"/>
                    <w:spacing w:line="240" w:lineRule="auto"/>
                    <w:ind w:firstLine="0" w:firstLineChars="0"/>
                    <w:jc w:val="center"/>
                    <w:rPr>
                      <w:sz w:val="21"/>
                      <w:szCs w:val="22"/>
                    </w:rPr>
                  </w:pPr>
                </w:p>
              </w:tc>
            </w:tr>
            <w:tr w14:paraId="62814E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vMerge w:val="continue"/>
                  <w:tcBorders>
                    <w:tl2br w:val="nil"/>
                    <w:tr2bl w:val="nil"/>
                  </w:tcBorders>
                  <w:vAlign w:val="center"/>
                </w:tcPr>
                <w:p w14:paraId="43A677EE">
                  <w:pPr>
                    <w:widowControl/>
                    <w:adjustRightInd w:val="0"/>
                    <w:snapToGrid w:val="0"/>
                    <w:spacing w:line="240" w:lineRule="auto"/>
                    <w:ind w:firstLine="0" w:firstLineChars="0"/>
                    <w:jc w:val="center"/>
                    <w:rPr>
                      <w:sz w:val="21"/>
                      <w:szCs w:val="22"/>
                    </w:rPr>
                  </w:pPr>
                </w:p>
              </w:tc>
              <w:tc>
                <w:tcPr>
                  <w:tcW w:w="971" w:type="pct"/>
                  <w:tcBorders>
                    <w:tl2br w:val="nil"/>
                    <w:tr2bl w:val="nil"/>
                  </w:tcBorders>
                  <w:vAlign w:val="center"/>
                </w:tcPr>
                <w:p w14:paraId="17C6B7BD">
                  <w:pPr>
                    <w:widowControl/>
                    <w:adjustRightInd w:val="0"/>
                    <w:snapToGrid w:val="0"/>
                    <w:spacing w:line="240" w:lineRule="auto"/>
                    <w:ind w:firstLine="0" w:firstLineChars="0"/>
                    <w:jc w:val="center"/>
                    <w:rPr>
                      <w:sz w:val="21"/>
                      <w:szCs w:val="22"/>
                    </w:rPr>
                  </w:pPr>
                  <w:r>
                    <w:rPr>
                      <w:sz w:val="21"/>
                      <w:szCs w:val="22"/>
                    </w:rPr>
                    <w:t>1小时平均</w:t>
                  </w:r>
                </w:p>
              </w:tc>
              <w:tc>
                <w:tcPr>
                  <w:tcW w:w="576" w:type="pct"/>
                  <w:tcBorders>
                    <w:tl2br w:val="nil"/>
                    <w:tr2bl w:val="nil"/>
                  </w:tcBorders>
                  <w:vAlign w:val="center"/>
                </w:tcPr>
                <w:p w14:paraId="6A40C44E">
                  <w:pPr>
                    <w:widowControl/>
                    <w:adjustRightInd w:val="0"/>
                    <w:snapToGrid w:val="0"/>
                    <w:spacing w:line="240" w:lineRule="auto"/>
                    <w:ind w:firstLine="0" w:firstLineChars="0"/>
                    <w:jc w:val="center"/>
                    <w:rPr>
                      <w:sz w:val="21"/>
                      <w:szCs w:val="22"/>
                    </w:rPr>
                  </w:pPr>
                  <w:r>
                    <w:rPr>
                      <w:sz w:val="21"/>
                      <w:szCs w:val="22"/>
                    </w:rPr>
                    <w:t>μg/m³</w:t>
                  </w:r>
                </w:p>
              </w:tc>
              <w:tc>
                <w:tcPr>
                  <w:tcW w:w="809" w:type="pct"/>
                  <w:tcBorders>
                    <w:tl2br w:val="nil"/>
                    <w:tr2bl w:val="nil"/>
                  </w:tcBorders>
                  <w:vAlign w:val="center"/>
                </w:tcPr>
                <w:p w14:paraId="23451A17">
                  <w:pPr>
                    <w:widowControl/>
                    <w:adjustRightInd w:val="0"/>
                    <w:snapToGrid w:val="0"/>
                    <w:spacing w:line="240" w:lineRule="auto"/>
                    <w:ind w:firstLine="0" w:firstLineChars="0"/>
                    <w:jc w:val="center"/>
                    <w:rPr>
                      <w:sz w:val="21"/>
                      <w:szCs w:val="22"/>
                    </w:rPr>
                  </w:pPr>
                  <w:r>
                    <w:rPr>
                      <w:sz w:val="21"/>
                      <w:szCs w:val="22"/>
                    </w:rPr>
                    <w:t>250</w:t>
                  </w:r>
                </w:p>
              </w:tc>
              <w:tc>
                <w:tcPr>
                  <w:tcW w:w="809" w:type="pct"/>
                  <w:tcBorders>
                    <w:tl2br w:val="nil"/>
                    <w:tr2bl w:val="nil"/>
                  </w:tcBorders>
                  <w:vAlign w:val="center"/>
                </w:tcPr>
                <w:p w14:paraId="6001BC31">
                  <w:pPr>
                    <w:widowControl/>
                    <w:adjustRightInd w:val="0"/>
                    <w:snapToGrid w:val="0"/>
                    <w:spacing w:line="240" w:lineRule="auto"/>
                    <w:ind w:firstLine="0" w:firstLineChars="0"/>
                    <w:jc w:val="center"/>
                    <w:rPr>
                      <w:sz w:val="21"/>
                      <w:szCs w:val="22"/>
                    </w:rPr>
                  </w:pPr>
                  <w:r>
                    <w:rPr>
                      <w:rFonts w:hint="eastAsia"/>
                      <w:sz w:val="21"/>
                      <w:szCs w:val="22"/>
                    </w:rPr>
                    <w:t>250</w:t>
                  </w:r>
                </w:p>
              </w:tc>
              <w:tc>
                <w:tcPr>
                  <w:tcW w:w="1240" w:type="pct"/>
                  <w:vMerge w:val="continue"/>
                  <w:tcBorders>
                    <w:tl2br w:val="nil"/>
                    <w:tr2bl w:val="nil"/>
                  </w:tcBorders>
                  <w:vAlign w:val="center"/>
                </w:tcPr>
                <w:p w14:paraId="49E689EB">
                  <w:pPr>
                    <w:widowControl/>
                    <w:adjustRightInd w:val="0"/>
                    <w:snapToGrid w:val="0"/>
                    <w:spacing w:line="240" w:lineRule="auto"/>
                    <w:ind w:firstLine="0" w:firstLineChars="0"/>
                    <w:jc w:val="center"/>
                    <w:rPr>
                      <w:sz w:val="21"/>
                      <w:szCs w:val="22"/>
                    </w:rPr>
                  </w:pPr>
                </w:p>
              </w:tc>
            </w:tr>
            <w:tr w14:paraId="25AA6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tcBorders>
                    <w:tl2br w:val="nil"/>
                    <w:tr2bl w:val="nil"/>
                  </w:tcBorders>
                  <w:vAlign w:val="center"/>
                </w:tcPr>
                <w:p w14:paraId="75A1CB4D">
                  <w:pPr>
                    <w:adjustRightInd w:val="0"/>
                    <w:snapToGrid w:val="0"/>
                    <w:spacing w:line="240" w:lineRule="auto"/>
                    <w:ind w:firstLine="0" w:firstLineChars="0"/>
                    <w:jc w:val="center"/>
                    <w:rPr>
                      <w:sz w:val="21"/>
                      <w:szCs w:val="21"/>
                    </w:rPr>
                  </w:pPr>
                  <w:r>
                    <w:rPr>
                      <w:sz w:val="21"/>
                      <w:szCs w:val="21"/>
                    </w:rPr>
                    <w:t>TVOC</w:t>
                  </w:r>
                </w:p>
              </w:tc>
              <w:tc>
                <w:tcPr>
                  <w:tcW w:w="971" w:type="pct"/>
                  <w:tcBorders>
                    <w:tl2br w:val="nil"/>
                    <w:tr2bl w:val="nil"/>
                  </w:tcBorders>
                  <w:vAlign w:val="center"/>
                </w:tcPr>
                <w:p w14:paraId="5B159891">
                  <w:pPr>
                    <w:adjustRightInd w:val="0"/>
                    <w:snapToGrid w:val="0"/>
                    <w:spacing w:line="240" w:lineRule="auto"/>
                    <w:ind w:firstLine="0" w:firstLineChars="0"/>
                    <w:jc w:val="center"/>
                    <w:rPr>
                      <w:sz w:val="21"/>
                      <w:szCs w:val="21"/>
                    </w:rPr>
                  </w:pPr>
                  <w:r>
                    <w:rPr>
                      <w:sz w:val="21"/>
                      <w:szCs w:val="21"/>
                    </w:rPr>
                    <w:t>8h平均</w:t>
                  </w:r>
                </w:p>
              </w:tc>
              <w:tc>
                <w:tcPr>
                  <w:tcW w:w="576" w:type="pct"/>
                  <w:tcBorders>
                    <w:tl2br w:val="nil"/>
                    <w:tr2bl w:val="nil"/>
                  </w:tcBorders>
                  <w:vAlign w:val="center"/>
                </w:tcPr>
                <w:p w14:paraId="78349847">
                  <w:pPr>
                    <w:adjustRightInd w:val="0"/>
                    <w:snapToGrid w:val="0"/>
                    <w:spacing w:line="240" w:lineRule="auto"/>
                    <w:ind w:firstLine="0" w:firstLineChars="0"/>
                    <w:jc w:val="center"/>
                    <w:rPr>
                      <w:sz w:val="21"/>
                      <w:szCs w:val="21"/>
                    </w:rPr>
                  </w:pPr>
                  <w:r>
                    <w:rPr>
                      <w:sz w:val="21"/>
                      <w:szCs w:val="21"/>
                    </w:rPr>
                    <w:t>μg/m³</w:t>
                  </w:r>
                </w:p>
              </w:tc>
              <w:tc>
                <w:tcPr>
                  <w:tcW w:w="809" w:type="pct"/>
                  <w:tcBorders>
                    <w:tl2br w:val="nil"/>
                    <w:tr2bl w:val="nil"/>
                  </w:tcBorders>
                  <w:vAlign w:val="center"/>
                </w:tcPr>
                <w:p w14:paraId="684148BC">
                  <w:pPr>
                    <w:adjustRightInd w:val="0"/>
                    <w:snapToGrid w:val="0"/>
                    <w:spacing w:line="240" w:lineRule="auto"/>
                    <w:ind w:firstLine="0" w:firstLineChars="0"/>
                    <w:jc w:val="center"/>
                    <w:rPr>
                      <w:sz w:val="21"/>
                      <w:szCs w:val="21"/>
                    </w:rPr>
                  </w:pPr>
                  <w:r>
                    <w:rPr>
                      <w:sz w:val="21"/>
                      <w:szCs w:val="21"/>
                    </w:rPr>
                    <w:t>600</w:t>
                  </w:r>
                </w:p>
              </w:tc>
              <w:tc>
                <w:tcPr>
                  <w:tcW w:w="809" w:type="pct"/>
                  <w:tcBorders>
                    <w:tl2br w:val="nil"/>
                    <w:tr2bl w:val="nil"/>
                  </w:tcBorders>
                  <w:shd w:val="clear" w:color="auto" w:fill="auto"/>
                  <w:vAlign w:val="center"/>
                </w:tcPr>
                <w:p w14:paraId="227B3110">
                  <w:pPr>
                    <w:adjustRightInd w:val="0"/>
                    <w:snapToGrid w:val="0"/>
                    <w:spacing w:line="240" w:lineRule="auto"/>
                    <w:ind w:firstLine="0" w:firstLineChars="0"/>
                    <w:jc w:val="center"/>
                    <w:rPr>
                      <w:sz w:val="21"/>
                      <w:szCs w:val="21"/>
                    </w:rPr>
                  </w:pPr>
                  <w:r>
                    <w:rPr>
                      <w:sz w:val="21"/>
                      <w:szCs w:val="21"/>
                    </w:rPr>
                    <w:t>600</w:t>
                  </w:r>
                </w:p>
              </w:tc>
              <w:tc>
                <w:tcPr>
                  <w:tcW w:w="1240" w:type="pct"/>
                  <w:tcBorders>
                    <w:tl2br w:val="nil"/>
                    <w:tr2bl w:val="nil"/>
                  </w:tcBorders>
                  <w:vAlign w:val="center"/>
                </w:tcPr>
                <w:p w14:paraId="3F4B1FC4">
                  <w:pPr>
                    <w:widowControl/>
                    <w:adjustRightInd w:val="0"/>
                    <w:snapToGrid w:val="0"/>
                    <w:spacing w:line="240" w:lineRule="auto"/>
                    <w:ind w:firstLine="0" w:firstLineChars="0"/>
                    <w:jc w:val="center"/>
                    <w:rPr>
                      <w:sz w:val="21"/>
                      <w:szCs w:val="22"/>
                    </w:rPr>
                  </w:pPr>
                  <w:r>
                    <w:rPr>
                      <w:sz w:val="21"/>
                      <w:szCs w:val="22"/>
                    </w:rPr>
                    <w:t>《环境影响评价技术导则大气环境》（HJ2.2-2018）附录D浓度限值</w:t>
                  </w:r>
                </w:p>
              </w:tc>
            </w:tr>
            <w:tr w14:paraId="50E72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95" w:type="pct"/>
                  <w:tcBorders>
                    <w:tl2br w:val="nil"/>
                    <w:tr2bl w:val="nil"/>
                  </w:tcBorders>
                  <w:vAlign w:val="center"/>
                </w:tcPr>
                <w:p w14:paraId="379AC5D7">
                  <w:pPr>
                    <w:adjustRightInd w:val="0"/>
                    <w:snapToGrid w:val="0"/>
                    <w:spacing w:line="240" w:lineRule="auto"/>
                    <w:ind w:firstLine="0" w:firstLineChars="0"/>
                    <w:jc w:val="center"/>
                    <w:rPr>
                      <w:sz w:val="21"/>
                      <w:szCs w:val="21"/>
                    </w:rPr>
                  </w:pPr>
                  <w:r>
                    <w:rPr>
                      <w:sz w:val="21"/>
                      <w:szCs w:val="21"/>
                    </w:rPr>
                    <w:t>非甲烷总烃</w:t>
                  </w:r>
                </w:p>
              </w:tc>
              <w:tc>
                <w:tcPr>
                  <w:tcW w:w="971" w:type="pct"/>
                  <w:tcBorders>
                    <w:tl2br w:val="nil"/>
                    <w:tr2bl w:val="nil"/>
                  </w:tcBorders>
                  <w:shd w:val="clear" w:color="auto" w:fill="auto"/>
                  <w:vAlign w:val="center"/>
                </w:tcPr>
                <w:p w14:paraId="5ABF6897">
                  <w:pPr>
                    <w:adjustRightInd w:val="0"/>
                    <w:snapToGrid w:val="0"/>
                    <w:spacing w:line="240" w:lineRule="auto"/>
                    <w:ind w:firstLine="0" w:firstLineChars="0"/>
                    <w:jc w:val="center"/>
                    <w:rPr>
                      <w:szCs w:val="21"/>
                    </w:rPr>
                  </w:pPr>
                  <w:r>
                    <w:rPr>
                      <w:sz w:val="21"/>
                      <w:szCs w:val="21"/>
                    </w:rPr>
                    <w:t>一次最高允许浓度</w:t>
                  </w:r>
                </w:p>
              </w:tc>
              <w:tc>
                <w:tcPr>
                  <w:tcW w:w="576" w:type="pct"/>
                  <w:tcBorders>
                    <w:tl2br w:val="nil"/>
                    <w:tr2bl w:val="nil"/>
                  </w:tcBorders>
                  <w:shd w:val="clear" w:color="auto" w:fill="auto"/>
                  <w:vAlign w:val="center"/>
                </w:tcPr>
                <w:p w14:paraId="4A734F9D">
                  <w:pPr>
                    <w:adjustRightInd w:val="0"/>
                    <w:snapToGrid w:val="0"/>
                    <w:spacing w:line="240" w:lineRule="auto"/>
                    <w:ind w:firstLine="0" w:firstLineChars="0"/>
                    <w:jc w:val="center"/>
                    <w:rPr>
                      <w:sz w:val="21"/>
                      <w:szCs w:val="21"/>
                    </w:rPr>
                  </w:pPr>
                  <w:r>
                    <w:rPr>
                      <w:sz w:val="21"/>
                      <w:szCs w:val="21"/>
                    </w:rPr>
                    <w:t>mg/m³</w:t>
                  </w:r>
                </w:p>
              </w:tc>
              <w:tc>
                <w:tcPr>
                  <w:tcW w:w="809" w:type="pct"/>
                  <w:tcBorders>
                    <w:tl2br w:val="nil"/>
                    <w:tr2bl w:val="nil"/>
                  </w:tcBorders>
                  <w:shd w:val="clear" w:color="auto" w:fill="auto"/>
                  <w:vAlign w:val="center"/>
                </w:tcPr>
                <w:p w14:paraId="3E37FB1F">
                  <w:pPr>
                    <w:adjustRightInd w:val="0"/>
                    <w:snapToGrid w:val="0"/>
                    <w:spacing w:line="240" w:lineRule="auto"/>
                    <w:ind w:firstLine="0" w:firstLineChars="0"/>
                    <w:jc w:val="center"/>
                    <w:rPr>
                      <w:sz w:val="21"/>
                      <w:szCs w:val="21"/>
                    </w:rPr>
                  </w:pPr>
                  <w:r>
                    <w:rPr>
                      <w:sz w:val="21"/>
                      <w:szCs w:val="21"/>
                    </w:rPr>
                    <w:t>2.0</w:t>
                  </w:r>
                </w:p>
              </w:tc>
              <w:tc>
                <w:tcPr>
                  <w:tcW w:w="809" w:type="pct"/>
                  <w:tcBorders>
                    <w:tl2br w:val="nil"/>
                    <w:tr2bl w:val="nil"/>
                  </w:tcBorders>
                  <w:shd w:val="clear" w:color="auto" w:fill="auto"/>
                  <w:vAlign w:val="center"/>
                </w:tcPr>
                <w:p w14:paraId="7718531E">
                  <w:pPr>
                    <w:adjustRightInd w:val="0"/>
                    <w:snapToGrid w:val="0"/>
                    <w:spacing w:line="240" w:lineRule="auto"/>
                    <w:ind w:firstLine="0" w:firstLineChars="0"/>
                    <w:jc w:val="center"/>
                    <w:rPr>
                      <w:sz w:val="21"/>
                      <w:szCs w:val="21"/>
                    </w:rPr>
                  </w:pPr>
                  <w:r>
                    <w:rPr>
                      <w:sz w:val="21"/>
                      <w:szCs w:val="21"/>
                    </w:rPr>
                    <w:t>2.0</w:t>
                  </w:r>
                </w:p>
              </w:tc>
              <w:tc>
                <w:tcPr>
                  <w:tcW w:w="1240" w:type="pct"/>
                  <w:tcBorders>
                    <w:tl2br w:val="nil"/>
                    <w:tr2bl w:val="nil"/>
                  </w:tcBorders>
                  <w:vAlign w:val="center"/>
                </w:tcPr>
                <w:p w14:paraId="687C6595">
                  <w:pPr>
                    <w:widowControl/>
                    <w:adjustRightInd w:val="0"/>
                    <w:snapToGrid w:val="0"/>
                    <w:spacing w:line="240" w:lineRule="auto"/>
                    <w:ind w:firstLine="0" w:firstLineChars="0"/>
                    <w:jc w:val="center"/>
                    <w:rPr>
                      <w:sz w:val="21"/>
                      <w:szCs w:val="22"/>
                    </w:rPr>
                  </w:pPr>
                  <w:r>
                    <w:rPr>
                      <w:sz w:val="21"/>
                      <w:szCs w:val="22"/>
                    </w:rPr>
                    <w:t>参照《大气污染物综合排放标准详解》</w:t>
                  </w:r>
                </w:p>
              </w:tc>
            </w:tr>
          </w:tbl>
          <w:p w14:paraId="6E042E58">
            <w:pPr>
              <w:adjustRightInd w:val="0"/>
              <w:snapToGrid w:val="0"/>
              <w:ind w:firstLine="0" w:firstLineChars="0"/>
              <w:outlineLvl w:val="2"/>
              <w:rPr>
                <w:b/>
              </w:rPr>
            </w:pPr>
            <w:r>
              <w:rPr>
                <w:b/>
                <w:bCs/>
              </w:rPr>
              <w:t>3.1.</w:t>
            </w:r>
            <w:r>
              <w:rPr>
                <w:rFonts w:hint="eastAsia"/>
                <w:b/>
                <w:bCs/>
              </w:rPr>
              <w:t>2</w:t>
            </w:r>
            <w:r>
              <w:rPr>
                <w:rFonts w:hint="eastAsia"/>
                <w:b/>
              </w:rPr>
              <w:t>海域水环境</w:t>
            </w:r>
          </w:p>
          <w:p w14:paraId="352EDED3">
            <w:pPr>
              <w:ind w:firstLine="480"/>
              <w:rPr>
                <w:szCs w:val="22"/>
              </w:rPr>
            </w:pPr>
            <w:r>
              <w:rPr>
                <w:rFonts w:hint="eastAsia"/>
                <w:szCs w:val="22"/>
              </w:rPr>
              <w:t>根据《福建省近岸海域环境功能区划（</w:t>
            </w:r>
            <w:r>
              <w:rPr>
                <w:szCs w:val="22"/>
              </w:rPr>
              <w:t>2011~2020</w:t>
            </w:r>
            <w:r>
              <w:rPr>
                <w:rFonts w:hint="eastAsia"/>
                <w:szCs w:val="22"/>
              </w:rPr>
              <w:t>）》，兴化湾主体海域为二类区，海水水质执行《海水水质标准》（</w:t>
            </w:r>
            <w:r>
              <w:rPr>
                <w:szCs w:val="22"/>
              </w:rPr>
              <w:t>GB3097-1997</w:t>
            </w:r>
            <w:r>
              <w:rPr>
                <w:rFonts w:hint="eastAsia"/>
                <w:szCs w:val="22"/>
              </w:rPr>
              <w:t>）中的第二类标准；江阴岛近岸海域为四类区，海水水质执行第三类海水水质标准，见表3.1-2。</w:t>
            </w:r>
          </w:p>
          <w:p w14:paraId="3CFB2304">
            <w:pPr>
              <w:spacing w:line="240" w:lineRule="auto"/>
              <w:ind w:firstLine="0" w:firstLineChars="0"/>
              <w:jc w:val="center"/>
              <w:rPr>
                <w:b/>
                <w:szCs w:val="20"/>
              </w:rPr>
            </w:pPr>
            <w:r>
              <w:rPr>
                <w:rFonts w:hint="eastAsia"/>
                <w:b/>
                <w:szCs w:val="20"/>
              </w:rPr>
              <w:t>表3.1-2海水水质标准（摘录）单位</w:t>
            </w:r>
            <w:r>
              <w:rPr>
                <w:b/>
                <w:szCs w:val="20"/>
              </w:rPr>
              <w:t>：mg/L</w:t>
            </w:r>
          </w:p>
          <w:tbl>
            <w:tblPr>
              <w:tblStyle w:val="30"/>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1724"/>
              <w:gridCol w:w="1610"/>
              <w:gridCol w:w="1610"/>
              <w:gridCol w:w="1610"/>
            </w:tblGrid>
            <w:tr w14:paraId="3F6BF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49" w:type="pct"/>
                </w:tcPr>
                <w:p w14:paraId="300CC15E">
                  <w:pPr>
                    <w:adjustRightInd w:val="0"/>
                    <w:snapToGrid w:val="0"/>
                    <w:spacing w:line="240" w:lineRule="auto"/>
                    <w:ind w:firstLine="0" w:firstLineChars="0"/>
                    <w:jc w:val="center"/>
                    <w:rPr>
                      <w:sz w:val="21"/>
                      <w:szCs w:val="21"/>
                    </w:rPr>
                  </w:pPr>
                  <w:r>
                    <w:rPr>
                      <w:rFonts w:hint="eastAsia"/>
                      <w:sz w:val="21"/>
                      <w:szCs w:val="21"/>
                    </w:rPr>
                    <w:t>标准</w:t>
                  </w:r>
                </w:p>
                <w:p w14:paraId="29B5A1AF">
                  <w:pPr>
                    <w:adjustRightInd w:val="0"/>
                    <w:snapToGrid w:val="0"/>
                    <w:spacing w:line="240" w:lineRule="auto"/>
                    <w:ind w:firstLine="0" w:firstLineChars="0"/>
                    <w:jc w:val="center"/>
                    <w:rPr>
                      <w:sz w:val="21"/>
                      <w:szCs w:val="21"/>
                    </w:rPr>
                  </w:pPr>
                  <w:r>
                    <w:rPr>
                      <w:rFonts w:hint="eastAsia"/>
                      <w:sz w:val="21"/>
                      <w:szCs w:val="21"/>
                    </w:rPr>
                    <w:t>项目</w:t>
                  </w:r>
                </w:p>
              </w:tc>
              <w:tc>
                <w:tcPr>
                  <w:tcW w:w="1013" w:type="pct"/>
                  <w:vAlign w:val="center"/>
                </w:tcPr>
                <w:p w14:paraId="1EE89D6A">
                  <w:pPr>
                    <w:adjustRightInd w:val="0"/>
                    <w:snapToGrid w:val="0"/>
                    <w:spacing w:line="240" w:lineRule="auto"/>
                    <w:ind w:firstLine="0" w:firstLineChars="0"/>
                    <w:jc w:val="center"/>
                    <w:rPr>
                      <w:sz w:val="21"/>
                      <w:szCs w:val="21"/>
                    </w:rPr>
                  </w:pPr>
                  <w:r>
                    <w:rPr>
                      <w:rFonts w:hint="eastAsia"/>
                      <w:sz w:val="21"/>
                      <w:szCs w:val="21"/>
                    </w:rPr>
                    <w:t>第一类</w:t>
                  </w:r>
                </w:p>
              </w:tc>
              <w:tc>
                <w:tcPr>
                  <w:tcW w:w="946" w:type="pct"/>
                  <w:vAlign w:val="center"/>
                </w:tcPr>
                <w:p w14:paraId="10977300">
                  <w:pPr>
                    <w:adjustRightInd w:val="0"/>
                    <w:snapToGrid w:val="0"/>
                    <w:spacing w:line="240" w:lineRule="auto"/>
                    <w:ind w:firstLine="0" w:firstLineChars="0"/>
                    <w:jc w:val="center"/>
                    <w:rPr>
                      <w:sz w:val="21"/>
                      <w:szCs w:val="21"/>
                    </w:rPr>
                  </w:pPr>
                  <w:r>
                    <w:rPr>
                      <w:rFonts w:hint="eastAsia"/>
                      <w:sz w:val="21"/>
                      <w:szCs w:val="21"/>
                    </w:rPr>
                    <w:t>第二类</w:t>
                  </w:r>
                </w:p>
              </w:tc>
              <w:tc>
                <w:tcPr>
                  <w:tcW w:w="946" w:type="pct"/>
                  <w:vAlign w:val="center"/>
                </w:tcPr>
                <w:p w14:paraId="540F2EDF">
                  <w:pPr>
                    <w:adjustRightInd w:val="0"/>
                    <w:snapToGrid w:val="0"/>
                    <w:spacing w:line="240" w:lineRule="auto"/>
                    <w:ind w:firstLine="0" w:firstLineChars="0"/>
                    <w:jc w:val="center"/>
                    <w:rPr>
                      <w:sz w:val="21"/>
                      <w:szCs w:val="21"/>
                    </w:rPr>
                  </w:pPr>
                  <w:r>
                    <w:rPr>
                      <w:rFonts w:hint="eastAsia"/>
                      <w:sz w:val="21"/>
                      <w:szCs w:val="21"/>
                    </w:rPr>
                    <w:t>第三类</w:t>
                  </w:r>
                </w:p>
              </w:tc>
              <w:tc>
                <w:tcPr>
                  <w:tcW w:w="946" w:type="pct"/>
                  <w:vAlign w:val="center"/>
                </w:tcPr>
                <w:p w14:paraId="32EADE1E">
                  <w:pPr>
                    <w:adjustRightInd w:val="0"/>
                    <w:snapToGrid w:val="0"/>
                    <w:spacing w:line="240" w:lineRule="auto"/>
                    <w:ind w:firstLine="0" w:firstLineChars="0"/>
                    <w:jc w:val="center"/>
                    <w:rPr>
                      <w:sz w:val="21"/>
                      <w:szCs w:val="21"/>
                    </w:rPr>
                  </w:pPr>
                  <w:r>
                    <w:rPr>
                      <w:rFonts w:hint="eastAsia"/>
                      <w:sz w:val="21"/>
                      <w:szCs w:val="21"/>
                    </w:rPr>
                    <w:t>第四类</w:t>
                  </w:r>
                </w:p>
              </w:tc>
            </w:tr>
            <w:tr w14:paraId="04C5E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9" w:type="pct"/>
                  <w:shd w:val="clear" w:color="auto" w:fill="auto"/>
                </w:tcPr>
                <w:p w14:paraId="0873B95C">
                  <w:pPr>
                    <w:adjustRightInd w:val="0"/>
                    <w:snapToGrid w:val="0"/>
                    <w:spacing w:line="240" w:lineRule="auto"/>
                    <w:ind w:firstLine="0" w:firstLineChars="0"/>
                    <w:jc w:val="center"/>
                    <w:rPr>
                      <w:sz w:val="21"/>
                      <w:szCs w:val="21"/>
                    </w:rPr>
                  </w:pPr>
                  <w:r>
                    <w:rPr>
                      <w:sz w:val="21"/>
                      <w:szCs w:val="21"/>
                    </w:rPr>
                    <w:t>pH</w:t>
                  </w:r>
                </w:p>
              </w:tc>
              <w:tc>
                <w:tcPr>
                  <w:tcW w:w="1959" w:type="pct"/>
                  <w:gridSpan w:val="2"/>
                  <w:shd w:val="clear" w:color="auto" w:fill="BFBFBF"/>
                  <w:vAlign w:val="center"/>
                </w:tcPr>
                <w:p w14:paraId="4FBCC21A">
                  <w:pPr>
                    <w:adjustRightInd w:val="0"/>
                    <w:snapToGrid w:val="0"/>
                    <w:spacing w:line="240" w:lineRule="auto"/>
                    <w:ind w:firstLine="0" w:firstLineChars="0"/>
                    <w:jc w:val="center"/>
                    <w:rPr>
                      <w:sz w:val="21"/>
                      <w:szCs w:val="21"/>
                    </w:rPr>
                  </w:pPr>
                  <w:r>
                    <w:rPr>
                      <w:sz w:val="21"/>
                      <w:szCs w:val="21"/>
                    </w:rPr>
                    <w:t>7.8-8.5</w:t>
                  </w:r>
                </w:p>
              </w:tc>
              <w:tc>
                <w:tcPr>
                  <w:tcW w:w="1891" w:type="pct"/>
                  <w:gridSpan w:val="2"/>
                  <w:shd w:val="clear" w:color="auto" w:fill="BFBFBF"/>
                  <w:vAlign w:val="center"/>
                </w:tcPr>
                <w:p w14:paraId="1BE7F457">
                  <w:pPr>
                    <w:adjustRightInd w:val="0"/>
                    <w:snapToGrid w:val="0"/>
                    <w:spacing w:line="240" w:lineRule="auto"/>
                    <w:ind w:firstLine="0" w:firstLineChars="0"/>
                    <w:jc w:val="center"/>
                    <w:rPr>
                      <w:sz w:val="21"/>
                      <w:szCs w:val="21"/>
                    </w:rPr>
                  </w:pPr>
                  <w:r>
                    <w:rPr>
                      <w:sz w:val="21"/>
                      <w:szCs w:val="21"/>
                    </w:rPr>
                    <w:t>6.8-8.8</w:t>
                  </w:r>
                </w:p>
              </w:tc>
            </w:tr>
            <w:tr w14:paraId="6E573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200864DE">
                  <w:pPr>
                    <w:adjustRightInd w:val="0"/>
                    <w:snapToGrid w:val="0"/>
                    <w:spacing w:line="240" w:lineRule="auto"/>
                    <w:ind w:firstLine="0" w:firstLineChars="0"/>
                    <w:jc w:val="center"/>
                    <w:rPr>
                      <w:sz w:val="21"/>
                      <w:szCs w:val="21"/>
                    </w:rPr>
                  </w:pPr>
                  <w:r>
                    <w:rPr>
                      <w:sz w:val="21"/>
                      <w:szCs w:val="21"/>
                    </w:rPr>
                    <w:t>DO</w:t>
                  </w:r>
                  <w:r>
                    <w:rPr>
                      <w:rFonts w:hint="eastAsia"/>
                      <w:sz w:val="21"/>
                      <w:szCs w:val="21"/>
                    </w:rPr>
                    <w:t>＞</w:t>
                  </w:r>
                </w:p>
              </w:tc>
              <w:tc>
                <w:tcPr>
                  <w:tcW w:w="1013" w:type="pct"/>
                  <w:shd w:val="clear" w:color="auto" w:fill="auto"/>
                  <w:vAlign w:val="center"/>
                </w:tcPr>
                <w:p w14:paraId="6C47142F">
                  <w:pPr>
                    <w:adjustRightInd w:val="0"/>
                    <w:snapToGrid w:val="0"/>
                    <w:spacing w:line="240" w:lineRule="auto"/>
                    <w:ind w:firstLine="0" w:firstLineChars="0"/>
                    <w:jc w:val="center"/>
                    <w:rPr>
                      <w:sz w:val="21"/>
                      <w:szCs w:val="21"/>
                    </w:rPr>
                  </w:pPr>
                  <w:r>
                    <w:rPr>
                      <w:sz w:val="21"/>
                      <w:szCs w:val="21"/>
                    </w:rPr>
                    <w:t>6</w:t>
                  </w:r>
                </w:p>
              </w:tc>
              <w:tc>
                <w:tcPr>
                  <w:tcW w:w="946" w:type="pct"/>
                  <w:shd w:val="clear" w:color="auto" w:fill="BFBFBF"/>
                  <w:vAlign w:val="center"/>
                </w:tcPr>
                <w:p w14:paraId="31E3FDE6">
                  <w:pPr>
                    <w:adjustRightInd w:val="0"/>
                    <w:snapToGrid w:val="0"/>
                    <w:spacing w:line="240" w:lineRule="auto"/>
                    <w:ind w:firstLine="0" w:firstLineChars="0"/>
                    <w:jc w:val="center"/>
                    <w:rPr>
                      <w:sz w:val="21"/>
                      <w:szCs w:val="21"/>
                    </w:rPr>
                  </w:pPr>
                  <w:r>
                    <w:rPr>
                      <w:sz w:val="21"/>
                      <w:szCs w:val="21"/>
                    </w:rPr>
                    <w:t>5</w:t>
                  </w:r>
                </w:p>
              </w:tc>
              <w:tc>
                <w:tcPr>
                  <w:tcW w:w="946" w:type="pct"/>
                  <w:shd w:val="clear" w:color="auto" w:fill="BFBFBF"/>
                  <w:vAlign w:val="center"/>
                </w:tcPr>
                <w:p w14:paraId="47275395">
                  <w:pPr>
                    <w:adjustRightInd w:val="0"/>
                    <w:snapToGrid w:val="0"/>
                    <w:spacing w:line="240" w:lineRule="auto"/>
                    <w:ind w:firstLine="0" w:firstLineChars="0"/>
                    <w:jc w:val="center"/>
                    <w:rPr>
                      <w:sz w:val="21"/>
                      <w:szCs w:val="21"/>
                    </w:rPr>
                  </w:pPr>
                  <w:r>
                    <w:rPr>
                      <w:sz w:val="21"/>
                      <w:szCs w:val="21"/>
                    </w:rPr>
                    <w:t>4</w:t>
                  </w:r>
                </w:p>
              </w:tc>
              <w:tc>
                <w:tcPr>
                  <w:tcW w:w="946" w:type="pct"/>
                  <w:vAlign w:val="center"/>
                </w:tcPr>
                <w:p w14:paraId="315FEEFC">
                  <w:pPr>
                    <w:adjustRightInd w:val="0"/>
                    <w:snapToGrid w:val="0"/>
                    <w:spacing w:line="240" w:lineRule="auto"/>
                    <w:ind w:firstLine="0" w:firstLineChars="0"/>
                    <w:jc w:val="center"/>
                    <w:rPr>
                      <w:sz w:val="21"/>
                      <w:szCs w:val="21"/>
                    </w:rPr>
                  </w:pPr>
                  <w:r>
                    <w:rPr>
                      <w:sz w:val="21"/>
                      <w:szCs w:val="21"/>
                    </w:rPr>
                    <w:t>3</w:t>
                  </w:r>
                </w:p>
              </w:tc>
            </w:tr>
            <w:tr w14:paraId="78805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7DC35AE0">
                  <w:pPr>
                    <w:adjustRightInd w:val="0"/>
                    <w:snapToGrid w:val="0"/>
                    <w:spacing w:line="240" w:lineRule="auto"/>
                    <w:ind w:firstLine="0" w:firstLineChars="0"/>
                    <w:jc w:val="center"/>
                    <w:rPr>
                      <w:sz w:val="21"/>
                      <w:szCs w:val="21"/>
                    </w:rPr>
                  </w:pPr>
                  <w:r>
                    <w:rPr>
                      <w:sz w:val="21"/>
                      <w:szCs w:val="21"/>
                    </w:rPr>
                    <w:t>COD≤</w:t>
                  </w:r>
                </w:p>
              </w:tc>
              <w:tc>
                <w:tcPr>
                  <w:tcW w:w="1013" w:type="pct"/>
                  <w:shd w:val="clear" w:color="auto" w:fill="auto"/>
                  <w:vAlign w:val="center"/>
                </w:tcPr>
                <w:p w14:paraId="0391A52B">
                  <w:pPr>
                    <w:adjustRightInd w:val="0"/>
                    <w:snapToGrid w:val="0"/>
                    <w:spacing w:line="240" w:lineRule="auto"/>
                    <w:ind w:firstLine="0" w:firstLineChars="0"/>
                    <w:jc w:val="center"/>
                    <w:rPr>
                      <w:sz w:val="21"/>
                      <w:szCs w:val="21"/>
                    </w:rPr>
                  </w:pPr>
                  <w:r>
                    <w:rPr>
                      <w:sz w:val="21"/>
                      <w:szCs w:val="21"/>
                    </w:rPr>
                    <w:t>2</w:t>
                  </w:r>
                </w:p>
              </w:tc>
              <w:tc>
                <w:tcPr>
                  <w:tcW w:w="946" w:type="pct"/>
                  <w:shd w:val="clear" w:color="auto" w:fill="BFBFBF"/>
                  <w:vAlign w:val="center"/>
                </w:tcPr>
                <w:p w14:paraId="49C18DE2">
                  <w:pPr>
                    <w:adjustRightInd w:val="0"/>
                    <w:snapToGrid w:val="0"/>
                    <w:spacing w:line="240" w:lineRule="auto"/>
                    <w:ind w:firstLine="0" w:firstLineChars="0"/>
                    <w:jc w:val="center"/>
                    <w:rPr>
                      <w:sz w:val="21"/>
                      <w:szCs w:val="21"/>
                    </w:rPr>
                  </w:pPr>
                  <w:r>
                    <w:rPr>
                      <w:sz w:val="21"/>
                      <w:szCs w:val="21"/>
                    </w:rPr>
                    <w:t>3</w:t>
                  </w:r>
                </w:p>
              </w:tc>
              <w:tc>
                <w:tcPr>
                  <w:tcW w:w="946" w:type="pct"/>
                  <w:shd w:val="clear" w:color="auto" w:fill="BFBFBF"/>
                  <w:vAlign w:val="center"/>
                </w:tcPr>
                <w:p w14:paraId="52F23FBD">
                  <w:pPr>
                    <w:adjustRightInd w:val="0"/>
                    <w:snapToGrid w:val="0"/>
                    <w:spacing w:line="240" w:lineRule="auto"/>
                    <w:ind w:firstLine="0" w:firstLineChars="0"/>
                    <w:jc w:val="center"/>
                    <w:rPr>
                      <w:sz w:val="21"/>
                      <w:szCs w:val="21"/>
                    </w:rPr>
                  </w:pPr>
                  <w:r>
                    <w:rPr>
                      <w:sz w:val="21"/>
                      <w:szCs w:val="21"/>
                    </w:rPr>
                    <w:t>4</w:t>
                  </w:r>
                </w:p>
              </w:tc>
              <w:tc>
                <w:tcPr>
                  <w:tcW w:w="946" w:type="pct"/>
                  <w:vAlign w:val="center"/>
                </w:tcPr>
                <w:p w14:paraId="222F3EC0">
                  <w:pPr>
                    <w:adjustRightInd w:val="0"/>
                    <w:snapToGrid w:val="0"/>
                    <w:spacing w:line="240" w:lineRule="auto"/>
                    <w:ind w:firstLine="0" w:firstLineChars="0"/>
                    <w:jc w:val="center"/>
                    <w:rPr>
                      <w:sz w:val="21"/>
                      <w:szCs w:val="21"/>
                    </w:rPr>
                  </w:pPr>
                  <w:r>
                    <w:rPr>
                      <w:sz w:val="21"/>
                      <w:szCs w:val="21"/>
                    </w:rPr>
                    <w:t>5</w:t>
                  </w:r>
                </w:p>
              </w:tc>
            </w:tr>
            <w:tr w14:paraId="58013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51EEF381">
                  <w:pPr>
                    <w:adjustRightInd w:val="0"/>
                    <w:snapToGrid w:val="0"/>
                    <w:spacing w:line="240" w:lineRule="auto"/>
                    <w:ind w:firstLine="0" w:firstLineChars="0"/>
                    <w:jc w:val="center"/>
                    <w:rPr>
                      <w:sz w:val="21"/>
                      <w:szCs w:val="21"/>
                    </w:rPr>
                  </w:pPr>
                  <w:r>
                    <w:rPr>
                      <w:sz w:val="21"/>
                      <w:szCs w:val="21"/>
                    </w:rPr>
                    <w:t>BOD</w:t>
                  </w:r>
                  <w:r>
                    <w:rPr>
                      <w:sz w:val="21"/>
                      <w:szCs w:val="21"/>
                      <w:vertAlign w:val="subscript"/>
                    </w:rPr>
                    <w:t>5</w:t>
                  </w:r>
                  <w:r>
                    <w:rPr>
                      <w:sz w:val="21"/>
                      <w:szCs w:val="21"/>
                    </w:rPr>
                    <w:t>≤</w:t>
                  </w:r>
                </w:p>
              </w:tc>
              <w:tc>
                <w:tcPr>
                  <w:tcW w:w="1013" w:type="pct"/>
                  <w:shd w:val="clear" w:color="auto" w:fill="auto"/>
                  <w:vAlign w:val="center"/>
                </w:tcPr>
                <w:p w14:paraId="3D6D66E6">
                  <w:pPr>
                    <w:adjustRightInd w:val="0"/>
                    <w:snapToGrid w:val="0"/>
                    <w:spacing w:line="240" w:lineRule="auto"/>
                    <w:ind w:firstLine="0" w:firstLineChars="0"/>
                    <w:jc w:val="center"/>
                    <w:rPr>
                      <w:sz w:val="21"/>
                      <w:szCs w:val="21"/>
                    </w:rPr>
                  </w:pPr>
                  <w:r>
                    <w:rPr>
                      <w:sz w:val="21"/>
                      <w:szCs w:val="21"/>
                    </w:rPr>
                    <w:t>1</w:t>
                  </w:r>
                </w:p>
              </w:tc>
              <w:tc>
                <w:tcPr>
                  <w:tcW w:w="946" w:type="pct"/>
                  <w:shd w:val="clear" w:color="auto" w:fill="BFBFBF"/>
                  <w:vAlign w:val="center"/>
                </w:tcPr>
                <w:p w14:paraId="5CFA33A7">
                  <w:pPr>
                    <w:adjustRightInd w:val="0"/>
                    <w:snapToGrid w:val="0"/>
                    <w:spacing w:line="240" w:lineRule="auto"/>
                    <w:ind w:firstLine="0" w:firstLineChars="0"/>
                    <w:jc w:val="center"/>
                    <w:rPr>
                      <w:sz w:val="21"/>
                      <w:szCs w:val="21"/>
                    </w:rPr>
                  </w:pPr>
                  <w:r>
                    <w:rPr>
                      <w:sz w:val="21"/>
                      <w:szCs w:val="21"/>
                    </w:rPr>
                    <w:t>3</w:t>
                  </w:r>
                </w:p>
              </w:tc>
              <w:tc>
                <w:tcPr>
                  <w:tcW w:w="946" w:type="pct"/>
                  <w:shd w:val="clear" w:color="auto" w:fill="BFBFBF"/>
                  <w:vAlign w:val="center"/>
                </w:tcPr>
                <w:p w14:paraId="3703E5D6">
                  <w:pPr>
                    <w:adjustRightInd w:val="0"/>
                    <w:snapToGrid w:val="0"/>
                    <w:spacing w:line="240" w:lineRule="auto"/>
                    <w:ind w:firstLine="0" w:firstLineChars="0"/>
                    <w:jc w:val="center"/>
                    <w:rPr>
                      <w:sz w:val="21"/>
                      <w:szCs w:val="21"/>
                    </w:rPr>
                  </w:pPr>
                  <w:r>
                    <w:rPr>
                      <w:sz w:val="21"/>
                      <w:szCs w:val="21"/>
                    </w:rPr>
                    <w:t>4</w:t>
                  </w:r>
                </w:p>
              </w:tc>
              <w:tc>
                <w:tcPr>
                  <w:tcW w:w="946" w:type="pct"/>
                  <w:vAlign w:val="center"/>
                </w:tcPr>
                <w:p w14:paraId="76509364">
                  <w:pPr>
                    <w:adjustRightInd w:val="0"/>
                    <w:snapToGrid w:val="0"/>
                    <w:spacing w:line="240" w:lineRule="auto"/>
                    <w:ind w:firstLine="0" w:firstLineChars="0"/>
                    <w:jc w:val="center"/>
                    <w:rPr>
                      <w:sz w:val="21"/>
                      <w:szCs w:val="21"/>
                    </w:rPr>
                  </w:pPr>
                  <w:r>
                    <w:rPr>
                      <w:sz w:val="21"/>
                      <w:szCs w:val="21"/>
                    </w:rPr>
                    <w:t>5</w:t>
                  </w:r>
                </w:p>
              </w:tc>
            </w:tr>
            <w:tr w14:paraId="7979B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354CC386">
                  <w:pPr>
                    <w:adjustRightInd w:val="0"/>
                    <w:snapToGrid w:val="0"/>
                    <w:spacing w:line="240" w:lineRule="auto"/>
                    <w:ind w:firstLine="0" w:firstLineChars="0"/>
                    <w:jc w:val="center"/>
                    <w:rPr>
                      <w:sz w:val="21"/>
                      <w:szCs w:val="21"/>
                    </w:rPr>
                  </w:pPr>
                  <w:r>
                    <w:rPr>
                      <w:rFonts w:hint="eastAsia"/>
                      <w:sz w:val="21"/>
                      <w:szCs w:val="21"/>
                    </w:rPr>
                    <w:t>无机氮</w:t>
                  </w:r>
                  <w:r>
                    <w:rPr>
                      <w:sz w:val="21"/>
                      <w:szCs w:val="21"/>
                    </w:rPr>
                    <w:t>≤</w:t>
                  </w:r>
                </w:p>
              </w:tc>
              <w:tc>
                <w:tcPr>
                  <w:tcW w:w="1013" w:type="pct"/>
                  <w:shd w:val="clear" w:color="auto" w:fill="auto"/>
                  <w:vAlign w:val="center"/>
                </w:tcPr>
                <w:p w14:paraId="0B3D6F17">
                  <w:pPr>
                    <w:adjustRightInd w:val="0"/>
                    <w:snapToGrid w:val="0"/>
                    <w:spacing w:line="240" w:lineRule="auto"/>
                    <w:ind w:firstLine="0" w:firstLineChars="0"/>
                    <w:jc w:val="center"/>
                    <w:rPr>
                      <w:sz w:val="21"/>
                      <w:szCs w:val="21"/>
                    </w:rPr>
                  </w:pPr>
                  <w:r>
                    <w:rPr>
                      <w:sz w:val="21"/>
                      <w:szCs w:val="21"/>
                    </w:rPr>
                    <w:t>0.20</w:t>
                  </w:r>
                </w:p>
              </w:tc>
              <w:tc>
                <w:tcPr>
                  <w:tcW w:w="946" w:type="pct"/>
                  <w:shd w:val="clear" w:color="auto" w:fill="BFBFBF"/>
                  <w:vAlign w:val="center"/>
                </w:tcPr>
                <w:p w14:paraId="14021E3A">
                  <w:pPr>
                    <w:adjustRightInd w:val="0"/>
                    <w:snapToGrid w:val="0"/>
                    <w:spacing w:line="240" w:lineRule="auto"/>
                    <w:ind w:firstLine="0" w:firstLineChars="0"/>
                    <w:jc w:val="center"/>
                    <w:rPr>
                      <w:sz w:val="21"/>
                      <w:szCs w:val="21"/>
                    </w:rPr>
                  </w:pPr>
                  <w:r>
                    <w:rPr>
                      <w:sz w:val="21"/>
                      <w:szCs w:val="21"/>
                    </w:rPr>
                    <w:t>0.30</w:t>
                  </w:r>
                </w:p>
              </w:tc>
              <w:tc>
                <w:tcPr>
                  <w:tcW w:w="946" w:type="pct"/>
                  <w:shd w:val="clear" w:color="auto" w:fill="BFBFBF"/>
                  <w:vAlign w:val="center"/>
                </w:tcPr>
                <w:p w14:paraId="54211B4B">
                  <w:pPr>
                    <w:adjustRightInd w:val="0"/>
                    <w:snapToGrid w:val="0"/>
                    <w:spacing w:line="240" w:lineRule="auto"/>
                    <w:ind w:firstLine="0" w:firstLineChars="0"/>
                    <w:jc w:val="center"/>
                    <w:rPr>
                      <w:sz w:val="21"/>
                      <w:szCs w:val="21"/>
                    </w:rPr>
                  </w:pPr>
                  <w:r>
                    <w:rPr>
                      <w:sz w:val="21"/>
                      <w:szCs w:val="21"/>
                    </w:rPr>
                    <w:t>0.40</w:t>
                  </w:r>
                </w:p>
              </w:tc>
              <w:tc>
                <w:tcPr>
                  <w:tcW w:w="946" w:type="pct"/>
                  <w:vAlign w:val="center"/>
                </w:tcPr>
                <w:p w14:paraId="0C2E5436">
                  <w:pPr>
                    <w:adjustRightInd w:val="0"/>
                    <w:snapToGrid w:val="0"/>
                    <w:spacing w:line="240" w:lineRule="auto"/>
                    <w:ind w:firstLine="0" w:firstLineChars="0"/>
                    <w:jc w:val="center"/>
                    <w:rPr>
                      <w:sz w:val="21"/>
                      <w:szCs w:val="21"/>
                    </w:rPr>
                  </w:pPr>
                  <w:r>
                    <w:rPr>
                      <w:sz w:val="21"/>
                      <w:szCs w:val="21"/>
                    </w:rPr>
                    <w:t>0.50</w:t>
                  </w:r>
                </w:p>
              </w:tc>
            </w:tr>
            <w:tr w14:paraId="6057D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4468D581">
                  <w:pPr>
                    <w:adjustRightInd w:val="0"/>
                    <w:snapToGrid w:val="0"/>
                    <w:spacing w:line="240" w:lineRule="auto"/>
                    <w:ind w:firstLine="0" w:firstLineChars="0"/>
                    <w:jc w:val="center"/>
                    <w:rPr>
                      <w:sz w:val="21"/>
                      <w:szCs w:val="21"/>
                    </w:rPr>
                  </w:pPr>
                  <w:r>
                    <w:rPr>
                      <w:rFonts w:hint="eastAsia"/>
                      <w:sz w:val="21"/>
                      <w:szCs w:val="21"/>
                    </w:rPr>
                    <w:t>非离子氨</w:t>
                  </w:r>
                  <w:r>
                    <w:rPr>
                      <w:sz w:val="21"/>
                      <w:szCs w:val="21"/>
                    </w:rPr>
                    <w:t>≤</w:t>
                  </w:r>
                </w:p>
              </w:tc>
              <w:tc>
                <w:tcPr>
                  <w:tcW w:w="3851" w:type="pct"/>
                  <w:gridSpan w:val="4"/>
                  <w:shd w:val="clear" w:color="auto" w:fill="BFBFBF"/>
                  <w:vAlign w:val="center"/>
                </w:tcPr>
                <w:p w14:paraId="7549A6CA">
                  <w:pPr>
                    <w:adjustRightInd w:val="0"/>
                    <w:snapToGrid w:val="0"/>
                    <w:spacing w:line="240" w:lineRule="auto"/>
                    <w:ind w:firstLine="0" w:firstLineChars="0"/>
                    <w:jc w:val="center"/>
                    <w:rPr>
                      <w:sz w:val="21"/>
                      <w:szCs w:val="21"/>
                    </w:rPr>
                  </w:pPr>
                  <w:r>
                    <w:rPr>
                      <w:sz w:val="21"/>
                      <w:szCs w:val="21"/>
                    </w:rPr>
                    <w:t>0.020</w:t>
                  </w:r>
                </w:p>
              </w:tc>
            </w:tr>
            <w:tr w14:paraId="3836F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49" w:type="pct"/>
                  <w:shd w:val="clear" w:color="auto" w:fill="auto"/>
                </w:tcPr>
                <w:p w14:paraId="7C59FC06">
                  <w:pPr>
                    <w:adjustRightInd w:val="0"/>
                    <w:snapToGrid w:val="0"/>
                    <w:spacing w:line="240" w:lineRule="auto"/>
                    <w:ind w:firstLine="0" w:firstLineChars="0"/>
                    <w:jc w:val="center"/>
                    <w:rPr>
                      <w:sz w:val="21"/>
                      <w:szCs w:val="21"/>
                    </w:rPr>
                  </w:pPr>
                  <w:r>
                    <w:rPr>
                      <w:rFonts w:hint="eastAsia"/>
                      <w:sz w:val="21"/>
                      <w:szCs w:val="21"/>
                    </w:rPr>
                    <w:t>活性磷酸盐</w:t>
                  </w:r>
                  <w:r>
                    <w:rPr>
                      <w:sz w:val="21"/>
                      <w:szCs w:val="21"/>
                    </w:rPr>
                    <w:t>≤</w:t>
                  </w:r>
                </w:p>
              </w:tc>
              <w:tc>
                <w:tcPr>
                  <w:tcW w:w="1013" w:type="pct"/>
                  <w:shd w:val="clear" w:color="auto" w:fill="auto"/>
                  <w:vAlign w:val="center"/>
                </w:tcPr>
                <w:p w14:paraId="0DCB6C9E">
                  <w:pPr>
                    <w:adjustRightInd w:val="0"/>
                    <w:snapToGrid w:val="0"/>
                    <w:spacing w:line="240" w:lineRule="auto"/>
                    <w:ind w:firstLine="0" w:firstLineChars="0"/>
                    <w:jc w:val="center"/>
                    <w:rPr>
                      <w:sz w:val="21"/>
                      <w:szCs w:val="21"/>
                    </w:rPr>
                  </w:pPr>
                  <w:r>
                    <w:rPr>
                      <w:sz w:val="21"/>
                      <w:szCs w:val="21"/>
                    </w:rPr>
                    <w:t>0.015</w:t>
                  </w:r>
                </w:p>
              </w:tc>
              <w:tc>
                <w:tcPr>
                  <w:tcW w:w="946" w:type="pct"/>
                  <w:shd w:val="clear" w:color="auto" w:fill="BFBFBF"/>
                  <w:vAlign w:val="center"/>
                </w:tcPr>
                <w:p w14:paraId="7222D79E">
                  <w:pPr>
                    <w:adjustRightInd w:val="0"/>
                    <w:snapToGrid w:val="0"/>
                    <w:spacing w:line="240" w:lineRule="auto"/>
                    <w:ind w:firstLine="0" w:firstLineChars="0"/>
                    <w:jc w:val="center"/>
                    <w:rPr>
                      <w:sz w:val="21"/>
                      <w:szCs w:val="21"/>
                    </w:rPr>
                  </w:pPr>
                  <w:r>
                    <w:rPr>
                      <w:sz w:val="21"/>
                      <w:szCs w:val="21"/>
                    </w:rPr>
                    <w:t>0.030</w:t>
                  </w:r>
                </w:p>
              </w:tc>
              <w:tc>
                <w:tcPr>
                  <w:tcW w:w="946" w:type="pct"/>
                  <w:shd w:val="clear" w:color="auto" w:fill="BFBFBF"/>
                  <w:vAlign w:val="center"/>
                </w:tcPr>
                <w:p w14:paraId="03F375E6">
                  <w:pPr>
                    <w:adjustRightInd w:val="0"/>
                    <w:snapToGrid w:val="0"/>
                    <w:spacing w:line="240" w:lineRule="auto"/>
                    <w:ind w:firstLine="0" w:firstLineChars="0"/>
                    <w:jc w:val="center"/>
                    <w:rPr>
                      <w:sz w:val="21"/>
                      <w:szCs w:val="21"/>
                    </w:rPr>
                  </w:pPr>
                  <w:r>
                    <w:rPr>
                      <w:sz w:val="21"/>
                      <w:szCs w:val="21"/>
                    </w:rPr>
                    <w:t>0.030</w:t>
                  </w:r>
                </w:p>
              </w:tc>
              <w:tc>
                <w:tcPr>
                  <w:tcW w:w="946" w:type="pct"/>
                  <w:vAlign w:val="center"/>
                </w:tcPr>
                <w:p w14:paraId="09442ED3">
                  <w:pPr>
                    <w:adjustRightInd w:val="0"/>
                    <w:snapToGrid w:val="0"/>
                    <w:spacing w:line="240" w:lineRule="auto"/>
                    <w:ind w:firstLine="0" w:firstLineChars="0"/>
                    <w:jc w:val="center"/>
                    <w:rPr>
                      <w:sz w:val="21"/>
                      <w:szCs w:val="21"/>
                    </w:rPr>
                  </w:pPr>
                  <w:r>
                    <w:rPr>
                      <w:sz w:val="21"/>
                      <w:szCs w:val="21"/>
                    </w:rPr>
                    <w:t>0.045</w:t>
                  </w:r>
                </w:p>
              </w:tc>
            </w:tr>
            <w:tr w14:paraId="32D07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63D5F898">
                  <w:pPr>
                    <w:adjustRightInd w:val="0"/>
                    <w:snapToGrid w:val="0"/>
                    <w:spacing w:line="240" w:lineRule="auto"/>
                    <w:ind w:firstLine="0" w:firstLineChars="0"/>
                    <w:jc w:val="center"/>
                    <w:rPr>
                      <w:sz w:val="21"/>
                      <w:szCs w:val="21"/>
                    </w:rPr>
                  </w:pPr>
                  <w:r>
                    <w:rPr>
                      <w:rFonts w:hint="eastAsia"/>
                      <w:sz w:val="21"/>
                      <w:szCs w:val="21"/>
                    </w:rPr>
                    <w:t>氰化物</w:t>
                  </w:r>
                  <w:r>
                    <w:rPr>
                      <w:sz w:val="21"/>
                      <w:szCs w:val="21"/>
                    </w:rPr>
                    <w:t>≤</w:t>
                  </w:r>
                </w:p>
              </w:tc>
              <w:tc>
                <w:tcPr>
                  <w:tcW w:w="1959" w:type="pct"/>
                  <w:gridSpan w:val="2"/>
                  <w:shd w:val="clear" w:color="auto" w:fill="BFBFBF"/>
                  <w:vAlign w:val="center"/>
                </w:tcPr>
                <w:p w14:paraId="4FEA467B">
                  <w:pPr>
                    <w:adjustRightInd w:val="0"/>
                    <w:snapToGrid w:val="0"/>
                    <w:spacing w:line="240" w:lineRule="auto"/>
                    <w:ind w:firstLine="0" w:firstLineChars="0"/>
                    <w:jc w:val="center"/>
                    <w:rPr>
                      <w:sz w:val="21"/>
                      <w:szCs w:val="21"/>
                    </w:rPr>
                  </w:pPr>
                  <w:r>
                    <w:rPr>
                      <w:sz w:val="21"/>
                      <w:szCs w:val="21"/>
                    </w:rPr>
                    <w:t>0.005</w:t>
                  </w:r>
                </w:p>
              </w:tc>
              <w:tc>
                <w:tcPr>
                  <w:tcW w:w="946" w:type="pct"/>
                  <w:shd w:val="clear" w:color="auto" w:fill="BFBFBF"/>
                  <w:vAlign w:val="center"/>
                </w:tcPr>
                <w:p w14:paraId="10A66947">
                  <w:pPr>
                    <w:adjustRightInd w:val="0"/>
                    <w:snapToGrid w:val="0"/>
                    <w:spacing w:line="240" w:lineRule="auto"/>
                    <w:ind w:firstLine="0" w:firstLineChars="0"/>
                    <w:jc w:val="center"/>
                    <w:rPr>
                      <w:sz w:val="21"/>
                      <w:szCs w:val="21"/>
                    </w:rPr>
                  </w:pPr>
                  <w:r>
                    <w:rPr>
                      <w:sz w:val="21"/>
                      <w:szCs w:val="21"/>
                    </w:rPr>
                    <w:t>0.10</w:t>
                  </w:r>
                </w:p>
              </w:tc>
              <w:tc>
                <w:tcPr>
                  <w:tcW w:w="946" w:type="pct"/>
                  <w:vAlign w:val="center"/>
                </w:tcPr>
                <w:p w14:paraId="35B33510">
                  <w:pPr>
                    <w:adjustRightInd w:val="0"/>
                    <w:snapToGrid w:val="0"/>
                    <w:spacing w:line="240" w:lineRule="auto"/>
                    <w:ind w:firstLine="0" w:firstLineChars="0"/>
                    <w:jc w:val="center"/>
                    <w:rPr>
                      <w:sz w:val="21"/>
                      <w:szCs w:val="21"/>
                    </w:rPr>
                  </w:pPr>
                  <w:r>
                    <w:rPr>
                      <w:sz w:val="21"/>
                      <w:szCs w:val="21"/>
                    </w:rPr>
                    <w:t>0.20</w:t>
                  </w:r>
                </w:p>
              </w:tc>
            </w:tr>
            <w:tr w14:paraId="0D8FF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44A0B601">
                  <w:pPr>
                    <w:adjustRightInd w:val="0"/>
                    <w:snapToGrid w:val="0"/>
                    <w:spacing w:line="240" w:lineRule="auto"/>
                    <w:ind w:firstLine="0" w:firstLineChars="0"/>
                    <w:jc w:val="center"/>
                    <w:rPr>
                      <w:sz w:val="21"/>
                      <w:szCs w:val="21"/>
                    </w:rPr>
                  </w:pPr>
                  <w:r>
                    <w:rPr>
                      <w:rFonts w:hint="eastAsia"/>
                      <w:sz w:val="21"/>
                      <w:szCs w:val="21"/>
                    </w:rPr>
                    <w:t>硫化物</w:t>
                  </w:r>
                  <w:r>
                    <w:rPr>
                      <w:sz w:val="21"/>
                      <w:szCs w:val="21"/>
                    </w:rPr>
                    <w:t>≤</w:t>
                  </w:r>
                </w:p>
              </w:tc>
              <w:tc>
                <w:tcPr>
                  <w:tcW w:w="1013" w:type="pct"/>
                  <w:shd w:val="clear" w:color="auto" w:fill="auto"/>
                  <w:vAlign w:val="center"/>
                </w:tcPr>
                <w:p w14:paraId="0391D8CA">
                  <w:pPr>
                    <w:adjustRightInd w:val="0"/>
                    <w:snapToGrid w:val="0"/>
                    <w:spacing w:line="240" w:lineRule="auto"/>
                    <w:ind w:firstLine="0" w:firstLineChars="0"/>
                    <w:jc w:val="center"/>
                    <w:rPr>
                      <w:sz w:val="21"/>
                      <w:szCs w:val="21"/>
                    </w:rPr>
                  </w:pPr>
                  <w:r>
                    <w:rPr>
                      <w:sz w:val="21"/>
                      <w:szCs w:val="21"/>
                    </w:rPr>
                    <w:t>0.02</w:t>
                  </w:r>
                </w:p>
              </w:tc>
              <w:tc>
                <w:tcPr>
                  <w:tcW w:w="946" w:type="pct"/>
                  <w:shd w:val="clear" w:color="auto" w:fill="BFBFBF"/>
                  <w:vAlign w:val="center"/>
                </w:tcPr>
                <w:p w14:paraId="68915D6A">
                  <w:pPr>
                    <w:adjustRightInd w:val="0"/>
                    <w:snapToGrid w:val="0"/>
                    <w:spacing w:line="240" w:lineRule="auto"/>
                    <w:ind w:firstLine="0" w:firstLineChars="0"/>
                    <w:jc w:val="center"/>
                    <w:rPr>
                      <w:sz w:val="21"/>
                      <w:szCs w:val="21"/>
                    </w:rPr>
                  </w:pPr>
                  <w:r>
                    <w:rPr>
                      <w:sz w:val="21"/>
                      <w:szCs w:val="21"/>
                    </w:rPr>
                    <w:t>0.05</w:t>
                  </w:r>
                </w:p>
              </w:tc>
              <w:tc>
                <w:tcPr>
                  <w:tcW w:w="946" w:type="pct"/>
                  <w:shd w:val="clear" w:color="auto" w:fill="BFBFBF"/>
                  <w:vAlign w:val="center"/>
                </w:tcPr>
                <w:p w14:paraId="05F62E1F">
                  <w:pPr>
                    <w:adjustRightInd w:val="0"/>
                    <w:snapToGrid w:val="0"/>
                    <w:spacing w:line="240" w:lineRule="auto"/>
                    <w:ind w:firstLine="0" w:firstLineChars="0"/>
                    <w:jc w:val="center"/>
                    <w:rPr>
                      <w:sz w:val="21"/>
                      <w:szCs w:val="21"/>
                    </w:rPr>
                  </w:pPr>
                  <w:r>
                    <w:rPr>
                      <w:sz w:val="21"/>
                      <w:szCs w:val="21"/>
                    </w:rPr>
                    <w:t>0.10</w:t>
                  </w:r>
                </w:p>
              </w:tc>
              <w:tc>
                <w:tcPr>
                  <w:tcW w:w="946" w:type="pct"/>
                  <w:vAlign w:val="center"/>
                </w:tcPr>
                <w:p w14:paraId="0CFC779D">
                  <w:pPr>
                    <w:adjustRightInd w:val="0"/>
                    <w:snapToGrid w:val="0"/>
                    <w:spacing w:line="240" w:lineRule="auto"/>
                    <w:ind w:firstLine="0" w:firstLineChars="0"/>
                    <w:jc w:val="center"/>
                    <w:rPr>
                      <w:sz w:val="21"/>
                      <w:szCs w:val="21"/>
                    </w:rPr>
                  </w:pPr>
                  <w:r>
                    <w:rPr>
                      <w:sz w:val="21"/>
                      <w:szCs w:val="21"/>
                    </w:rPr>
                    <w:t>0.25</w:t>
                  </w:r>
                </w:p>
              </w:tc>
            </w:tr>
            <w:tr w14:paraId="3FAF9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136AB086">
                  <w:pPr>
                    <w:adjustRightInd w:val="0"/>
                    <w:snapToGrid w:val="0"/>
                    <w:spacing w:line="240" w:lineRule="auto"/>
                    <w:ind w:firstLine="0" w:firstLineChars="0"/>
                    <w:jc w:val="center"/>
                    <w:rPr>
                      <w:sz w:val="21"/>
                      <w:szCs w:val="21"/>
                    </w:rPr>
                  </w:pPr>
                  <w:r>
                    <w:rPr>
                      <w:rFonts w:hint="eastAsia"/>
                      <w:sz w:val="21"/>
                      <w:szCs w:val="21"/>
                    </w:rPr>
                    <w:t>挥发性酚</w:t>
                  </w:r>
                  <w:r>
                    <w:rPr>
                      <w:sz w:val="21"/>
                      <w:szCs w:val="21"/>
                    </w:rPr>
                    <w:t>≤</w:t>
                  </w:r>
                </w:p>
              </w:tc>
              <w:tc>
                <w:tcPr>
                  <w:tcW w:w="1959" w:type="pct"/>
                  <w:gridSpan w:val="2"/>
                  <w:shd w:val="clear" w:color="auto" w:fill="BFBFBF"/>
                  <w:vAlign w:val="center"/>
                </w:tcPr>
                <w:p w14:paraId="473C4AC3">
                  <w:pPr>
                    <w:adjustRightInd w:val="0"/>
                    <w:snapToGrid w:val="0"/>
                    <w:spacing w:line="240" w:lineRule="auto"/>
                    <w:ind w:firstLine="0" w:firstLineChars="0"/>
                    <w:jc w:val="center"/>
                    <w:rPr>
                      <w:sz w:val="21"/>
                      <w:szCs w:val="21"/>
                    </w:rPr>
                  </w:pPr>
                  <w:r>
                    <w:rPr>
                      <w:sz w:val="21"/>
                      <w:szCs w:val="21"/>
                    </w:rPr>
                    <w:t>0.005</w:t>
                  </w:r>
                </w:p>
              </w:tc>
              <w:tc>
                <w:tcPr>
                  <w:tcW w:w="946" w:type="pct"/>
                  <w:shd w:val="clear" w:color="auto" w:fill="BFBFBF"/>
                  <w:vAlign w:val="center"/>
                </w:tcPr>
                <w:p w14:paraId="1FD49E00">
                  <w:pPr>
                    <w:adjustRightInd w:val="0"/>
                    <w:snapToGrid w:val="0"/>
                    <w:spacing w:line="240" w:lineRule="auto"/>
                    <w:ind w:firstLine="0" w:firstLineChars="0"/>
                    <w:jc w:val="center"/>
                    <w:rPr>
                      <w:sz w:val="21"/>
                      <w:szCs w:val="21"/>
                    </w:rPr>
                  </w:pPr>
                  <w:r>
                    <w:rPr>
                      <w:sz w:val="21"/>
                      <w:szCs w:val="21"/>
                    </w:rPr>
                    <w:t>0.010</w:t>
                  </w:r>
                </w:p>
              </w:tc>
              <w:tc>
                <w:tcPr>
                  <w:tcW w:w="946" w:type="pct"/>
                  <w:vAlign w:val="center"/>
                </w:tcPr>
                <w:p w14:paraId="6FB625CE">
                  <w:pPr>
                    <w:adjustRightInd w:val="0"/>
                    <w:snapToGrid w:val="0"/>
                    <w:spacing w:line="240" w:lineRule="auto"/>
                    <w:ind w:firstLine="0" w:firstLineChars="0"/>
                    <w:jc w:val="center"/>
                    <w:rPr>
                      <w:sz w:val="21"/>
                      <w:szCs w:val="21"/>
                    </w:rPr>
                  </w:pPr>
                  <w:r>
                    <w:rPr>
                      <w:sz w:val="21"/>
                      <w:szCs w:val="21"/>
                    </w:rPr>
                    <w:t>0.050</w:t>
                  </w:r>
                </w:p>
              </w:tc>
            </w:tr>
            <w:tr w14:paraId="75550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36BA4DC4">
                  <w:pPr>
                    <w:adjustRightInd w:val="0"/>
                    <w:snapToGrid w:val="0"/>
                    <w:spacing w:line="240" w:lineRule="auto"/>
                    <w:ind w:firstLine="0" w:firstLineChars="0"/>
                    <w:jc w:val="center"/>
                    <w:rPr>
                      <w:sz w:val="21"/>
                      <w:szCs w:val="21"/>
                    </w:rPr>
                  </w:pPr>
                  <w:r>
                    <w:rPr>
                      <w:rFonts w:hint="eastAsia"/>
                      <w:sz w:val="21"/>
                      <w:szCs w:val="21"/>
                    </w:rPr>
                    <w:t>石油类</w:t>
                  </w:r>
                  <w:r>
                    <w:rPr>
                      <w:sz w:val="21"/>
                      <w:szCs w:val="21"/>
                    </w:rPr>
                    <w:t>≤</w:t>
                  </w:r>
                </w:p>
              </w:tc>
              <w:tc>
                <w:tcPr>
                  <w:tcW w:w="1959" w:type="pct"/>
                  <w:gridSpan w:val="2"/>
                  <w:shd w:val="clear" w:color="auto" w:fill="BFBFBF"/>
                  <w:vAlign w:val="center"/>
                </w:tcPr>
                <w:p w14:paraId="71C928EE">
                  <w:pPr>
                    <w:adjustRightInd w:val="0"/>
                    <w:snapToGrid w:val="0"/>
                    <w:spacing w:line="240" w:lineRule="auto"/>
                    <w:ind w:firstLine="0" w:firstLineChars="0"/>
                    <w:jc w:val="center"/>
                    <w:rPr>
                      <w:sz w:val="21"/>
                      <w:szCs w:val="21"/>
                    </w:rPr>
                  </w:pPr>
                  <w:r>
                    <w:rPr>
                      <w:sz w:val="21"/>
                      <w:szCs w:val="21"/>
                    </w:rPr>
                    <w:t>0.05</w:t>
                  </w:r>
                </w:p>
              </w:tc>
              <w:tc>
                <w:tcPr>
                  <w:tcW w:w="946" w:type="pct"/>
                  <w:shd w:val="clear" w:color="auto" w:fill="BFBFBF"/>
                  <w:vAlign w:val="center"/>
                </w:tcPr>
                <w:p w14:paraId="69CFA6EA">
                  <w:pPr>
                    <w:adjustRightInd w:val="0"/>
                    <w:snapToGrid w:val="0"/>
                    <w:spacing w:line="240" w:lineRule="auto"/>
                    <w:ind w:firstLine="0" w:firstLineChars="0"/>
                    <w:jc w:val="center"/>
                    <w:rPr>
                      <w:sz w:val="21"/>
                      <w:szCs w:val="21"/>
                    </w:rPr>
                  </w:pPr>
                  <w:r>
                    <w:rPr>
                      <w:sz w:val="21"/>
                      <w:szCs w:val="21"/>
                    </w:rPr>
                    <w:t>0.30</w:t>
                  </w:r>
                </w:p>
              </w:tc>
              <w:tc>
                <w:tcPr>
                  <w:tcW w:w="946" w:type="pct"/>
                  <w:vAlign w:val="center"/>
                </w:tcPr>
                <w:p w14:paraId="7784FE84">
                  <w:pPr>
                    <w:adjustRightInd w:val="0"/>
                    <w:snapToGrid w:val="0"/>
                    <w:spacing w:line="240" w:lineRule="auto"/>
                    <w:ind w:firstLine="0" w:firstLineChars="0"/>
                    <w:jc w:val="center"/>
                    <w:rPr>
                      <w:sz w:val="21"/>
                      <w:szCs w:val="21"/>
                    </w:rPr>
                  </w:pPr>
                  <w:r>
                    <w:rPr>
                      <w:sz w:val="21"/>
                      <w:szCs w:val="21"/>
                    </w:rPr>
                    <w:t>0.50</w:t>
                  </w:r>
                </w:p>
              </w:tc>
            </w:tr>
            <w:tr w14:paraId="696CA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0C010E22">
                  <w:pPr>
                    <w:adjustRightInd w:val="0"/>
                    <w:snapToGrid w:val="0"/>
                    <w:spacing w:line="240" w:lineRule="auto"/>
                    <w:ind w:firstLine="0" w:firstLineChars="0"/>
                    <w:jc w:val="center"/>
                    <w:rPr>
                      <w:sz w:val="21"/>
                      <w:szCs w:val="21"/>
                    </w:rPr>
                  </w:pPr>
                  <w:r>
                    <w:rPr>
                      <w:rFonts w:hint="eastAsia"/>
                      <w:sz w:val="21"/>
                      <w:szCs w:val="21"/>
                    </w:rPr>
                    <w:t>汞</w:t>
                  </w:r>
                </w:p>
              </w:tc>
              <w:tc>
                <w:tcPr>
                  <w:tcW w:w="1013" w:type="pct"/>
                  <w:shd w:val="clear" w:color="auto" w:fill="auto"/>
                  <w:vAlign w:val="center"/>
                </w:tcPr>
                <w:p w14:paraId="6066E3DE">
                  <w:pPr>
                    <w:adjustRightInd w:val="0"/>
                    <w:snapToGrid w:val="0"/>
                    <w:spacing w:line="240" w:lineRule="auto"/>
                    <w:ind w:firstLine="0" w:firstLineChars="0"/>
                    <w:jc w:val="center"/>
                    <w:rPr>
                      <w:sz w:val="21"/>
                      <w:szCs w:val="21"/>
                    </w:rPr>
                  </w:pPr>
                  <w:r>
                    <w:rPr>
                      <w:sz w:val="21"/>
                      <w:szCs w:val="21"/>
                    </w:rPr>
                    <w:t>0.00005</w:t>
                  </w:r>
                </w:p>
              </w:tc>
              <w:tc>
                <w:tcPr>
                  <w:tcW w:w="1891" w:type="pct"/>
                  <w:gridSpan w:val="2"/>
                  <w:shd w:val="clear" w:color="auto" w:fill="BFBFBF"/>
                  <w:vAlign w:val="center"/>
                </w:tcPr>
                <w:p w14:paraId="2648C7C2">
                  <w:pPr>
                    <w:adjustRightInd w:val="0"/>
                    <w:snapToGrid w:val="0"/>
                    <w:spacing w:line="240" w:lineRule="auto"/>
                    <w:ind w:firstLine="0" w:firstLineChars="0"/>
                    <w:jc w:val="center"/>
                    <w:rPr>
                      <w:sz w:val="21"/>
                      <w:szCs w:val="21"/>
                    </w:rPr>
                  </w:pPr>
                  <w:r>
                    <w:rPr>
                      <w:sz w:val="21"/>
                      <w:szCs w:val="21"/>
                    </w:rPr>
                    <w:t>0.0002</w:t>
                  </w:r>
                </w:p>
              </w:tc>
              <w:tc>
                <w:tcPr>
                  <w:tcW w:w="946" w:type="pct"/>
                  <w:vAlign w:val="center"/>
                </w:tcPr>
                <w:p w14:paraId="50ADBF85">
                  <w:pPr>
                    <w:adjustRightInd w:val="0"/>
                    <w:snapToGrid w:val="0"/>
                    <w:spacing w:line="240" w:lineRule="auto"/>
                    <w:ind w:firstLine="0" w:firstLineChars="0"/>
                    <w:jc w:val="center"/>
                    <w:rPr>
                      <w:sz w:val="21"/>
                      <w:szCs w:val="21"/>
                    </w:rPr>
                  </w:pPr>
                  <w:r>
                    <w:rPr>
                      <w:sz w:val="21"/>
                      <w:szCs w:val="21"/>
                    </w:rPr>
                    <w:t>0.0005</w:t>
                  </w:r>
                </w:p>
              </w:tc>
            </w:tr>
            <w:tr w14:paraId="4A85A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6A83D4FA">
                  <w:pPr>
                    <w:adjustRightInd w:val="0"/>
                    <w:snapToGrid w:val="0"/>
                    <w:spacing w:line="240" w:lineRule="auto"/>
                    <w:ind w:firstLine="0" w:firstLineChars="0"/>
                    <w:jc w:val="center"/>
                    <w:rPr>
                      <w:sz w:val="21"/>
                      <w:szCs w:val="21"/>
                    </w:rPr>
                  </w:pPr>
                  <w:r>
                    <w:rPr>
                      <w:rFonts w:hint="eastAsia"/>
                      <w:sz w:val="21"/>
                      <w:szCs w:val="21"/>
                    </w:rPr>
                    <w:t>镉</w:t>
                  </w:r>
                </w:p>
              </w:tc>
              <w:tc>
                <w:tcPr>
                  <w:tcW w:w="1013" w:type="pct"/>
                  <w:shd w:val="clear" w:color="auto" w:fill="auto"/>
                  <w:vAlign w:val="center"/>
                </w:tcPr>
                <w:p w14:paraId="0B50C79B">
                  <w:pPr>
                    <w:adjustRightInd w:val="0"/>
                    <w:snapToGrid w:val="0"/>
                    <w:spacing w:line="240" w:lineRule="auto"/>
                    <w:ind w:firstLine="0" w:firstLineChars="0"/>
                    <w:jc w:val="center"/>
                    <w:rPr>
                      <w:sz w:val="21"/>
                      <w:szCs w:val="21"/>
                    </w:rPr>
                  </w:pPr>
                  <w:r>
                    <w:rPr>
                      <w:sz w:val="21"/>
                      <w:szCs w:val="21"/>
                    </w:rPr>
                    <w:t>0.001</w:t>
                  </w:r>
                </w:p>
              </w:tc>
              <w:tc>
                <w:tcPr>
                  <w:tcW w:w="946" w:type="pct"/>
                  <w:shd w:val="clear" w:color="auto" w:fill="BFBFBF"/>
                  <w:vAlign w:val="center"/>
                </w:tcPr>
                <w:p w14:paraId="59104EDB">
                  <w:pPr>
                    <w:adjustRightInd w:val="0"/>
                    <w:snapToGrid w:val="0"/>
                    <w:spacing w:line="240" w:lineRule="auto"/>
                    <w:ind w:firstLine="0" w:firstLineChars="0"/>
                    <w:jc w:val="center"/>
                    <w:rPr>
                      <w:sz w:val="21"/>
                      <w:szCs w:val="21"/>
                    </w:rPr>
                  </w:pPr>
                  <w:r>
                    <w:rPr>
                      <w:sz w:val="21"/>
                      <w:szCs w:val="21"/>
                    </w:rPr>
                    <w:t>0.005</w:t>
                  </w:r>
                </w:p>
              </w:tc>
              <w:tc>
                <w:tcPr>
                  <w:tcW w:w="1891" w:type="pct"/>
                  <w:gridSpan w:val="2"/>
                  <w:shd w:val="clear" w:color="auto" w:fill="BFBFBF"/>
                  <w:vAlign w:val="center"/>
                </w:tcPr>
                <w:p w14:paraId="038A4FA3">
                  <w:pPr>
                    <w:adjustRightInd w:val="0"/>
                    <w:snapToGrid w:val="0"/>
                    <w:spacing w:line="240" w:lineRule="auto"/>
                    <w:ind w:firstLine="0" w:firstLineChars="0"/>
                    <w:jc w:val="center"/>
                    <w:rPr>
                      <w:sz w:val="21"/>
                      <w:szCs w:val="21"/>
                    </w:rPr>
                  </w:pPr>
                  <w:r>
                    <w:rPr>
                      <w:sz w:val="21"/>
                      <w:szCs w:val="21"/>
                    </w:rPr>
                    <w:t>0.010</w:t>
                  </w:r>
                </w:p>
              </w:tc>
            </w:tr>
            <w:tr w14:paraId="5FD9C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26C80077">
                  <w:pPr>
                    <w:adjustRightInd w:val="0"/>
                    <w:snapToGrid w:val="0"/>
                    <w:spacing w:line="240" w:lineRule="auto"/>
                    <w:ind w:firstLine="0" w:firstLineChars="0"/>
                    <w:jc w:val="center"/>
                    <w:rPr>
                      <w:sz w:val="21"/>
                      <w:szCs w:val="21"/>
                    </w:rPr>
                  </w:pPr>
                  <w:r>
                    <w:rPr>
                      <w:rFonts w:hint="eastAsia"/>
                      <w:sz w:val="21"/>
                      <w:szCs w:val="21"/>
                    </w:rPr>
                    <w:t>铅</w:t>
                  </w:r>
                </w:p>
              </w:tc>
              <w:tc>
                <w:tcPr>
                  <w:tcW w:w="1013" w:type="pct"/>
                  <w:shd w:val="clear" w:color="auto" w:fill="auto"/>
                  <w:vAlign w:val="center"/>
                </w:tcPr>
                <w:p w14:paraId="62B2301F">
                  <w:pPr>
                    <w:adjustRightInd w:val="0"/>
                    <w:snapToGrid w:val="0"/>
                    <w:spacing w:line="240" w:lineRule="auto"/>
                    <w:ind w:firstLine="0" w:firstLineChars="0"/>
                    <w:jc w:val="center"/>
                    <w:rPr>
                      <w:sz w:val="21"/>
                      <w:szCs w:val="21"/>
                    </w:rPr>
                  </w:pPr>
                  <w:r>
                    <w:rPr>
                      <w:sz w:val="21"/>
                      <w:szCs w:val="21"/>
                    </w:rPr>
                    <w:t>0.001</w:t>
                  </w:r>
                </w:p>
              </w:tc>
              <w:tc>
                <w:tcPr>
                  <w:tcW w:w="946" w:type="pct"/>
                  <w:shd w:val="clear" w:color="auto" w:fill="BFBFBF"/>
                  <w:vAlign w:val="center"/>
                </w:tcPr>
                <w:p w14:paraId="74FC9D47">
                  <w:pPr>
                    <w:adjustRightInd w:val="0"/>
                    <w:snapToGrid w:val="0"/>
                    <w:spacing w:line="240" w:lineRule="auto"/>
                    <w:ind w:firstLine="0" w:firstLineChars="0"/>
                    <w:jc w:val="center"/>
                    <w:rPr>
                      <w:sz w:val="21"/>
                      <w:szCs w:val="21"/>
                    </w:rPr>
                  </w:pPr>
                  <w:r>
                    <w:rPr>
                      <w:sz w:val="21"/>
                      <w:szCs w:val="21"/>
                    </w:rPr>
                    <w:t>0.005</w:t>
                  </w:r>
                </w:p>
              </w:tc>
              <w:tc>
                <w:tcPr>
                  <w:tcW w:w="946" w:type="pct"/>
                  <w:shd w:val="clear" w:color="auto" w:fill="BFBFBF"/>
                  <w:vAlign w:val="center"/>
                </w:tcPr>
                <w:p w14:paraId="4F4121E4">
                  <w:pPr>
                    <w:adjustRightInd w:val="0"/>
                    <w:snapToGrid w:val="0"/>
                    <w:spacing w:line="240" w:lineRule="auto"/>
                    <w:ind w:firstLine="0" w:firstLineChars="0"/>
                    <w:jc w:val="center"/>
                    <w:rPr>
                      <w:sz w:val="21"/>
                      <w:szCs w:val="21"/>
                    </w:rPr>
                  </w:pPr>
                  <w:r>
                    <w:rPr>
                      <w:sz w:val="21"/>
                      <w:szCs w:val="21"/>
                    </w:rPr>
                    <w:t>0.010</w:t>
                  </w:r>
                </w:p>
              </w:tc>
              <w:tc>
                <w:tcPr>
                  <w:tcW w:w="946" w:type="pct"/>
                  <w:vAlign w:val="center"/>
                </w:tcPr>
                <w:p w14:paraId="598EE852">
                  <w:pPr>
                    <w:adjustRightInd w:val="0"/>
                    <w:snapToGrid w:val="0"/>
                    <w:spacing w:line="240" w:lineRule="auto"/>
                    <w:ind w:firstLine="0" w:firstLineChars="0"/>
                    <w:jc w:val="center"/>
                    <w:rPr>
                      <w:sz w:val="21"/>
                      <w:szCs w:val="21"/>
                    </w:rPr>
                  </w:pPr>
                  <w:r>
                    <w:rPr>
                      <w:sz w:val="21"/>
                      <w:szCs w:val="21"/>
                    </w:rPr>
                    <w:t>0.050</w:t>
                  </w:r>
                </w:p>
              </w:tc>
            </w:tr>
            <w:tr w14:paraId="3B8B5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356F98D1">
                  <w:pPr>
                    <w:adjustRightInd w:val="0"/>
                    <w:snapToGrid w:val="0"/>
                    <w:spacing w:line="240" w:lineRule="auto"/>
                    <w:ind w:firstLine="0" w:firstLineChars="0"/>
                    <w:jc w:val="center"/>
                    <w:rPr>
                      <w:sz w:val="21"/>
                      <w:szCs w:val="21"/>
                    </w:rPr>
                  </w:pPr>
                  <w:r>
                    <w:rPr>
                      <w:rFonts w:hint="eastAsia"/>
                      <w:sz w:val="21"/>
                      <w:szCs w:val="21"/>
                    </w:rPr>
                    <w:t>总铬</w:t>
                  </w:r>
                </w:p>
              </w:tc>
              <w:tc>
                <w:tcPr>
                  <w:tcW w:w="1013" w:type="pct"/>
                  <w:shd w:val="clear" w:color="auto" w:fill="auto"/>
                  <w:vAlign w:val="center"/>
                </w:tcPr>
                <w:p w14:paraId="3FE9F628">
                  <w:pPr>
                    <w:adjustRightInd w:val="0"/>
                    <w:snapToGrid w:val="0"/>
                    <w:spacing w:line="240" w:lineRule="auto"/>
                    <w:ind w:firstLine="0" w:firstLineChars="0"/>
                    <w:jc w:val="center"/>
                    <w:rPr>
                      <w:sz w:val="21"/>
                      <w:szCs w:val="21"/>
                    </w:rPr>
                  </w:pPr>
                  <w:r>
                    <w:rPr>
                      <w:sz w:val="21"/>
                      <w:szCs w:val="21"/>
                    </w:rPr>
                    <w:t>0.05</w:t>
                  </w:r>
                </w:p>
              </w:tc>
              <w:tc>
                <w:tcPr>
                  <w:tcW w:w="946" w:type="pct"/>
                  <w:shd w:val="clear" w:color="auto" w:fill="BFBFBF"/>
                  <w:vAlign w:val="center"/>
                </w:tcPr>
                <w:p w14:paraId="74344694">
                  <w:pPr>
                    <w:adjustRightInd w:val="0"/>
                    <w:snapToGrid w:val="0"/>
                    <w:spacing w:line="240" w:lineRule="auto"/>
                    <w:ind w:firstLine="0" w:firstLineChars="0"/>
                    <w:jc w:val="center"/>
                    <w:rPr>
                      <w:sz w:val="21"/>
                      <w:szCs w:val="21"/>
                    </w:rPr>
                  </w:pPr>
                  <w:r>
                    <w:rPr>
                      <w:sz w:val="21"/>
                      <w:szCs w:val="21"/>
                    </w:rPr>
                    <w:t>0.10</w:t>
                  </w:r>
                </w:p>
              </w:tc>
              <w:tc>
                <w:tcPr>
                  <w:tcW w:w="946" w:type="pct"/>
                  <w:shd w:val="clear" w:color="auto" w:fill="BFBFBF"/>
                  <w:vAlign w:val="center"/>
                </w:tcPr>
                <w:p w14:paraId="71FC243A">
                  <w:pPr>
                    <w:adjustRightInd w:val="0"/>
                    <w:snapToGrid w:val="0"/>
                    <w:spacing w:line="240" w:lineRule="auto"/>
                    <w:ind w:firstLine="0" w:firstLineChars="0"/>
                    <w:jc w:val="center"/>
                    <w:rPr>
                      <w:sz w:val="21"/>
                      <w:szCs w:val="21"/>
                    </w:rPr>
                  </w:pPr>
                  <w:r>
                    <w:rPr>
                      <w:sz w:val="21"/>
                      <w:szCs w:val="21"/>
                    </w:rPr>
                    <w:t>0.20</w:t>
                  </w:r>
                </w:p>
              </w:tc>
              <w:tc>
                <w:tcPr>
                  <w:tcW w:w="946" w:type="pct"/>
                  <w:vAlign w:val="center"/>
                </w:tcPr>
                <w:p w14:paraId="522C008F">
                  <w:pPr>
                    <w:adjustRightInd w:val="0"/>
                    <w:snapToGrid w:val="0"/>
                    <w:spacing w:line="240" w:lineRule="auto"/>
                    <w:ind w:firstLine="0" w:firstLineChars="0"/>
                    <w:jc w:val="center"/>
                    <w:rPr>
                      <w:sz w:val="21"/>
                      <w:szCs w:val="21"/>
                    </w:rPr>
                  </w:pPr>
                  <w:r>
                    <w:rPr>
                      <w:sz w:val="21"/>
                      <w:szCs w:val="21"/>
                    </w:rPr>
                    <w:t>0.50</w:t>
                  </w:r>
                </w:p>
              </w:tc>
            </w:tr>
            <w:tr w14:paraId="676DC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60B9AA1D">
                  <w:pPr>
                    <w:adjustRightInd w:val="0"/>
                    <w:snapToGrid w:val="0"/>
                    <w:spacing w:line="240" w:lineRule="auto"/>
                    <w:ind w:firstLine="0" w:firstLineChars="0"/>
                    <w:jc w:val="center"/>
                    <w:rPr>
                      <w:sz w:val="21"/>
                      <w:szCs w:val="21"/>
                    </w:rPr>
                  </w:pPr>
                  <w:r>
                    <w:rPr>
                      <w:rFonts w:hint="eastAsia"/>
                      <w:sz w:val="21"/>
                      <w:szCs w:val="21"/>
                    </w:rPr>
                    <w:t>砷</w:t>
                  </w:r>
                </w:p>
              </w:tc>
              <w:tc>
                <w:tcPr>
                  <w:tcW w:w="1013" w:type="pct"/>
                  <w:shd w:val="clear" w:color="auto" w:fill="auto"/>
                  <w:vAlign w:val="center"/>
                </w:tcPr>
                <w:p w14:paraId="2CB4309E">
                  <w:pPr>
                    <w:adjustRightInd w:val="0"/>
                    <w:snapToGrid w:val="0"/>
                    <w:spacing w:line="240" w:lineRule="auto"/>
                    <w:ind w:firstLine="0" w:firstLineChars="0"/>
                    <w:jc w:val="center"/>
                    <w:rPr>
                      <w:sz w:val="21"/>
                      <w:szCs w:val="21"/>
                    </w:rPr>
                  </w:pPr>
                  <w:r>
                    <w:rPr>
                      <w:sz w:val="21"/>
                      <w:szCs w:val="21"/>
                    </w:rPr>
                    <w:t>0.020</w:t>
                  </w:r>
                </w:p>
              </w:tc>
              <w:tc>
                <w:tcPr>
                  <w:tcW w:w="946" w:type="pct"/>
                  <w:shd w:val="clear" w:color="auto" w:fill="BFBFBF"/>
                  <w:vAlign w:val="center"/>
                </w:tcPr>
                <w:p w14:paraId="27DE0F1A">
                  <w:pPr>
                    <w:adjustRightInd w:val="0"/>
                    <w:snapToGrid w:val="0"/>
                    <w:spacing w:line="240" w:lineRule="auto"/>
                    <w:ind w:firstLine="0" w:firstLineChars="0"/>
                    <w:jc w:val="center"/>
                    <w:rPr>
                      <w:sz w:val="21"/>
                      <w:szCs w:val="21"/>
                    </w:rPr>
                  </w:pPr>
                  <w:r>
                    <w:rPr>
                      <w:sz w:val="21"/>
                      <w:szCs w:val="21"/>
                    </w:rPr>
                    <w:t>0.030</w:t>
                  </w:r>
                </w:p>
              </w:tc>
              <w:tc>
                <w:tcPr>
                  <w:tcW w:w="1891" w:type="pct"/>
                  <w:gridSpan w:val="2"/>
                  <w:shd w:val="clear" w:color="auto" w:fill="BFBFBF"/>
                  <w:vAlign w:val="center"/>
                </w:tcPr>
                <w:p w14:paraId="67412C60">
                  <w:pPr>
                    <w:adjustRightInd w:val="0"/>
                    <w:snapToGrid w:val="0"/>
                    <w:spacing w:line="240" w:lineRule="auto"/>
                    <w:ind w:firstLine="0" w:firstLineChars="0"/>
                    <w:jc w:val="center"/>
                    <w:rPr>
                      <w:sz w:val="21"/>
                      <w:szCs w:val="21"/>
                    </w:rPr>
                  </w:pPr>
                  <w:r>
                    <w:rPr>
                      <w:sz w:val="21"/>
                      <w:szCs w:val="21"/>
                    </w:rPr>
                    <w:t>0.050</w:t>
                  </w:r>
                </w:p>
              </w:tc>
            </w:tr>
            <w:tr w14:paraId="61910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1869D6C3">
                  <w:pPr>
                    <w:adjustRightInd w:val="0"/>
                    <w:snapToGrid w:val="0"/>
                    <w:spacing w:line="240" w:lineRule="auto"/>
                    <w:ind w:firstLine="0" w:firstLineChars="0"/>
                    <w:jc w:val="center"/>
                    <w:rPr>
                      <w:sz w:val="21"/>
                      <w:szCs w:val="21"/>
                    </w:rPr>
                  </w:pPr>
                  <w:r>
                    <w:rPr>
                      <w:rFonts w:hint="eastAsia"/>
                      <w:sz w:val="21"/>
                      <w:szCs w:val="21"/>
                    </w:rPr>
                    <w:t>铜</w:t>
                  </w:r>
                </w:p>
              </w:tc>
              <w:tc>
                <w:tcPr>
                  <w:tcW w:w="1013" w:type="pct"/>
                  <w:shd w:val="clear" w:color="auto" w:fill="auto"/>
                  <w:vAlign w:val="center"/>
                </w:tcPr>
                <w:p w14:paraId="0D22AC66">
                  <w:pPr>
                    <w:adjustRightInd w:val="0"/>
                    <w:snapToGrid w:val="0"/>
                    <w:spacing w:line="240" w:lineRule="auto"/>
                    <w:ind w:firstLine="0" w:firstLineChars="0"/>
                    <w:jc w:val="center"/>
                    <w:rPr>
                      <w:sz w:val="21"/>
                      <w:szCs w:val="21"/>
                    </w:rPr>
                  </w:pPr>
                  <w:r>
                    <w:rPr>
                      <w:sz w:val="21"/>
                      <w:szCs w:val="21"/>
                    </w:rPr>
                    <w:t>0.005</w:t>
                  </w:r>
                </w:p>
              </w:tc>
              <w:tc>
                <w:tcPr>
                  <w:tcW w:w="946" w:type="pct"/>
                  <w:shd w:val="clear" w:color="auto" w:fill="BFBFBF"/>
                  <w:vAlign w:val="center"/>
                </w:tcPr>
                <w:p w14:paraId="13C95EA4">
                  <w:pPr>
                    <w:adjustRightInd w:val="0"/>
                    <w:snapToGrid w:val="0"/>
                    <w:spacing w:line="240" w:lineRule="auto"/>
                    <w:ind w:firstLine="0" w:firstLineChars="0"/>
                    <w:jc w:val="center"/>
                    <w:rPr>
                      <w:sz w:val="21"/>
                      <w:szCs w:val="21"/>
                    </w:rPr>
                  </w:pPr>
                  <w:r>
                    <w:rPr>
                      <w:sz w:val="21"/>
                      <w:szCs w:val="21"/>
                    </w:rPr>
                    <w:t>0.010</w:t>
                  </w:r>
                </w:p>
              </w:tc>
              <w:tc>
                <w:tcPr>
                  <w:tcW w:w="1891" w:type="pct"/>
                  <w:gridSpan w:val="2"/>
                  <w:shd w:val="clear" w:color="auto" w:fill="BFBFBF"/>
                  <w:vAlign w:val="center"/>
                </w:tcPr>
                <w:p w14:paraId="57B36E75">
                  <w:pPr>
                    <w:adjustRightInd w:val="0"/>
                    <w:snapToGrid w:val="0"/>
                    <w:spacing w:line="240" w:lineRule="auto"/>
                    <w:ind w:firstLine="0" w:firstLineChars="0"/>
                    <w:jc w:val="center"/>
                    <w:rPr>
                      <w:sz w:val="21"/>
                      <w:szCs w:val="21"/>
                    </w:rPr>
                  </w:pPr>
                  <w:r>
                    <w:rPr>
                      <w:sz w:val="21"/>
                      <w:szCs w:val="21"/>
                    </w:rPr>
                    <w:t>0.050</w:t>
                  </w:r>
                </w:p>
              </w:tc>
            </w:tr>
            <w:tr w14:paraId="0D981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6E482A60">
                  <w:pPr>
                    <w:adjustRightInd w:val="0"/>
                    <w:snapToGrid w:val="0"/>
                    <w:spacing w:line="240" w:lineRule="auto"/>
                    <w:ind w:firstLine="0" w:firstLineChars="0"/>
                    <w:jc w:val="center"/>
                    <w:rPr>
                      <w:sz w:val="21"/>
                      <w:szCs w:val="21"/>
                    </w:rPr>
                  </w:pPr>
                  <w:r>
                    <w:rPr>
                      <w:rFonts w:hint="eastAsia"/>
                      <w:sz w:val="21"/>
                      <w:szCs w:val="21"/>
                    </w:rPr>
                    <w:t>锌</w:t>
                  </w:r>
                </w:p>
              </w:tc>
              <w:tc>
                <w:tcPr>
                  <w:tcW w:w="1013" w:type="pct"/>
                  <w:shd w:val="clear" w:color="auto" w:fill="auto"/>
                  <w:vAlign w:val="center"/>
                </w:tcPr>
                <w:p w14:paraId="2FA96438">
                  <w:pPr>
                    <w:adjustRightInd w:val="0"/>
                    <w:snapToGrid w:val="0"/>
                    <w:spacing w:line="240" w:lineRule="auto"/>
                    <w:ind w:firstLine="0" w:firstLineChars="0"/>
                    <w:jc w:val="center"/>
                    <w:rPr>
                      <w:sz w:val="21"/>
                      <w:szCs w:val="21"/>
                    </w:rPr>
                  </w:pPr>
                  <w:r>
                    <w:rPr>
                      <w:sz w:val="21"/>
                      <w:szCs w:val="21"/>
                    </w:rPr>
                    <w:t>0.020</w:t>
                  </w:r>
                </w:p>
              </w:tc>
              <w:tc>
                <w:tcPr>
                  <w:tcW w:w="946" w:type="pct"/>
                  <w:shd w:val="clear" w:color="auto" w:fill="BFBFBF"/>
                  <w:vAlign w:val="center"/>
                </w:tcPr>
                <w:p w14:paraId="3501A530">
                  <w:pPr>
                    <w:adjustRightInd w:val="0"/>
                    <w:snapToGrid w:val="0"/>
                    <w:spacing w:line="240" w:lineRule="auto"/>
                    <w:ind w:firstLine="0" w:firstLineChars="0"/>
                    <w:jc w:val="center"/>
                    <w:rPr>
                      <w:sz w:val="21"/>
                      <w:szCs w:val="21"/>
                    </w:rPr>
                  </w:pPr>
                  <w:r>
                    <w:rPr>
                      <w:sz w:val="21"/>
                      <w:szCs w:val="21"/>
                    </w:rPr>
                    <w:t>0.050</w:t>
                  </w:r>
                </w:p>
              </w:tc>
              <w:tc>
                <w:tcPr>
                  <w:tcW w:w="946" w:type="pct"/>
                  <w:shd w:val="clear" w:color="auto" w:fill="BFBFBF"/>
                  <w:vAlign w:val="center"/>
                </w:tcPr>
                <w:p w14:paraId="3ED90A4B">
                  <w:pPr>
                    <w:adjustRightInd w:val="0"/>
                    <w:snapToGrid w:val="0"/>
                    <w:spacing w:line="240" w:lineRule="auto"/>
                    <w:ind w:firstLine="0" w:firstLineChars="0"/>
                    <w:jc w:val="center"/>
                    <w:rPr>
                      <w:sz w:val="21"/>
                      <w:szCs w:val="21"/>
                    </w:rPr>
                  </w:pPr>
                  <w:r>
                    <w:rPr>
                      <w:sz w:val="21"/>
                      <w:szCs w:val="21"/>
                    </w:rPr>
                    <w:t>0.10</w:t>
                  </w:r>
                </w:p>
              </w:tc>
              <w:tc>
                <w:tcPr>
                  <w:tcW w:w="946" w:type="pct"/>
                  <w:vAlign w:val="center"/>
                </w:tcPr>
                <w:p w14:paraId="4FC78668">
                  <w:pPr>
                    <w:adjustRightInd w:val="0"/>
                    <w:snapToGrid w:val="0"/>
                    <w:spacing w:line="240" w:lineRule="auto"/>
                    <w:ind w:firstLine="0" w:firstLineChars="0"/>
                    <w:jc w:val="center"/>
                    <w:rPr>
                      <w:sz w:val="21"/>
                      <w:szCs w:val="21"/>
                    </w:rPr>
                  </w:pPr>
                  <w:r>
                    <w:rPr>
                      <w:sz w:val="21"/>
                      <w:szCs w:val="21"/>
                    </w:rPr>
                    <w:t>0.50</w:t>
                  </w:r>
                </w:p>
              </w:tc>
            </w:tr>
            <w:tr w14:paraId="5B385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49" w:type="pct"/>
                  <w:shd w:val="clear" w:color="auto" w:fill="auto"/>
                </w:tcPr>
                <w:p w14:paraId="1671AD5D">
                  <w:pPr>
                    <w:adjustRightInd w:val="0"/>
                    <w:snapToGrid w:val="0"/>
                    <w:spacing w:line="240" w:lineRule="auto"/>
                    <w:ind w:firstLine="0" w:firstLineChars="0"/>
                    <w:jc w:val="center"/>
                    <w:rPr>
                      <w:sz w:val="21"/>
                      <w:szCs w:val="21"/>
                    </w:rPr>
                  </w:pPr>
                  <w:r>
                    <w:rPr>
                      <w:rFonts w:hint="eastAsia"/>
                      <w:sz w:val="21"/>
                      <w:szCs w:val="21"/>
                    </w:rPr>
                    <w:t>镍</w:t>
                  </w:r>
                </w:p>
              </w:tc>
              <w:tc>
                <w:tcPr>
                  <w:tcW w:w="1013" w:type="pct"/>
                  <w:shd w:val="clear" w:color="auto" w:fill="auto"/>
                  <w:vAlign w:val="center"/>
                </w:tcPr>
                <w:p w14:paraId="1DFAE33A">
                  <w:pPr>
                    <w:adjustRightInd w:val="0"/>
                    <w:snapToGrid w:val="0"/>
                    <w:spacing w:line="240" w:lineRule="auto"/>
                    <w:ind w:firstLine="0" w:firstLineChars="0"/>
                    <w:jc w:val="center"/>
                    <w:rPr>
                      <w:sz w:val="21"/>
                      <w:szCs w:val="21"/>
                    </w:rPr>
                  </w:pPr>
                  <w:r>
                    <w:rPr>
                      <w:sz w:val="21"/>
                      <w:szCs w:val="21"/>
                    </w:rPr>
                    <w:t>0.005</w:t>
                  </w:r>
                </w:p>
              </w:tc>
              <w:tc>
                <w:tcPr>
                  <w:tcW w:w="946" w:type="pct"/>
                  <w:shd w:val="clear" w:color="auto" w:fill="BFBFBF"/>
                  <w:vAlign w:val="center"/>
                </w:tcPr>
                <w:p w14:paraId="2119E2CD">
                  <w:pPr>
                    <w:adjustRightInd w:val="0"/>
                    <w:snapToGrid w:val="0"/>
                    <w:spacing w:line="240" w:lineRule="auto"/>
                    <w:ind w:firstLine="0" w:firstLineChars="0"/>
                    <w:jc w:val="center"/>
                    <w:rPr>
                      <w:sz w:val="21"/>
                      <w:szCs w:val="21"/>
                    </w:rPr>
                  </w:pPr>
                  <w:r>
                    <w:rPr>
                      <w:sz w:val="21"/>
                      <w:szCs w:val="21"/>
                    </w:rPr>
                    <w:t>0.010</w:t>
                  </w:r>
                </w:p>
              </w:tc>
              <w:tc>
                <w:tcPr>
                  <w:tcW w:w="946" w:type="pct"/>
                  <w:shd w:val="clear" w:color="auto" w:fill="BFBFBF"/>
                  <w:vAlign w:val="center"/>
                </w:tcPr>
                <w:p w14:paraId="176136B8">
                  <w:pPr>
                    <w:adjustRightInd w:val="0"/>
                    <w:snapToGrid w:val="0"/>
                    <w:spacing w:line="240" w:lineRule="auto"/>
                    <w:ind w:firstLine="0" w:firstLineChars="0"/>
                    <w:jc w:val="center"/>
                    <w:rPr>
                      <w:sz w:val="21"/>
                      <w:szCs w:val="21"/>
                    </w:rPr>
                  </w:pPr>
                  <w:r>
                    <w:rPr>
                      <w:sz w:val="21"/>
                      <w:szCs w:val="21"/>
                    </w:rPr>
                    <w:t>0.020</w:t>
                  </w:r>
                </w:p>
              </w:tc>
              <w:tc>
                <w:tcPr>
                  <w:tcW w:w="946" w:type="pct"/>
                  <w:vAlign w:val="center"/>
                </w:tcPr>
                <w:p w14:paraId="60C02F32">
                  <w:pPr>
                    <w:adjustRightInd w:val="0"/>
                    <w:snapToGrid w:val="0"/>
                    <w:spacing w:line="240" w:lineRule="auto"/>
                    <w:ind w:firstLine="0" w:firstLineChars="0"/>
                    <w:jc w:val="center"/>
                    <w:rPr>
                      <w:sz w:val="21"/>
                      <w:szCs w:val="21"/>
                    </w:rPr>
                  </w:pPr>
                  <w:r>
                    <w:rPr>
                      <w:sz w:val="21"/>
                      <w:szCs w:val="21"/>
                    </w:rPr>
                    <w:t>0.050</w:t>
                  </w:r>
                </w:p>
              </w:tc>
            </w:tr>
          </w:tbl>
          <w:p w14:paraId="0EA7CAD6">
            <w:pPr>
              <w:adjustRightInd w:val="0"/>
              <w:snapToGrid w:val="0"/>
              <w:ind w:firstLine="0" w:firstLineChars="0"/>
              <w:outlineLvl w:val="2"/>
              <w:rPr>
                <w:b/>
              </w:rPr>
            </w:pPr>
            <w:r>
              <w:rPr>
                <w:b/>
                <w:bCs/>
              </w:rPr>
              <w:t>3.1.</w:t>
            </w:r>
            <w:r>
              <w:rPr>
                <w:rFonts w:hint="eastAsia"/>
                <w:b/>
                <w:bCs/>
              </w:rPr>
              <w:t>3</w:t>
            </w:r>
            <w:r>
              <w:rPr>
                <w:rFonts w:hint="eastAsia"/>
                <w:b/>
              </w:rPr>
              <w:t>地下水环境</w:t>
            </w:r>
          </w:p>
          <w:p w14:paraId="6AE71034">
            <w:pPr>
              <w:ind w:firstLine="480"/>
              <w:rPr>
                <w:szCs w:val="22"/>
              </w:rPr>
            </w:pPr>
            <w:r>
              <w:rPr>
                <w:rFonts w:hint="eastAsia"/>
                <w:szCs w:val="22"/>
              </w:rPr>
              <w:t>项目所在区域地下水执行《地下水质量标准》（</w:t>
            </w:r>
            <w:r>
              <w:rPr>
                <w:szCs w:val="22"/>
              </w:rPr>
              <w:t>GB/T14848-2017</w:t>
            </w:r>
            <w:r>
              <w:rPr>
                <w:rFonts w:hint="eastAsia"/>
                <w:szCs w:val="22"/>
              </w:rPr>
              <w:t>）中</w:t>
            </w:r>
            <w:r>
              <w:rPr>
                <w:szCs w:val="22"/>
              </w:rPr>
              <w:t>IV</w:t>
            </w:r>
            <w:r>
              <w:rPr>
                <w:rFonts w:hint="eastAsia"/>
                <w:szCs w:val="22"/>
              </w:rPr>
              <w:t>类标准。</w:t>
            </w:r>
          </w:p>
          <w:p w14:paraId="038CBC05">
            <w:pPr>
              <w:spacing w:line="240" w:lineRule="auto"/>
              <w:ind w:firstLine="0" w:firstLineChars="0"/>
              <w:jc w:val="center"/>
              <w:rPr>
                <w:b/>
                <w:szCs w:val="20"/>
              </w:rPr>
            </w:pPr>
            <w:r>
              <w:rPr>
                <w:rFonts w:hint="eastAsia"/>
                <w:b/>
                <w:szCs w:val="20"/>
              </w:rPr>
              <w:t>表3.1-3地下水质量标准（摘录）</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3"/>
              <w:gridCol w:w="2919"/>
              <w:gridCol w:w="1027"/>
              <w:gridCol w:w="1027"/>
              <w:gridCol w:w="1027"/>
              <w:gridCol w:w="1115"/>
              <w:gridCol w:w="1027"/>
            </w:tblGrid>
            <w:tr w14:paraId="477F6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1BC51938">
                  <w:pPr>
                    <w:adjustRightInd w:val="0"/>
                    <w:snapToGrid w:val="0"/>
                    <w:spacing w:line="240" w:lineRule="auto"/>
                    <w:ind w:firstLine="0" w:firstLineChars="0"/>
                    <w:jc w:val="center"/>
                    <w:rPr>
                      <w:sz w:val="21"/>
                      <w:szCs w:val="21"/>
                    </w:rPr>
                  </w:pPr>
                  <w:r>
                    <w:rPr>
                      <w:sz w:val="21"/>
                      <w:szCs w:val="21"/>
                    </w:rPr>
                    <w:t>序号</w:t>
                  </w:r>
                </w:p>
              </w:tc>
              <w:tc>
                <w:tcPr>
                  <w:tcW w:w="1688" w:type="pct"/>
                  <w:shd w:val="clear" w:color="auto" w:fill="auto"/>
                  <w:vAlign w:val="center"/>
                </w:tcPr>
                <w:p w14:paraId="27C2309D">
                  <w:pPr>
                    <w:adjustRightInd w:val="0"/>
                    <w:snapToGrid w:val="0"/>
                    <w:spacing w:line="240" w:lineRule="auto"/>
                    <w:ind w:firstLine="0" w:firstLineChars="0"/>
                    <w:jc w:val="center"/>
                    <w:rPr>
                      <w:sz w:val="21"/>
                      <w:szCs w:val="21"/>
                    </w:rPr>
                  </w:pPr>
                  <w:r>
                    <w:rPr>
                      <w:sz w:val="21"/>
                      <w:szCs w:val="21"/>
                    </w:rPr>
                    <w:t>项目</w:t>
                  </w:r>
                </w:p>
              </w:tc>
              <w:tc>
                <w:tcPr>
                  <w:tcW w:w="594" w:type="pct"/>
                  <w:shd w:val="clear" w:color="auto" w:fill="auto"/>
                  <w:vAlign w:val="center"/>
                </w:tcPr>
                <w:p w14:paraId="0CBEF93D">
                  <w:pPr>
                    <w:adjustRightInd w:val="0"/>
                    <w:snapToGrid w:val="0"/>
                    <w:spacing w:line="240" w:lineRule="auto"/>
                    <w:ind w:firstLine="0" w:firstLineChars="0"/>
                    <w:jc w:val="center"/>
                    <w:rPr>
                      <w:sz w:val="21"/>
                      <w:szCs w:val="21"/>
                    </w:rPr>
                  </w:pPr>
                  <w:r>
                    <w:rPr>
                      <w:sz w:val="21"/>
                      <w:szCs w:val="21"/>
                    </w:rPr>
                    <w:t>I类</w:t>
                  </w:r>
                </w:p>
              </w:tc>
              <w:tc>
                <w:tcPr>
                  <w:tcW w:w="594" w:type="pct"/>
                  <w:shd w:val="clear" w:color="auto" w:fill="auto"/>
                  <w:vAlign w:val="center"/>
                </w:tcPr>
                <w:p w14:paraId="1259043D">
                  <w:pPr>
                    <w:adjustRightInd w:val="0"/>
                    <w:snapToGrid w:val="0"/>
                    <w:spacing w:line="240" w:lineRule="auto"/>
                    <w:ind w:firstLine="0" w:firstLineChars="0"/>
                    <w:jc w:val="center"/>
                    <w:rPr>
                      <w:sz w:val="21"/>
                      <w:szCs w:val="21"/>
                    </w:rPr>
                  </w:pPr>
                  <w:r>
                    <w:rPr>
                      <w:sz w:val="21"/>
                      <w:szCs w:val="21"/>
                    </w:rPr>
                    <w:t>II类</w:t>
                  </w:r>
                </w:p>
              </w:tc>
              <w:tc>
                <w:tcPr>
                  <w:tcW w:w="594" w:type="pct"/>
                  <w:shd w:val="clear" w:color="auto" w:fill="auto"/>
                  <w:vAlign w:val="center"/>
                </w:tcPr>
                <w:p w14:paraId="5F88C893">
                  <w:pPr>
                    <w:adjustRightInd w:val="0"/>
                    <w:snapToGrid w:val="0"/>
                    <w:spacing w:line="240" w:lineRule="auto"/>
                    <w:ind w:firstLine="0" w:firstLineChars="0"/>
                    <w:jc w:val="center"/>
                    <w:rPr>
                      <w:sz w:val="21"/>
                      <w:szCs w:val="21"/>
                    </w:rPr>
                  </w:pPr>
                  <w:r>
                    <w:rPr>
                      <w:rFonts w:hint="eastAsia"/>
                      <w:sz w:val="21"/>
                      <w:szCs w:val="21"/>
                    </w:rPr>
                    <w:t>Ⅲ</w:t>
                  </w:r>
                  <w:r>
                    <w:rPr>
                      <w:sz w:val="21"/>
                      <w:szCs w:val="21"/>
                    </w:rPr>
                    <w:t>类</w:t>
                  </w:r>
                </w:p>
              </w:tc>
              <w:tc>
                <w:tcPr>
                  <w:tcW w:w="645" w:type="pct"/>
                  <w:tcBorders>
                    <w:top w:val="single" w:color="auto" w:sz="12" w:space="0"/>
                    <w:bottom w:val="single" w:color="auto" w:sz="4" w:space="0"/>
                  </w:tcBorders>
                  <w:shd w:val="clear" w:color="auto" w:fill="A6A6A6"/>
                  <w:vAlign w:val="center"/>
                </w:tcPr>
                <w:p w14:paraId="0592626C">
                  <w:pPr>
                    <w:adjustRightInd w:val="0"/>
                    <w:snapToGrid w:val="0"/>
                    <w:spacing w:line="240" w:lineRule="auto"/>
                    <w:ind w:firstLine="0" w:firstLineChars="0"/>
                    <w:jc w:val="center"/>
                    <w:rPr>
                      <w:sz w:val="21"/>
                      <w:szCs w:val="21"/>
                    </w:rPr>
                  </w:pPr>
                  <w:r>
                    <w:rPr>
                      <w:sz w:val="21"/>
                      <w:szCs w:val="21"/>
                    </w:rPr>
                    <w:t>IV类</w:t>
                  </w:r>
                </w:p>
              </w:tc>
              <w:tc>
                <w:tcPr>
                  <w:tcW w:w="595" w:type="pct"/>
                  <w:vAlign w:val="center"/>
                </w:tcPr>
                <w:p w14:paraId="0641FC09">
                  <w:pPr>
                    <w:adjustRightInd w:val="0"/>
                    <w:snapToGrid w:val="0"/>
                    <w:spacing w:line="240" w:lineRule="auto"/>
                    <w:ind w:firstLine="0" w:firstLineChars="0"/>
                    <w:jc w:val="center"/>
                    <w:rPr>
                      <w:sz w:val="21"/>
                      <w:szCs w:val="21"/>
                    </w:rPr>
                  </w:pPr>
                  <w:r>
                    <w:rPr>
                      <w:sz w:val="21"/>
                      <w:szCs w:val="21"/>
                    </w:rPr>
                    <w:t>V类</w:t>
                  </w:r>
                </w:p>
              </w:tc>
            </w:tr>
            <w:tr w14:paraId="50AAF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2664C031">
                  <w:pPr>
                    <w:adjustRightInd w:val="0"/>
                    <w:snapToGrid w:val="0"/>
                    <w:spacing w:line="240" w:lineRule="auto"/>
                    <w:ind w:firstLine="0" w:firstLineChars="0"/>
                    <w:jc w:val="center"/>
                    <w:rPr>
                      <w:sz w:val="21"/>
                      <w:szCs w:val="21"/>
                    </w:rPr>
                  </w:pPr>
                  <w:r>
                    <w:rPr>
                      <w:sz w:val="21"/>
                      <w:szCs w:val="21"/>
                    </w:rPr>
                    <w:t>1</w:t>
                  </w:r>
                </w:p>
              </w:tc>
              <w:tc>
                <w:tcPr>
                  <w:tcW w:w="1688" w:type="pct"/>
                  <w:shd w:val="clear" w:color="auto" w:fill="auto"/>
                  <w:vAlign w:val="center"/>
                </w:tcPr>
                <w:p w14:paraId="0B13FB2C">
                  <w:pPr>
                    <w:adjustRightInd w:val="0"/>
                    <w:snapToGrid w:val="0"/>
                    <w:spacing w:line="240" w:lineRule="auto"/>
                    <w:ind w:firstLine="0" w:firstLineChars="0"/>
                    <w:jc w:val="center"/>
                    <w:rPr>
                      <w:sz w:val="21"/>
                      <w:szCs w:val="21"/>
                    </w:rPr>
                  </w:pPr>
                  <w:r>
                    <w:rPr>
                      <w:sz w:val="21"/>
                      <w:szCs w:val="21"/>
                    </w:rPr>
                    <w:t>pH</w:t>
                  </w:r>
                </w:p>
              </w:tc>
              <w:tc>
                <w:tcPr>
                  <w:tcW w:w="1782" w:type="pct"/>
                  <w:gridSpan w:val="3"/>
                  <w:shd w:val="clear" w:color="auto" w:fill="auto"/>
                  <w:vAlign w:val="center"/>
                </w:tcPr>
                <w:p w14:paraId="1949CB54">
                  <w:pPr>
                    <w:adjustRightInd w:val="0"/>
                    <w:snapToGrid w:val="0"/>
                    <w:spacing w:line="240" w:lineRule="auto"/>
                    <w:ind w:firstLine="0" w:firstLineChars="0"/>
                    <w:jc w:val="center"/>
                    <w:rPr>
                      <w:sz w:val="21"/>
                      <w:szCs w:val="21"/>
                    </w:rPr>
                  </w:pPr>
                  <w:r>
                    <w:rPr>
                      <w:sz w:val="21"/>
                      <w:szCs w:val="21"/>
                    </w:rPr>
                    <w:t>6.5≤pH≤8.5</w:t>
                  </w:r>
                </w:p>
              </w:tc>
              <w:tc>
                <w:tcPr>
                  <w:tcW w:w="645" w:type="pct"/>
                  <w:tcBorders>
                    <w:top w:val="single" w:color="auto" w:sz="4" w:space="0"/>
                    <w:bottom w:val="single" w:color="auto" w:sz="4" w:space="0"/>
                  </w:tcBorders>
                  <w:shd w:val="clear" w:color="auto" w:fill="A6A6A6"/>
                  <w:vAlign w:val="center"/>
                </w:tcPr>
                <w:p w14:paraId="221022AC">
                  <w:pPr>
                    <w:adjustRightInd w:val="0"/>
                    <w:snapToGrid w:val="0"/>
                    <w:spacing w:line="240" w:lineRule="auto"/>
                    <w:ind w:firstLine="0" w:firstLineChars="0"/>
                    <w:jc w:val="center"/>
                    <w:rPr>
                      <w:sz w:val="21"/>
                      <w:szCs w:val="21"/>
                    </w:rPr>
                  </w:pPr>
                  <w:r>
                    <w:rPr>
                      <w:sz w:val="21"/>
                      <w:szCs w:val="21"/>
                    </w:rPr>
                    <w:t>5.5≤pH&lt;6.5</w:t>
                  </w:r>
                </w:p>
                <w:p w14:paraId="1477298E">
                  <w:pPr>
                    <w:adjustRightInd w:val="0"/>
                    <w:snapToGrid w:val="0"/>
                    <w:spacing w:line="240" w:lineRule="auto"/>
                    <w:ind w:firstLine="0" w:firstLineChars="0"/>
                    <w:jc w:val="center"/>
                    <w:rPr>
                      <w:sz w:val="21"/>
                      <w:szCs w:val="21"/>
                    </w:rPr>
                  </w:pPr>
                  <w:r>
                    <w:rPr>
                      <w:sz w:val="21"/>
                      <w:szCs w:val="21"/>
                    </w:rPr>
                    <w:t>8.5&lt;pH≤9.0</w:t>
                  </w:r>
                </w:p>
              </w:tc>
              <w:tc>
                <w:tcPr>
                  <w:tcW w:w="595" w:type="pct"/>
                  <w:vAlign w:val="center"/>
                </w:tcPr>
                <w:p w14:paraId="67209C6D">
                  <w:pPr>
                    <w:adjustRightInd w:val="0"/>
                    <w:snapToGrid w:val="0"/>
                    <w:spacing w:line="240" w:lineRule="auto"/>
                    <w:ind w:firstLine="0" w:firstLineChars="0"/>
                    <w:jc w:val="center"/>
                    <w:rPr>
                      <w:sz w:val="21"/>
                      <w:szCs w:val="21"/>
                    </w:rPr>
                  </w:pPr>
                  <w:r>
                    <w:rPr>
                      <w:sz w:val="21"/>
                      <w:szCs w:val="21"/>
                    </w:rPr>
                    <w:t>pH&lt;6.5或pH&gt;9.0</w:t>
                  </w:r>
                </w:p>
              </w:tc>
            </w:tr>
            <w:tr w14:paraId="3161F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291" w:type="pct"/>
                  <w:shd w:val="clear" w:color="auto" w:fill="auto"/>
                  <w:vAlign w:val="center"/>
                </w:tcPr>
                <w:p w14:paraId="628DB6AB">
                  <w:pPr>
                    <w:adjustRightInd w:val="0"/>
                    <w:snapToGrid w:val="0"/>
                    <w:spacing w:line="240" w:lineRule="auto"/>
                    <w:ind w:firstLine="0" w:firstLineChars="0"/>
                    <w:jc w:val="center"/>
                    <w:rPr>
                      <w:sz w:val="21"/>
                      <w:szCs w:val="21"/>
                    </w:rPr>
                  </w:pPr>
                  <w:r>
                    <w:rPr>
                      <w:sz w:val="21"/>
                      <w:szCs w:val="21"/>
                    </w:rPr>
                    <w:t>2</w:t>
                  </w:r>
                </w:p>
              </w:tc>
              <w:tc>
                <w:tcPr>
                  <w:tcW w:w="1688" w:type="pct"/>
                  <w:shd w:val="clear" w:color="auto" w:fill="auto"/>
                  <w:vAlign w:val="center"/>
                </w:tcPr>
                <w:p w14:paraId="4F5A52C4">
                  <w:pPr>
                    <w:adjustRightInd w:val="0"/>
                    <w:snapToGrid w:val="0"/>
                    <w:spacing w:line="240" w:lineRule="auto"/>
                    <w:ind w:firstLine="0" w:firstLineChars="0"/>
                    <w:jc w:val="center"/>
                    <w:rPr>
                      <w:sz w:val="21"/>
                      <w:szCs w:val="21"/>
                    </w:rPr>
                  </w:pPr>
                  <w:r>
                    <w:rPr>
                      <w:rFonts w:hint="eastAsia"/>
                      <w:sz w:val="21"/>
                      <w:szCs w:val="21"/>
                    </w:rPr>
                    <w:t>色（铂钴色度单位）</w:t>
                  </w:r>
                </w:p>
              </w:tc>
              <w:tc>
                <w:tcPr>
                  <w:tcW w:w="594" w:type="pct"/>
                  <w:shd w:val="clear" w:color="auto" w:fill="auto"/>
                  <w:vAlign w:val="center"/>
                </w:tcPr>
                <w:p w14:paraId="49ACE303">
                  <w:pPr>
                    <w:adjustRightInd w:val="0"/>
                    <w:snapToGrid w:val="0"/>
                    <w:spacing w:line="240" w:lineRule="auto"/>
                    <w:ind w:firstLine="0" w:firstLineChars="0"/>
                    <w:jc w:val="center"/>
                    <w:rPr>
                      <w:sz w:val="21"/>
                      <w:szCs w:val="21"/>
                    </w:rPr>
                  </w:pPr>
                  <w:r>
                    <w:rPr>
                      <w:sz w:val="21"/>
                      <w:szCs w:val="21"/>
                    </w:rPr>
                    <w:t>≤</w:t>
                  </w:r>
                  <w:r>
                    <w:rPr>
                      <w:rFonts w:hint="eastAsia"/>
                      <w:sz w:val="21"/>
                      <w:szCs w:val="21"/>
                    </w:rPr>
                    <w:t>5</w:t>
                  </w:r>
                </w:p>
              </w:tc>
              <w:tc>
                <w:tcPr>
                  <w:tcW w:w="594" w:type="pct"/>
                  <w:shd w:val="clear" w:color="auto" w:fill="auto"/>
                  <w:vAlign w:val="center"/>
                </w:tcPr>
                <w:p w14:paraId="6876751A">
                  <w:pPr>
                    <w:adjustRightInd w:val="0"/>
                    <w:snapToGrid w:val="0"/>
                    <w:spacing w:line="240" w:lineRule="auto"/>
                    <w:ind w:firstLine="0" w:firstLineChars="0"/>
                    <w:jc w:val="center"/>
                    <w:rPr>
                      <w:sz w:val="21"/>
                      <w:szCs w:val="21"/>
                    </w:rPr>
                  </w:pPr>
                  <w:r>
                    <w:rPr>
                      <w:sz w:val="21"/>
                      <w:szCs w:val="21"/>
                    </w:rPr>
                    <w:t>≤</w:t>
                  </w:r>
                  <w:r>
                    <w:rPr>
                      <w:rFonts w:hint="eastAsia"/>
                      <w:sz w:val="21"/>
                      <w:szCs w:val="21"/>
                    </w:rPr>
                    <w:t>5</w:t>
                  </w:r>
                </w:p>
              </w:tc>
              <w:tc>
                <w:tcPr>
                  <w:tcW w:w="594" w:type="pct"/>
                  <w:shd w:val="clear" w:color="auto" w:fill="auto"/>
                  <w:vAlign w:val="center"/>
                </w:tcPr>
                <w:p w14:paraId="3E61F4A0">
                  <w:pPr>
                    <w:adjustRightInd w:val="0"/>
                    <w:snapToGrid w:val="0"/>
                    <w:spacing w:line="240" w:lineRule="auto"/>
                    <w:ind w:firstLine="0" w:firstLineChars="0"/>
                    <w:jc w:val="center"/>
                    <w:rPr>
                      <w:sz w:val="21"/>
                      <w:szCs w:val="21"/>
                    </w:rPr>
                  </w:pPr>
                  <w:r>
                    <w:rPr>
                      <w:sz w:val="21"/>
                      <w:szCs w:val="21"/>
                    </w:rPr>
                    <w:t>≤15</w:t>
                  </w:r>
                </w:p>
              </w:tc>
              <w:tc>
                <w:tcPr>
                  <w:tcW w:w="645" w:type="pct"/>
                  <w:tcBorders>
                    <w:top w:val="single" w:color="auto" w:sz="4" w:space="0"/>
                    <w:bottom w:val="single" w:color="auto" w:sz="4" w:space="0"/>
                  </w:tcBorders>
                  <w:shd w:val="clear" w:color="auto" w:fill="A6A6A6"/>
                  <w:vAlign w:val="center"/>
                </w:tcPr>
                <w:p w14:paraId="28D838C0">
                  <w:pPr>
                    <w:adjustRightInd w:val="0"/>
                    <w:snapToGrid w:val="0"/>
                    <w:spacing w:line="240" w:lineRule="auto"/>
                    <w:ind w:firstLine="0" w:firstLineChars="0"/>
                    <w:jc w:val="center"/>
                    <w:rPr>
                      <w:sz w:val="21"/>
                      <w:szCs w:val="21"/>
                    </w:rPr>
                  </w:pPr>
                  <w:r>
                    <w:rPr>
                      <w:sz w:val="21"/>
                      <w:szCs w:val="21"/>
                    </w:rPr>
                    <w:t>≤</w:t>
                  </w:r>
                  <w:r>
                    <w:rPr>
                      <w:rFonts w:hint="eastAsia"/>
                      <w:sz w:val="21"/>
                      <w:szCs w:val="21"/>
                    </w:rPr>
                    <w:t>25</w:t>
                  </w:r>
                </w:p>
              </w:tc>
              <w:tc>
                <w:tcPr>
                  <w:tcW w:w="595" w:type="pct"/>
                  <w:vAlign w:val="center"/>
                </w:tcPr>
                <w:p w14:paraId="17F3585B">
                  <w:pPr>
                    <w:adjustRightInd w:val="0"/>
                    <w:snapToGrid w:val="0"/>
                    <w:spacing w:line="240" w:lineRule="auto"/>
                    <w:ind w:firstLine="0" w:firstLineChars="0"/>
                    <w:jc w:val="center"/>
                    <w:rPr>
                      <w:sz w:val="21"/>
                      <w:szCs w:val="21"/>
                    </w:rPr>
                  </w:pPr>
                  <w:r>
                    <w:rPr>
                      <w:sz w:val="21"/>
                      <w:szCs w:val="21"/>
                    </w:rPr>
                    <w:t>&gt;</w:t>
                  </w:r>
                  <w:r>
                    <w:rPr>
                      <w:rFonts w:hint="eastAsia"/>
                      <w:sz w:val="21"/>
                      <w:szCs w:val="21"/>
                    </w:rPr>
                    <w:t>25</w:t>
                  </w:r>
                </w:p>
              </w:tc>
            </w:tr>
            <w:tr w14:paraId="16929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E22689A">
                  <w:pPr>
                    <w:adjustRightInd w:val="0"/>
                    <w:snapToGrid w:val="0"/>
                    <w:spacing w:line="240" w:lineRule="auto"/>
                    <w:ind w:firstLine="0" w:firstLineChars="0"/>
                    <w:jc w:val="center"/>
                    <w:rPr>
                      <w:sz w:val="21"/>
                      <w:szCs w:val="21"/>
                    </w:rPr>
                  </w:pPr>
                  <w:r>
                    <w:rPr>
                      <w:sz w:val="21"/>
                      <w:szCs w:val="21"/>
                    </w:rPr>
                    <w:t>3</w:t>
                  </w:r>
                </w:p>
              </w:tc>
              <w:tc>
                <w:tcPr>
                  <w:tcW w:w="1688" w:type="pct"/>
                  <w:shd w:val="clear" w:color="auto" w:fill="auto"/>
                  <w:vAlign w:val="center"/>
                </w:tcPr>
                <w:p w14:paraId="32B70136">
                  <w:pPr>
                    <w:adjustRightInd w:val="0"/>
                    <w:snapToGrid w:val="0"/>
                    <w:spacing w:line="240" w:lineRule="auto"/>
                    <w:ind w:firstLine="0" w:firstLineChars="0"/>
                    <w:jc w:val="center"/>
                    <w:rPr>
                      <w:sz w:val="21"/>
                      <w:szCs w:val="21"/>
                    </w:rPr>
                  </w:pPr>
                  <w:r>
                    <w:rPr>
                      <w:sz w:val="21"/>
                      <w:szCs w:val="21"/>
                    </w:rPr>
                    <w:t>总硬度（以CaCO</w:t>
                  </w:r>
                  <w:r>
                    <w:rPr>
                      <w:sz w:val="21"/>
                      <w:szCs w:val="21"/>
                      <w:vertAlign w:val="subscript"/>
                    </w:rPr>
                    <w:t>3</w:t>
                  </w:r>
                  <w:r>
                    <w:rPr>
                      <w:sz w:val="21"/>
                      <w:szCs w:val="21"/>
                    </w:rPr>
                    <w:t>计）/（mg/L）</w:t>
                  </w:r>
                </w:p>
              </w:tc>
              <w:tc>
                <w:tcPr>
                  <w:tcW w:w="594" w:type="pct"/>
                  <w:shd w:val="clear" w:color="auto" w:fill="auto"/>
                  <w:vAlign w:val="center"/>
                </w:tcPr>
                <w:p w14:paraId="589526FE">
                  <w:pPr>
                    <w:adjustRightInd w:val="0"/>
                    <w:snapToGrid w:val="0"/>
                    <w:spacing w:line="240" w:lineRule="auto"/>
                    <w:ind w:firstLine="0" w:firstLineChars="0"/>
                    <w:jc w:val="center"/>
                    <w:rPr>
                      <w:sz w:val="21"/>
                      <w:szCs w:val="21"/>
                    </w:rPr>
                  </w:pPr>
                  <w:r>
                    <w:rPr>
                      <w:sz w:val="21"/>
                      <w:szCs w:val="21"/>
                    </w:rPr>
                    <w:t>≤150</w:t>
                  </w:r>
                </w:p>
              </w:tc>
              <w:tc>
                <w:tcPr>
                  <w:tcW w:w="594" w:type="pct"/>
                  <w:shd w:val="clear" w:color="auto" w:fill="auto"/>
                  <w:vAlign w:val="center"/>
                </w:tcPr>
                <w:p w14:paraId="3B4F6885">
                  <w:pPr>
                    <w:adjustRightInd w:val="0"/>
                    <w:snapToGrid w:val="0"/>
                    <w:spacing w:line="240" w:lineRule="auto"/>
                    <w:ind w:firstLine="0" w:firstLineChars="0"/>
                    <w:jc w:val="center"/>
                    <w:rPr>
                      <w:sz w:val="21"/>
                      <w:szCs w:val="21"/>
                    </w:rPr>
                  </w:pPr>
                  <w:r>
                    <w:rPr>
                      <w:sz w:val="21"/>
                      <w:szCs w:val="21"/>
                    </w:rPr>
                    <w:t>≤300</w:t>
                  </w:r>
                </w:p>
              </w:tc>
              <w:tc>
                <w:tcPr>
                  <w:tcW w:w="594" w:type="pct"/>
                  <w:shd w:val="clear" w:color="auto" w:fill="auto"/>
                  <w:vAlign w:val="center"/>
                </w:tcPr>
                <w:p w14:paraId="5F0AF517">
                  <w:pPr>
                    <w:adjustRightInd w:val="0"/>
                    <w:snapToGrid w:val="0"/>
                    <w:spacing w:line="240" w:lineRule="auto"/>
                    <w:ind w:firstLine="0" w:firstLineChars="0"/>
                    <w:jc w:val="center"/>
                    <w:rPr>
                      <w:sz w:val="21"/>
                      <w:szCs w:val="21"/>
                    </w:rPr>
                  </w:pPr>
                  <w:r>
                    <w:rPr>
                      <w:sz w:val="21"/>
                      <w:szCs w:val="21"/>
                    </w:rPr>
                    <w:t>≤450</w:t>
                  </w:r>
                </w:p>
              </w:tc>
              <w:tc>
                <w:tcPr>
                  <w:tcW w:w="645" w:type="pct"/>
                  <w:tcBorders>
                    <w:top w:val="single" w:color="auto" w:sz="4" w:space="0"/>
                    <w:bottom w:val="single" w:color="auto" w:sz="4" w:space="0"/>
                  </w:tcBorders>
                  <w:shd w:val="clear" w:color="auto" w:fill="A6A6A6"/>
                  <w:vAlign w:val="center"/>
                </w:tcPr>
                <w:p w14:paraId="288A4E04">
                  <w:pPr>
                    <w:adjustRightInd w:val="0"/>
                    <w:snapToGrid w:val="0"/>
                    <w:spacing w:line="240" w:lineRule="auto"/>
                    <w:ind w:firstLine="0" w:firstLineChars="0"/>
                    <w:jc w:val="center"/>
                    <w:rPr>
                      <w:sz w:val="21"/>
                      <w:szCs w:val="21"/>
                    </w:rPr>
                  </w:pPr>
                  <w:r>
                    <w:rPr>
                      <w:sz w:val="21"/>
                      <w:szCs w:val="21"/>
                    </w:rPr>
                    <w:t>≤650</w:t>
                  </w:r>
                </w:p>
              </w:tc>
              <w:tc>
                <w:tcPr>
                  <w:tcW w:w="595" w:type="pct"/>
                  <w:vAlign w:val="center"/>
                </w:tcPr>
                <w:p w14:paraId="78FA2ABC">
                  <w:pPr>
                    <w:adjustRightInd w:val="0"/>
                    <w:snapToGrid w:val="0"/>
                    <w:spacing w:line="240" w:lineRule="auto"/>
                    <w:ind w:firstLine="0" w:firstLineChars="0"/>
                    <w:jc w:val="center"/>
                    <w:rPr>
                      <w:sz w:val="21"/>
                      <w:szCs w:val="21"/>
                    </w:rPr>
                  </w:pPr>
                  <w:r>
                    <w:rPr>
                      <w:sz w:val="21"/>
                      <w:szCs w:val="21"/>
                    </w:rPr>
                    <w:t>&gt;650</w:t>
                  </w:r>
                </w:p>
              </w:tc>
            </w:tr>
            <w:tr w14:paraId="63A2B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63DFEA0E">
                  <w:pPr>
                    <w:adjustRightInd w:val="0"/>
                    <w:snapToGrid w:val="0"/>
                    <w:spacing w:line="240" w:lineRule="auto"/>
                    <w:ind w:firstLine="0" w:firstLineChars="0"/>
                    <w:jc w:val="center"/>
                    <w:rPr>
                      <w:sz w:val="21"/>
                      <w:szCs w:val="21"/>
                    </w:rPr>
                  </w:pPr>
                  <w:r>
                    <w:rPr>
                      <w:sz w:val="21"/>
                      <w:szCs w:val="21"/>
                    </w:rPr>
                    <w:t>4</w:t>
                  </w:r>
                </w:p>
              </w:tc>
              <w:tc>
                <w:tcPr>
                  <w:tcW w:w="1688" w:type="pct"/>
                  <w:shd w:val="clear" w:color="auto" w:fill="auto"/>
                  <w:vAlign w:val="center"/>
                </w:tcPr>
                <w:p w14:paraId="5F9708C6">
                  <w:pPr>
                    <w:adjustRightInd w:val="0"/>
                    <w:snapToGrid w:val="0"/>
                    <w:spacing w:line="240" w:lineRule="auto"/>
                    <w:ind w:firstLine="0" w:firstLineChars="0"/>
                    <w:jc w:val="center"/>
                    <w:rPr>
                      <w:sz w:val="21"/>
                      <w:szCs w:val="21"/>
                    </w:rPr>
                  </w:pPr>
                  <w:r>
                    <w:rPr>
                      <w:sz w:val="21"/>
                      <w:szCs w:val="21"/>
                    </w:rPr>
                    <w:t>溶解性固体/（mg/L）</w:t>
                  </w:r>
                </w:p>
              </w:tc>
              <w:tc>
                <w:tcPr>
                  <w:tcW w:w="594" w:type="pct"/>
                  <w:shd w:val="clear" w:color="auto" w:fill="auto"/>
                  <w:vAlign w:val="center"/>
                </w:tcPr>
                <w:p w14:paraId="2760F67A">
                  <w:pPr>
                    <w:adjustRightInd w:val="0"/>
                    <w:snapToGrid w:val="0"/>
                    <w:spacing w:line="240" w:lineRule="auto"/>
                    <w:ind w:firstLine="0" w:firstLineChars="0"/>
                    <w:jc w:val="center"/>
                    <w:rPr>
                      <w:sz w:val="21"/>
                      <w:szCs w:val="21"/>
                    </w:rPr>
                  </w:pPr>
                  <w:r>
                    <w:rPr>
                      <w:sz w:val="21"/>
                      <w:szCs w:val="21"/>
                    </w:rPr>
                    <w:t>≤300</w:t>
                  </w:r>
                </w:p>
              </w:tc>
              <w:tc>
                <w:tcPr>
                  <w:tcW w:w="594" w:type="pct"/>
                  <w:shd w:val="clear" w:color="auto" w:fill="auto"/>
                  <w:vAlign w:val="center"/>
                </w:tcPr>
                <w:p w14:paraId="2EB14067">
                  <w:pPr>
                    <w:adjustRightInd w:val="0"/>
                    <w:snapToGrid w:val="0"/>
                    <w:spacing w:line="240" w:lineRule="auto"/>
                    <w:ind w:firstLine="0" w:firstLineChars="0"/>
                    <w:jc w:val="center"/>
                    <w:rPr>
                      <w:sz w:val="21"/>
                      <w:szCs w:val="21"/>
                    </w:rPr>
                  </w:pPr>
                  <w:r>
                    <w:rPr>
                      <w:sz w:val="21"/>
                      <w:szCs w:val="21"/>
                    </w:rPr>
                    <w:t>≤500</w:t>
                  </w:r>
                </w:p>
              </w:tc>
              <w:tc>
                <w:tcPr>
                  <w:tcW w:w="594" w:type="pct"/>
                  <w:shd w:val="clear" w:color="auto" w:fill="auto"/>
                  <w:vAlign w:val="center"/>
                </w:tcPr>
                <w:p w14:paraId="4F38A991">
                  <w:pPr>
                    <w:adjustRightInd w:val="0"/>
                    <w:snapToGrid w:val="0"/>
                    <w:spacing w:line="240" w:lineRule="auto"/>
                    <w:ind w:firstLine="0" w:firstLineChars="0"/>
                    <w:jc w:val="center"/>
                    <w:rPr>
                      <w:sz w:val="21"/>
                      <w:szCs w:val="21"/>
                    </w:rPr>
                  </w:pPr>
                  <w:r>
                    <w:rPr>
                      <w:sz w:val="21"/>
                      <w:szCs w:val="21"/>
                    </w:rPr>
                    <w:t>≤1000</w:t>
                  </w:r>
                </w:p>
              </w:tc>
              <w:tc>
                <w:tcPr>
                  <w:tcW w:w="645" w:type="pct"/>
                  <w:tcBorders>
                    <w:top w:val="single" w:color="auto" w:sz="4" w:space="0"/>
                    <w:bottom w:val="single" w:color="auto" w:sz="4" w:space="0"/>
                  </w:tcBorders>
                  <w:shd w:val="clear" w:color="auto" w:fill="A6A6A6"/>
                  <w:vAlign w:val="center"/>
                </w:tcPr>
                <w:p w14:paraId="3BE3AA30">
                  <w:pPr>
                    <w:adjustRightInd w:val="0"/>
                    <w:snapToGrid w:val="0"/>
                    <w:spacing w:line="240" w:lineRule="auto"/>
                    <w:ind w:firstLine="0" w:firstLineChars="0"/>
                    <w:jc w:val="center"/>
                    <w:rPr>
                      <w:sz w:val="21"/>
                      <w:szCs w:val="21"/>
                    </w:rPr>
                  </w:pPr>
                  <w:r>
                    <w:rPr>
                      <w:sz w:val="21"/>
                      <w:szCs w:val="21"/>
                    </w:rPr>
                    <w:t>≤2000</w:t>
                  </w:r>
                </w:p>
              </w:tc>
              <w:tc>
                <w:tcPr>
                  <w:tcW w:w="595" w:type="pct"/>
                  <w:vAlign w:val="center"/>
                </w:tcPr>
                <w:p w14:paraId="7DC75BED">
                  <w:pPr>
                    <w:adjustRightInd w:val="0"/>
                    <w:snapToGrid w:val="0"/>
                    <w:spacing w:line="240" w:lineRule="auto"/>
                    <w:ind w:firstLine="0" w:firstLineChars="0"/>
                    <w:jc w:val="center"/>
                    <w:rPr>
                      <w:sz w:val="21"/>
                      <w:szCs w:val="21"/>
                    </w:rPr>
                  </w:pPr>
                  <w:r>
                    <w:rPr>
                      <w:sz w:val="21"/>
                      <w:szCs w:val="21"/>
                    </w:rPr>
                    <w:t>&gt;2000</w:t>
                  </w:r>
                </w:p>
              </w:tc>
            </w:tr>
            <w:tr w14:paraId="4F88F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C470EB6">
                  <w:pPr>
                    <w:adjustRightInd w:val="0"/>
                    <w:snapToGrid w:val="0"/>
                    <w:spacing w:line="240" w:lineRule="auto"/>
                    <w:ind w:firstLine="0" w:firstLineChars="0"/>
                    <w:jc w:val="center"/>
                    <w:rPr>
                      <w:sz w:val="21"/>
                      <w:szCs w:val="21"/>
                    </w:rPr>
                  </w:pPr>
                  <w:r>
                    <w:rPr>
                      <w:sz w:val="21"/>
                      <w:szCs w:val="21"/>
                    </w:rPr>
                    <w:t>5</w:t>
                  </w:r>
                </w:p>
              </w:tc>
              <w:tc>
                <w:tcPr>
                  <w:tcW w:w="1688" w:type="pct"/>
                  <w:shd w:val="clear" w:color="auto" w:fill="auto"/>
                  <w:vAlign w:val="center"/>
                </w:tcPr>
                <w:p w14:paraId="42BAD73B">
                  <w:pPr>
                    <w:adjustRightInd w:val="0"/>
                    <w:snapToGrid w:val="0"/>
                    <w:spacing w:line="240" w:lineRule="auto"/>
                    <w:ind w:firstLine="0" w:firstLineChars="0"/>
                    <w:jc w:val="center"/>
                    <w:rPr>
                      <w:sz w:val="21"/>
                      <w:szCs w:val="21"/>
                    </w:rPr>
                  </w:pPr>
                  <w:r>
                    <w:rPr>
                      <w:sz w:val="21"/>
                      <w:szCs w:val="21"/>
                    </w:rPr>
                    <w:t>耗氧量（CODMn法，以O</w:t>
                  </w:r>
                  <w:r>
                    <w:rPr>
                      <w:sz w:val="21"/>
                      <w:szCs w:val="21"/>
                      <w:vertAlign w:val="subscript"/>
                    </w:rPr>
                    <w:t>2</w:t>
                  </w:r>
                  <w:r>
                    <w:rPr>
                      <w:sz w:val="21"/>
                      <w:szCs w:val="21"/>
                    </w:rPr>
                    <w:t>计）/（mg/L）</w:t>
                  </w:r>
                </w:p>
              </w:tc>
              <w:tc>
                <w:tcPr>
                  <w:tcW w:w="594" w:type="pct"/>
                  <w:shd w:val="clear" w:color="auto" w:fill="auto"/>
                  <w:vAlign w:val="center"/>
                </w:tcPr>
                <w:p w14:paraId="6323DAF2">
                  <w:pPr>
                    <w:adjustRightInd w:val="0"/>
                    <w:snapToGrid w:val="0"/>
                    <w:spacing w:line="240" w:lineRule="auto"/>
                    <w:ind w:firstLine="0" w:firstLineChars="0"/>
                    <w:jc w:val="center"/>
                    <w:rPr>
                      <w:sz w:val="21"/>
                      <w:szCs w:val="21"/>
                    </w:rPr>
                  </w:pPr>
                  <w:r>
                    <w:rPr>
                      <w:sz w:val="21"/>
                      <w:szCs w:val="21"/>
                    </w:rPr>
                    <w:t>≤1.0</w:t>
                  </w:r>
                </w:p>
              </w:tc>
              <w:tc>
                <w:tcPr>
                  <w:tcW w:w="594" w:type="pct"/>
                  <w:shd w:val="clear" w:color="auto" w:fill="auto"/>
                  <w:vAlign w:val="center"/>
                </w:tcPr>
                <w:p w14:paraId="4BF84B5D">
                  <w:pPr>
                    <w:adjustRightInd w:val="0"/>
                    <w:snapToGrid w:val="0"/>
                    <w:spacing w:line="240" w:lineRule="auto"/>
                    <w:ind w:firstLine="0" w:firstLineChars="0"/>
                    <w:jc w:val="center"/>
                    <w:rPr>
                      <w:sz w:val="21"/>
                      <w:szCs w:val="21"/>
                    </w:rPr>
                  </w:pPr>
                  <w:r>
                    <w:rPr>
                      <w:sz w:val="21"/>
                      <w:szCs w:val="21"/>
                    </w:rPr>
                    <w:t>≤2.0</w:t>
                  </w:r>
                </w:p>
              </w:tc>
              <w:tc>
                <w:tcPr>
                  <w:tcW w:w="594" w:type="pct"/>
                  <w:shd w:val="clear" w:color="auto" w:fill="auto"/>
                  <w:vAlign w:val="center"/>
                </w:tcPr>
                <w:p w14:paraId="514A00BE">
                  <w:pPr>
                    <w:adjustRightInd w:val="0"/>
                    <w:snapToGrid w:val="0"/>
                    <w:spacing w:line="240" w:lineRule="auto"/>
                    <w:ind w:firstLine="0" w:firstLineChars="0"/>
                    <w:jc w:val="center"/>
                    <w:rPr>
                      <w:sz w:val="21"/>
                      <w:szCs w:val="21"/>
                    </w:rPr>
                  </w:pPr>
                  <w:r>
                    <w:rPr>
                      <w:sz w:val="21"/>
                      <w:szCs w:val="21"/>
                    </w:rPr>
                    <w:t>≤3.0</w:t>
                  </w:r>
                </w:p>
              </w:tc>
              <w:tc>
                <w:tcPr>
                  <w:tcW w:w="645" w:type="pct"/>
                  <w:tcBorders>
                    <w:top w:val="single" w:color="auto" w:sz="4" w:space="0"/>
                    <w:bottom w:val="single" w:color="auto" w:sz="4" w:space="0"/>
                  </w:tcBorders>
                  <w:shd w:val="clear" w:color="auto" w:fill="A6A6A6"/>
                  <w:vAlign w:val="center"/>
                </w:tcPr>
                <w:p w14:paraId="002EF6A9">
                  <w:pPr>
                    <w:adjustRightInd w:val="0"/>
                    <w:snapToGrid w:val="0"/>
                    <w:spacing w:line="240" w:lineRule="auto"/>
                    <w:ind w:firstLine="0" w:firstLineChars="0"/>
                    <w:jc w:val="center"/>
                    <w:rPr>
                      <w:sz w:val="21"/>
                      <w:szCs w:val="21"/>
                    </w:rPr>
                  </w:pPr>
                  <w:r>
                    <w:rPr>
                      <w:sz w:val="21"/>
                      <w:szCs w:val="21"/>
                    </w:rPr>
                    <w:t>≤10.0</w:t>
                  </w:r>
                </w:p>
              </w:tc>
              <w:tc>
                <w:tcPr>
                  <w:tcW w:w="595" w:type="pct"/>
                  <w:vAlign w:val="center"/>
                </w:tcPr>
                <w:p w14:paraId="079E698E">
                  <w:pPr>
                    <w:adjustRightInd w:val="0"/>
                    <w:snapToGrid w:val="0"/>
                    <w:spacing w:line="240" w:lineRule="auto"/>
                    <w:ind w:firstLine="0" w:firstLineChars="0"/>
                    <w:jc w:val="center"/>
                    <w:rPr>
                      <w:sz w:val="21"/>
                      <w:szCs w:val="21"/>
                    </w:rPr>
                  </w:pPr>
                  <w:r>
                    <w:rPr>
                      <w:sz w:val="21"/>
                      <w:szCs w:val="21"/>
                    </w:rPr>
                    <w:t>&gt;10.0</w:t>
                  </w:r>
                </w:p>
              </w:tc>
            </w:tr>
            <w:tr w14:paraId="02C09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9FB0F14">
                  <w:pPr>
                    <w:adjustRightInd w:val="0"/>
                    <w:snapToGrid w:val="0"/>
                    <w:spacing w:line="240" w:lineRule="auto"/>
                    <w:ind w:firstLine="0" w:firstLineChars="0"/>
                    <w:jc w:val="center"/>
                    <w:rPr>
                      <w:sz w:val="21"/>
                      <w:szCs w:val="21"/>
                    </w:rPr>
                  </w:pPr>
                  <w:r>
                    <w:rPr>
                      <w:sz w:val="21"/>
                      <w:szCs w:val="21"/>
                    </w:rPr>
                    <w:t>6</w:t>
                  </w:r>
                </w:p>
              </w:tc>
              <w:tc>
                <w:tcPr>
                  <w:tcW w:w="1688" w:type="pct"/>
                  <w:shd w:val="clear" w:color="auto" w:fill="auto"/>
                  <w:vAlign w:val="center"/>
                </w:tcPr>
                <w:p w14:paraId="7B881E59">
                  <w:pPr>
                    <w:adjustRightInd w:val="0"/>
                    <w:snapToGrid w:val="0"/>
                    <w:spacing w:line="240" w:lineRule="auto"/>
                    <w:ind w:firstLine="0" w:firstLineChars="0"/>
                    <w:jc w:val="center"/>
                    <w:rPr>
                      <w:sz w:val="21"/>
                      <w:szCs w:val="21"/>
                    </w:rPr>
                  </w:pPr>
                  <w:r>
                    <w:rPr>
                      <w:sz w:val="21"/>
                      <w:szCs w:val="21"/>
                    </w:rPr>
                    <w:t>氨氮/（mg/L）</w:t>
                  </w:r>
                </w:p>
              </w:tc>
              <w:tc>
                <w:tcPr>
                  <w:tcW w:w="594" w:type="pct"/>
                  <w:shd w:val="clear" w:color="auto" w:fill="auto"/>
                  <w:vAlign w:val="center"/>
                </w:tcPr>
                <w:p w14:paraId="10772430">
                  <w:pPr>
                    <w:adjustRightInd w:val="0"/>
                    <w:snapToGrid w:val="0"/>
                    <w:spacing w:line="240" w:lineRule="auto"/>
                    <w:ind w:firstLine="0" w:firstLineChars="0"/>
                    <w:jc w:val="center"/>
                    <w:rPr>
                      <w:sz w:val="21"/>
                      <w:szCs w:val="21"/>
                    </w:rPr>
                  </w:pPr>
                  <w:r>
                    <w:rPr>
                      <w:sz w:val="21"/>
                      <w:szCs w:val="21"/>
                    </w:rPr>
                    <w:t>≤0.02</w:t>
                  </w:r>
                </w:p>
              </w:tc>
              <w:tc>
                <w:tcPr>
                  <w:tcW w:w="594" w:type="pct"/>
                  <w:shd w:val="clear" w:color="auto" w:fill="auto"/>
                  <w:vAlign w:val="center"/>
                </w:tcPr>
                <w:p w14:paraId="12580557">
                  <w:pPr>
                    <w:adjustRightInd w:val="0"/>
                    <w:snapToGrid w:val="0"/>
                    <w:spacing w:line="240" w:lineRule="auto"/>
                    <w:ind w:firstLine="0" w:firstLineChars="0"/>
                    <w:jc w:val="center"/>
                    <w:rPr>
                      <w:sz w:val="21"/>
                      <w:szCs w:val="21"/>
                    </w:rPr>
                  </w:pPr>
                  <w:r>
                    <w:rPr>
                      <w:sz w:val="21"/>
                      <w:szCs w:val="21"/>
                    </w:rPr>
                    <w:t>≤0.10</w:t>
                  </w:r>
                </w:p>
              </w:tc>
              <w:tc>
                <w:tcPr>
                  <w:tcW w:w="594" w:type="pct"/>
                  <w:shd w:val="clear" w:color="auto" w:fill="auto"/>
                  <w:vAlign w:val="center"/>
                </w:tcPr>
                <w:p w14:paraId="3EDD8927">
                  <w:pPr>
                    <w:adjustRightInd w:val="0"/>
                    <w:snapToGrid w:val="0"/>
                    <w:spacing w:line="240" w:lineRule="auto"/>
                    <w:ind w:firstLine="0" w:firstLineChars="0"/>
                    <w:jc w:val="center"/>
                    <w:rPr>
                      <w:sz w:val="21"/>
                      <w:szCs w:val="21"/>
                    </w:rPr>
                  </w:pPr>
                  <w:r>
                    <w:rPr>
                      <w:sz w:val="21"/>
                      <w:szCs w:val="21"/>
                    </w:rPr>
                    <w:t>≤0.50</w:t>
                  </w:r>
                </w:p>
              </w:tc>
              <w:tc>
                <w:tcPr>
                  <w:tcW w:w="645" w:type="pct"/>
                  <w:tcBorders>
                    <w:top w:val="single" w:color="auto" w:sz="4" w:space="0"/>
                    <w:bottom w:val="single" w:color="auto" w:sz="4" w:space="0"/>
                  </w:tcBorders>
                  <w:shd w:val="clear" w:color="auto" w:fill="A6A6A6"/>
                  <w:vAlign w:val="center"/>
                </w:tcPr>
                <w:p w14:paraId="2DDBE7B0">
                  <w:pPr>
                    <w:adjustRightInd w:val="0"/>
                    <w:snapToGrid w:val="0"/>
                    <w:spacing w:line="240" w:lineRule="auto"/>
                    <w:ind w:firstLine="0" w:firstLineChars="0"/>
                    <w:jc w:val="center"/>
                    <w:rPr>
                      <w:sz w:val="21"/>
                      <w:szCs w:val="21"/>
                    </w:rPr>
                  </w:pPr>
                  <w:r>
                    <w:rPr>
                      <w:sz w:val="21"/>
                      <w:szCs w:val="21"/>
                    </w:rPr>
                    <w:t>≤1.50</w:t>
                  </w:r>
                </w:p>
              </w:tc>
              <w:tc>
                <w:tcPr>
                  <w:tcW w:w="595" w:type="pct"/>
                  <w:vAlign w:val="center"/>
                </w:tcPr>
                <w:p w14:paraId="699920D8">
                  <w:pPr>
                    <w:adjustRightInd w:val="0"/>
                    <w:snapToGrid w:val="0"/>
                    <w:spacing w:line="240" w:lineRule="auto"/>
                    <w:ind w:firstLine="0" w:firstLineChars="0"/>
                    <w:jc w:val="center"/>
                    <w:rPr>
                      <w:sz w:val="21"/>
                      <w:szCs w:val="21"/>
                    </w:rPr>
                  </w:pPr>
                  <w:r>
                    <w:rPr>
                      <w:sz w:val="21"/>
                      <w:szCs w:val="21"/>
                    </w:rPr>
                    <w:t>&gt;1.50</w:t>
                  </w:r>
                </w:p>
              </w:tc>
            </w:tr>
            <w:tr w14:paraId="0B1A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36348B7A">
                  <w:pPr>
                    <w:adjustRightInd w:val="0"/>
                    <w:snapToGrid w:val="0"/>
                    <w:spacing w:line="240" w:lineRule="auto"/>
                    <w:ind w:firstLine="0" w:firstLineChars="0"/>
                    <w:jc w:val="center"/>
                    <w:rPr>
                      <w:sz w:val="21"/>
                      <w:szCs w:val="21"/>
                    </w:rPr>
                  </w:pPr>
                  <w:r>
                    <w:rPr>
                      <w:sz w:val="21"/>
                      <w:szCs w:val="21"/>
                    </w:rPr>
                    <w:t>7</w:t>
                  </w:r>
                </w:p>
              </w:tc>
              <w:tc>
                <w:tcPr>
                  <w:tcW w:w="1688" w:type="pct"/>
                  <w:shd w:val="clear" w:color="auto" w:fill="auto"/>
                  <w:vAlign w:val="center"/>
                </w:tcPr>
                <w:p w14:paraId="172C87A1">
                  <w:pPr>
                    <w:adjustRightInd w:val="0"/>
                    <w:snapToGrid w:val="0"/>
                    <w:spacing w:line="240" w:lineRule="auto"/>
                    <w:ind w:firstLine="0" w:firstLineChars="0"/>
                    <w:jc w:val="center"/>
                    <w:rPr>
                      <w:sz w:val="21"/>
                      <w:szCs w:val="21"/>
                    </w:rPr>
                  </w:pPr>
                  <w:r>
                    <w:rPr>
                      <w:sz w:val="21"/>
                      <w:szCs w:val="21"/>
                    </w:rPr>
                    <w:t>硝酸盐（以N计）/（mg/L）</w:t>
                  </w:r>
                </w:p>
              </w:tc>
              <w:tc>
                <w:tcPr>
                  <w:tcW w:w="594" w:type="pct"/>
                  <w:shd w:val="clear" w:color="auto" w:fill="auto"/>
                  <w:vAlign w:val="center"/>
                </w:tcPr>
                <w:p w14:paraId="2271AD4C">
                  <w:pPr>
                    <w:adjustRightInd w:val="0"/>
                    <w:snapToGrid w:val="0"/>
                    <w:spacing w:line="240" w:lineRule="auto"/>
                    <w:ind w:firstLine="0" w:firstLineChars="0"/>
                    <w:jc w:val="center"/>
                    <w:rPr>
                      <w:sz w:val="21"/>
                      <w:szCs w:val="21"/>
                    </w:rPr>
                  </w:pPr>
                  <w:r>
                    <w:rPr>
                      <w:sz w:val="21"/>
                      <w:szCs w:val="21"/>
                    </w:rPr>
                    <w:t>≤2.0</w:t>
                  </w:r>
                </w:p>
              </w:tc>
              <w:tc>
                <w:tcPr>
                  <w:tcW w:w="594" w:type="pct"/>
                  <w:shd w:val="clear" w:color="auto" w:fill="auto"/>
                  <w:vAlign w:val="center"/>
                </w:tcPr>
                <w:p w14:paraId="4785DBC6">
                  <w:pPr>
                    <w:adjustRightInd w:val="0"/>
                    <w:snapToGrid w:val="0"/>
                    <w:spacing w:line="240" w:lineRule="auto"/>
                    <w:ind w:firstLine="0" w:firstLineChars="0"/>
                    <w:jc w:val="center"/>
                    <w:rPr>
                      <w:sz w:val="21"/>
                      <w:szCs w:val="21"/>
                    </w:rPr>
                  </w:pPr>
                  <w:r>
                    <w:rPr>
                      <w:sz w:val="21"/>
                      <w:szCs w:val="21"/>
                    </w:rPr>
                    <w:t>≤5.0</w:t>
                  </w:r>
                </w:p>
              </w:tc>
              <w:tc>
                <w:tcPr>
                  <w:tcW w:w="594" w:type="pct"/>
                  <w:shd w:val="clear" w:color="auto" w:fill="auto"/>
                  <w:vAlign w:val="center"/>
                </w:tcPr>
                <w:p w14:paraId="2FF789D8">
                  <w:pPr>
                    <w:adjustRightInd w:val="0"/>
                    <w:snapToGrid w:val="0"/>
                    <w:spacing w:line="240" w:lineRule="auto"/>
                    <w:ind w:firstLine="0" w:firstLineChars="0"/>
                    <w:jc w:val="center"/>
                    <w:rPr>
                      <w:sz w:val="21"/>
                      <w:szCs w:val="21"/>
                    </w:rPr>
                  </w:pPr>
                  <w:r>
                    <w:rPr>
                      <w:sz w:val="21"/>
                      <w:szCs w:val="21"/>
                    </w:rPr>
                    <w:t>≤20.0</w:t>
                  </w:r>
                </w:p>
              </w:tc>
              <w:tc>
                <w:tcPr>
                  <w:tcW w:w="645" w:type="pct"/>
                  <w:tcBorders>
                    <w:top w:val="single" w:color="auto" w:sz="4" w:space="0"/>
                    <w:bottom w:val="single" w:color="auto" w:sz="4" w:space="0"/>
                  </w:tcBorders>
                  <w:shd w:val="clear" w:color="auto" w:fill="A6A6A6"/>
                  <w:vAlign w:val="center"/>
                </w:tcPr>
                <w:p w14:paraId="7E521803">
                  <w:pPr>
                    <w:adjustRightInd w:val="0"/>
                    <w:snapToGrid w:val="0"/>
                    <w:spacing w:line="240" w:lineRule="auto"/>
                    <w:ind w:firstLine="0" w:firstLineChars="0"/>
                    <w:jc w:val="center"/>
                    <w:rPr>
                      <w:sz w:val="21"/>
                      <w:szCs w:val="21"/>
                    </w:rPr>
                  </w:pPr>
                  <w:r>
                    <w:rPr>
                      <w:sz w:val="21"/>
                      <w:szCs w:val="21"/>
                    </w:rPr>
                    <w:t>≤30.0</w:t>
                  </w:r>
                </w:p>
              </w:tc>
              <w:tc>
                <w:tcPr>
                  <w:tcW w:w="595" w:type="pct"/>
                  <w:vAlign w:val="center"/>
                </w:tcPr>
                <w:p w14:paraId="437F348F">
                  <w:pPr>
                    <w:adjustRightInd w:val="0"/>
                    <w:snapToGrid w:val="0"/>
                    <w:spacing w:line="240" w:lineRule="auto"/>
                    <w:ind w:firstLine="0" w:firstLineChars="0"/>
                    <w:jc w:val="center"/>
                    <w:rPr>
                      <w:sz w:val="21"/>
                      <w:szCs w:val="21"/>
                    </w:rPr>
                  </w:pPr>
                  <w:r>
                    <w:rPr>
                      <w:sz w:val="21"/>
                      <w:szCs w:val="21"/>
                    </w:rPr>
                    <w:t>&gt;30.0</w:t>
                  </w:r>
                </w:p>
              </w:tc>
            </w:tr>
            <w:tr w14:paraId="6944A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6356A142">
                  <w:pPr>
                    <w:adjustRightInd w:val="0"/>
                    <w:snapToGrid w:val="0"/>
                    <w:spacing w:line="240" w:lineRule="auto"/>
                    <w:ind w:firstLine="0" w:firstLineChars="0"/>
                    <w:jc w:val="center"/>
                    <w:rPr>
                      <w:sz w:val="21"/>
                      <w:szCs w:val="21"/>
                    </w:rPr>
                  </w:pPr>
                  <w:r>
                    <w:rPr>
                      <w:sz w:val="21"/>
                      <w:szCs w:val="21"/>
                    </w:rPr>
                    <w:t>8</w:t>
                  </w:r>
                </w:p>
              </w:tc>
              <w:tc>
                <w:tcPr>
                  <w:tcW w:w="1688" w:type="pct"/>
                  <w:shd w:val="clear" w:color="auto" w:fill="auto"/>
                  <w:vAlign w:val="center"/>
                </w:tcPr>
                <w:p w14:paraId="49370F75">
                  <w:pPr>
                    <w:adjustRightInd w:val="0"/>
                    <w:snapToGrid w:val="0"/>
                    <w:spacing w:line="240" w:lineRule="auto"/>
                    <w:ind w:firstLine="0" w:firstLineChars="0"/>
                    <w:jc w:val="center"/>
                    <w:rPr>
                      <w:sz w:val="21"/>
                      <w:szCs w:val="21"/>
                    </w:rPr>
                  </w:pPr>
                  <w:r>
                    <w:rPr>
                      <w:sz w:val="21"/>
                      <w:szCs w:val="21"/>
                    </w:rPr>
                    <w:t>亚硝酸盐（以N计）/（mg/L）</w:t>
                  </w:r>
                </w:p>
              </w:tc>
              <w:tc>
                <w:tcPr>
                  <w:tcW w:w="594" w:type="pct"/>
                  <w:shd w:val="clear" w:color="auto" w:fill="auto"/>
                  <w:vAlign w:val="center"/>
                </w:tcPr>
                <w:p w14:paraId="0860CF57">
                  <w:pPr>
                    <w:adjustRightInd w:val="0"/>
                    <w:snapToGrid w:val="0"/>
                    <w:spacing w:line="240" w:lineRule="auto"/>
                    <w:ind w:firstLine="0" w:firstLineChars="0"/>
                    <w:jc w:val="center"/>
                    <w:rPr>
                      <w:sz w:val="21"/>
                      <w:szCs w:val="21"/>
                    </w:rPr>
                  </w:pPr>
                  <w:r>
                    <w:rPr>
                      <w:sz w:val="21"/>
                      <w:szCs w:val="21"/>
                    </w:rPr>
                    <w:t>≤0.01</w:t>
                  </w:r>
                </w:p>
              </w:tc>
              <w:tc>
                <w:tcPr>
                  <w:tcW w:w="594" w:type="pct"/>
                  <w:shd w:val="clear" w:color="auto" w:fill="auto"/>
                  <w:vAlign w:val="center"/>
                </w:tcPr>
                <w:p w14:paraId="53739402">
                  <w:pPr>
                    <w:adjustRightInd w:val="0"/>
                    <w:snapToGrid w:val="0"/>
                    <w:spacing w:line="240" w:lineRule="auto"/>
                    <w:ind w:firstLine="0" w:firstLineChars="0"/>
                    <w:jc w:val="center"/>
                    <w:rPr>
                      <w:sz w:val="21"/>
                      <w:szCs w:val="21"/>
                    </w:rPr>
                  </w:pPr>
                  <w:r>
                    <w:rPr>
                      <w:sz w:val="21"/>
                      <w:szCs w:val="21"/>
                    </w:rPr>
                    <w:t>≤0.10</w:t>
                  </w:r>
                </w:p>
              </w:tc>
              <w:tc>
                <w:tcPr>
                  <w:tcW w:w="594" w:type="pct"/>
                  <w:shd w:val="clear" w:color="auto" w:fill="auto"/>
                  <w:vAlign w:val="center"/>
                </w:tcPr>
                <w:p w14:paraId="35CE48B8">
                  <w:pPr>
                    <w:adjustRightInd w:val="0"/>
                    <w:snapToGrid w:val="0"/>
                    <w:spacing w:line="240" w:lineRule="auto"/>
                    <w:ind w:firstLine="0" w:firstLineChars="0"/>
                    <w:jc w:val="center"/>
                    <w:rPr>
                      <w:sz w:val="21"/>
                      <w:szCs w:val="21"/>
                    </w:rPr>
                  </w:pPr>
                  <w:r>
                    <w:rPr>
                      <w:sz w:val="21"/>
                      <w:szCs w:val="21"/>
                    </w:rPr>
                    <w:t>≤1.00</w:t>
                  </w:r>
                </w:p>
              </w:tc>
              <w:tc>
                <w:tcPr>
                  <w:tcW w:w="645" w:type="pct"/>
                  <w:tcBorders>
                    <w:top w:val="single" w:color="auto" w:sz="4" w:space="0"/>
                    <w:bottom w:val="single" w:color="auto" w:sz="4" w:space="0"/>
                  </w:tcBorders>
                  <w:shd w:val="clear" w:color="auto" w:fill="A6A6A6"/>
                  <w:vAlign w:val="center"/>
                </w:tcPr>
                <w:p w14:paraId="39D69383">
                  <w:pPr>
                    <w:adjustRightInd w:val="0"/>
                    <w:snapToGrid w:val="0"/>
                    <w:spacing w:line="240" w:lineRule="auto"/>
                    <w:ind w:firstLine="0" w:firstLineChars="0"/>
                    <w:jc w:val="center"/>
                    <w:rPr>
                      <w:sz w:val="21"/>
                      <w:szCs w:val="21"/>
                    </w:rPr>
                  </w:pPr>
                  <w:r>
                    <w:rPr>
                      <w:sz w:val="21"/>
                      <w:szCs w:val="21"/>
                    </w:rPr>
                    <w:t>≤4.80</w:t>
                  </w:r>
                </w:p>
              </w:tc>
              <w:tc>
                <w:tcPr>
                  <w:tcW w:w="595" w:type="pct"/>
                  <w:vAlign w:val="center"/>
                </w:tcPr>
                <w:p w14:paraId="5E4A4C6E">
                  <w:pPr>
                    <w:adjustRightInd w:val="0"/>
                    <w:snapToGrid w:val="0"/>
                    <w:spacing w:line="240" w:lineRule="auto"/>
                    <w:ind w:firstLine="0" w:firstLineChars="0"/>
                    <w:jc w:val="center"/>
                    <w:rPr>
                      <w:sz w:val="21"/>
                      <w:szCs w:val="21"/>
                    </w:rPr>
                  </w:pPr>
                  <w:r>
                    <w:rPr>
                      <w:sz w:val="21"/>
                      <w:szCs w:val="21"/>
                    </w:rPr>
                    <w:t>&gt;4.80</w:t>
                  </w:r>
                </w:p>
              </w:tc>
            </w:tr>
            <w:tr w14:paraId="55412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658BA16">
                  <w:pPr>
                    <w:adjustRightInd w:val="0"/>
                    <w:snapToGrid w:val="0"/>
                    <w:spacing w:line="240" w:lineRule="auto"/>
                    <w:ind w:firstLine="0" w:firstLineChars="0"/>
                    <w:jc w:val="center"/>
                    <w:rPr>
                      <w:sz w:val="21"/>
                      <w:szCs w:val="21"/>
                    </w:rPr>
                  </w:pPr>
                  <w:r>
                    <w:rPr>
                      <w:sz w:val="21"/>
                      <w:szCs w:val="21"/>
                    </w:rPr>
                    <w:t>9</w:t>
                  </w:r>
                </w:p>
              </w:tc>
              <w:tc>
                <w:tcPr>
                  <w:tcW w:w="1688" w:type="pct"/>
                  <w:shd w:val="clear" w:color="auto" w:fill="auto"/>
                  <w:vAlign w:val="center"/>
                </w:tcPr>
                <w:p w14:paraId="3B2083DE">
                  <w:pPr>
                    <w:adjustRightInd w:val="0"/>
                    <w:snapToGrid w:val="0"/>
                    <w:spacing w:line="240" w:lineRule="auto"/>
                    <w:ind w:firstLine="0" w:firstLineChars="0"/>
                    <w:jc w:val="center"/>
                    <w:rPr>
                      <w:sz w:val="21"/>
                      <w:szCs w:val="21"/>
                    </w:rPr>
                  </w:pPr>
                  <w:r>
                    <w:rPr>
                      <w:sz w:val="21"/>
                      <w:szCs w:val="21"/>
                    </w:rPr>
                    <w:t>硫酸盐/（mg/L）</w:t>
                  </w:r>
                </w:p>
              </w:tc>
              <w:tc>
                <w:tcPr>
                  <w:tcW w:w="594" w:type="pct"/>
                  <w:shd w:val="clear" w:color="auto" w:fill="auto"/>
                  <w:vAlign w:val="center"/>
                </w:tcPr>
                <w:p w14:paraId="0F1E3506">
                  <w:pPr>
                    <w:adjustRightInd w:val="0"/>
                    <w:snapToGrid w:val="0"/>
                    <w:spacing w:line="240" w:lineRule="auto"/>
                    <w:ind w:firstLine="0" w:firstLineChars="0"/>
                    <w:jc w:val="center"/>
                    <w:rPr>
                      <w:sz w:val="21"/>
                      <w:szCs w:val="21"/>
                    </w:rPr>
                  </w:pPr>
                  <w:r>
                    <w:rPr>
                      <w:sz w:val="21"/>
                      <w:szCs w:val="21"/>
                    </w:rPr>
                    <w:t>≤50</w:t>
                  </w:r>
                </w:p>
              </w:tc>
              <w:tc>
                <w:tcPr>
                  <w:tcW w:w="594" w:type="pct"/>
                  <w:shd w:val="clear" w:color="auto" w:fill="auto"/>
                  <w:vAlign w:val="center"/>
                </w:tcPr>
                <w:p w14:paraId="5EA2E955">
                  <w:pPr>
                    <w:adjustRightInd w:val="0"/>
                    <w:snapToGrid w:val="0"/>
                    <w:spacing w:line="240" w:lineRule="auto"/>
                    <w:ind w:firstLine="0" w:firstLineChars="0"/>
                    <w:jc w:val="center"/>
                    <w:rPr>
                      <w:sz w:val="21"/>
                      <w:szCs w:val="21"/>
                    </w:rPr>
                  </w:pPr>
                  <w:r>
                    <w:rPr>
                      <w:sz w:val="21"/>
                      <w:szCs w:val="21"/>
                    </w:rPr>
                    <w:t>≤150</w:t>
                  </w:r>
                </w:p>
              </w:tc>
              <w:tc>
                <w:tcPr>
                  <w:tcW w:w="594" w:type="pct"/>
                  <w:shd w:val="clear" w:color="auto" w:fill="auto"/>
                  <w:vAlign w:val="center"/>
                </w:tcPr>
                <w:p w14:paraId="5E49F2D3">
                  <w:pPr>
                    <w:adjustRightInd w:val="0"/>
                    <w:snapToGrid w:val="0"/>
                    <w:spacing w:line="240" w:lineRule="auto"/>
                    <w:ind w:firstLine="0" w:firstLineChars="0"/>
                    <w:jc w:val="center"/>
                    <w:rPr>
                      <w:sz w:val="21"/>
                      <w:szCs w:val="21"/>
                    </w:rPr>
                  </w:pPr>
                  <w:r>
                    <w:rPr>
                      <w:sz w:val="21"/>
                      <w:szCs w:val="21"/>
                    </w:rPr>
                    <w:t>≤250</w:t>
                  </w:r>
                </w:p>
              </w:tc>
              <w:tc>
                <w:tcPr>
                  <w:tcW w:w="645" w:type="pct"/>
                  <w:tcBorders>
                    <w:top w:val="single" w:color="auto" w:sz="4" w:space="0"/>
                    <w:bottom w:val="single" w:color="auto" w:sz="4" w:space="0"/>
                  </w:tcBorders>
                  <w:shd w:val="clear" w:color="auto" w:fill="A6A6A6"/>
                  <w:vAlign w:val="center"/>
                </w:tcPr>
                <w:p w14:paraId="4A711E1A">
                  <w:pPr>
                    <w:adjustRightInd w:val="0"/>
                    <w:snapToGrid w:val="0"/>
                    <w:spacing w:line="240" w:lineRule="auto"/>
                    <w:ind w:firstLine="0" w:firstLineChars="0"/>
                    <w:jc w:val="center"/>
                    <w:rPr>
                      <w:sz w:val="21"/>
                      <w:szCs w:val="21"/>
                    </w:rPr>
                  </w:pPr>
                  <w:r>
                    <w:rPr>
                      <w:sz w:val="21"/>
                      <w:szCs w:val="21"/>
                    </w:rPr>
                    <w:t>≤350</w:t>
                  </w:r>
                </w:p>
              </w:tc>
              <w:tc>
                <w:tcPr>
                  <w:tcW w:w="595" w:type="pct"/>
                  <w:vAlign w:val="center"/>
                </w:tcPr>
                <w:p w14:paraId="09C5F905">
                  <w:pPr>
                    <w:adjustRightInd w:val="0"/>
                    <w:snapToGrid w:val="0"/>
                    <w:spacing w:line="240" w:lineRule="auto"/>
                    <w:ind w:firstLine="0" w:firstLineChars="0"/>
                    <w:jc w:val="center"/>
                    <w:rPr>
                      <w:sz w:val="21"/>
                      <w:szCs w:val="21"/>
                    </w:rPr>
                  </w:pPr>
                  <w:r>
                    <w:rPr>
                      <w:sz w:val="21"/>
                      <w:szCs w:val="21"/>
                    </w:rPr>
                    <w:t>&gt;350</w:t>
                  </w:r>
                </w:p>
              </w:tc>
            </w:tr>
            <w:tr w14:paraId="201D7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09880EB7">
                  <w:pPr>
                    <w:adjustRightInd w:val="0"/>
                    <w:snapToGrid w:val="0"/>
                    <w:spacing w:line="240" w:lineRule="auto"/>
                    <w:ind w:firstLine="0" w:firstLineChars="0"/>
                    <w:jc w:val="center"/>
                    <w:rPr>
                      <w:sz w:val="21"/>
                      <w:szCs w:val="21"/>
                    </w:rPr>
                  </w:pPr>
                  <w:r>
                    <w:rPr>
                      <w:sz w:val="21"/>
                      <w:szCs w:val="21"/>
                    </w:rPr>
                    <w:t>10</w:t>
                  </w:r>
                </w:p>
              </w:tc>
              <w:tc>
                <w:tcPr>
                  <w:tcW w:w="1688" w:type="pct"/>
                  <w:shd w:val="clear" w:color="auto" w:fill="auto"/>
                  <w:vAlign w:val="center"/>
                </w:tcPr>
                <w:p w14:paraId="4C0175A9">
                  <w:pPr>
                    <w:adjustRightInd w:val="0"/>
                    <w:snapToGrid w:val="0"/>
                    <w:spacing w:line="240" w:lineRule="auto"/>
                    <w:ind w:firstLine="0" w:firstLineChars="0"/>
                    <w:jc w:val="center"/>
                    <w:rPr>
                      <w:sz w:val="21"/>
                      <w:szCs w:val="21"/>
                    </w:rPr>
                  </w:pPr>
                  <w:r>
                    <w:rPr>
                      <w:sz w:val="21"/>
                      <w:szCs w:val="21"/>
                    </w:rPr>
                    <w:t>氯化物/（mg/L）</w:t>
                  </w:r>
                </w:p>
              </w:tc>
              <w:tc>
                <w:tcPr>
                  <w:tcW w:w="594" w:type="pct"/>
                  <w:shd w:val="clear" w:color="auto" w:fill="auto"/>
                  <w:vAlign w:val="center"/>
                </w:tcPr>
                <w:p w14:paraId="3A0D8018">
                  <w:pPr>
                    <w:adjustRightInd w:val="0"/>
                    <w:snapToGrid w:val="0"/>
                    <w:spacing w:line="240" w:lineRule="auto"/>
                    <w:ind w:firstLine="0" w:firstLineChars="0"/>
                    <w:jc w:val="center"/>
                    <w:rPr>
                      <w:sz w:val="21"/>
                      <w:szCs w:val="21"/>
                    </w:rPr>
                  </w:pPr>
                  <w:r>
                    <w:rPr>
                      <w:sz w:val="21"/>
                      <w:szCs w:val="21"/>
                    </w:rPr>
                    <w:t>≤50</w:t>
                  </w:r>
                </w:p>
              </w:tc>
              <w:tc>
                <w:tcPr>
                  <w:tcW w:w="594" w:type="pct"/>
                  <w:shd w:val="clear" w:color="auto" w:fill="auto"/>
                  <w:vAlign w:val="center"/>
                </w:tcPr>
                <w:p w14:paraId="77418D82">
                  <w:pPr>
                    <w:adjustRightInd w:val="0"/>
                    <w:snapToGrid w:val="0"/>
                    <w:spacing w:line="240" w:lineRule="auto"/>
                    <w:ind w:firstLine="0" w:firstLineChars="0"/>
                    <w:jc w:val="center"/>
                    <w:rPr>
                      <w:sz w:val="21"/>
                      <w:szCs w:val="21"/>
                    </w:rPr>
                  </w:pPr>
                  <w:r>
                    <w:rPr>
                      <w:sz w:val="21"/>
                      <w:szCs w:val="21"/>
                    </w:rPr>
                    <w:t>≤150</w:t>
                  </w:r>
                </w:p>
              </w:tc>
              <w:tc>
                <w:tcPr>
                  <w:tcW w:w="594" w:type="pct"/>
                  <w:shd w:val="clear" w:color="auto" w:fill="auto"/>
                  <w:vAlign w:val="center"/>
                </w:tcPr>
                <w:p w14:paraId="4C2C3E96">
                  <w:pPr>
                    <w:adjustRightInd w:val="0"/>
                    <w:snapToGrid w:val="0"/>
                    <w:spacing w:line="240" w:lineRule="auto"/>
                    <w:ind w:firstLine="0" w:firstLineChars="0"/>
                    <w:jc w:val="center"/>
                    <w:rPr>
                      <w:sz w:val="21"/>
                      <w:szCs w:val="21"/>
                    </w:rPr>
                  </w:pPr>
                  <w:r>
                    <w:rPr>
                      <w:sz w:val="21"/>
                      <w:szCs w:val="21"/>
                    </w:rPr>
                    <w:t>≤250</w:t>
                  </w:r>
                </w:p>
              </w:tc>
              <w:tc>
                <w:tcPr>
                  <w:tcW w:w="645" w:type="pct"/>
                  <w:tcBorders>
                    <w:top w:val="single" w:color="auto" w:sz="4" w:space="0"/>
                    <w:bottom w:val="single" w:color="auto" w:sz="4" w:space="0"/>
                  </w:tcBorders>
                  <w:shd w:val="clear" w:color="auto" w:fill="A6A6A6"/>
                  <w:vAlign w:val="center"/>
                </w:tcPr>
                <w:p w14:paraId="6B3BFB26">
                  <w:pPr>
                    <w:adjustRightInd w:val="0"/>
                    <w:snapToGrid w:val="0"/>
                    <w:spacing w:line="240" w:lineRule="auto"/>
                    <w:ind w:firstLine="0" w:firstLineChars="0"/>
                    <w:jc w:val="center"/>
                    <w:rPr>
                      <w:sz w:val="21"/>
                      <w:szCs w:val="21"/>
                    </w:rPr>
                  </w:pPr>
                  <w:r>
                    <w:rPr>
                      <w:sz w:val="21"/>
                      <w:szCs w:val="21"/>
                    </w:rPr>
                    <w:t>≤350</w:t>
                  </w:r>
                </w:p>
              </w:tc>
              <w:tc>
                <w:tcPr>
                  <w:tcW w:w="595" w:type="pct"/>
                  <w:vAlign w:val="center"/>
                </w:tcPr>
                <w:p w14:paraId="1F2D5D2A">
                  <w:pPr>
                    <w:adjustRightInd w:val="0"/>
                    <w:snapToGrid w:val="0"/>
                    <w:spacing w:line="240" w:lineRule="auto"/>
                    <w:ind w:firstLine="0" w:firstLineChars="0"/>
                    <w:jc w:val="center"/>
                    <w:rPr>
                      <w:sz w:val="21"/>
                      <w:szCs w:val="21"/>
                    </w:rPr>
                  </w:pPr>
                  <w:r>
                    <w:rPr>
                      <w:sz w:val="21"/>
                      <w:szCs w:val="21"/>
                    </w:rPr>
                    <w:t>&gt;350</w:t>
                  </w:r>
                </w:p>
              </w:tc>
            </w:tr>
            <w:tr w14:paraId="57F08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17EB714">
                  <w:pPr>
                    <w:adjustRightInd w:val="0"/>
                    <w:snapToGrid w:val="0"/>
                    <w:spacing w:line="240" w:lineRule="auto"/>
                    <w:ind w:firstLine="0" w:firstLineChars="0"/>
                    <w:jc w:val="center"/>
                    <w:rPr>
                      <w:sz w:val="21"/>
                      <w:szCs w:val="21"/>
                    </w:rPr>
                  </w:pPr>
                  <w:r>
                    <w:rPr>
                      <w:sz w:val="21"/>
                      <w:szCs w:val="21"/>
                    </w:rPr>
                    <w:t>11</w:t>
                  </w:r>
                </w:p>
              </w:tc>
              <w:tc>
                <w:tcPr>
                  <w:tcW w:w="1688" w:type="pct"/>
                  <w:shd w:val="clear" w:color="auto" w:fill="auto"/>
                  <w:vAlign w:val="center"/>
                </w:tcPr>
                <w:p w14:paraId="234582A3">
                  <w:pPr>
                    <w:adjustRightInd w:val="0"/>
                    <w:snapToGrid w:val="0"/>
                    <w:spacing w:line="240" w:lineRule="auto"/>
                    <w:ind w:firstLine="0" w:firstLineChars="0"/>
                    <w:jc w:val="center"/>
                    <w:rPr>
                      <w:sz w:val="21"/>
                      <w:szCs w:val="21"/>
                    </w:rPr>
                  </w:pPr>
                  <w:r>
                    <w:rPr>
                      <w:sz w:val="21"/>
                      <w:szCs w:val="21"/>
                    </w:rPr>
                    <w:t>挥发性酚类（以苯酚计）/（mg/L）</w:t>
                  </w:r>
                </w:p>
              </w:tc>
              <w:tc>
                <w:tcPr>
                  <w:tcW w:w="594" w:type="pct"/>
                  <w:shd w:val="clear" w:color="auto" w:fill="auto"/>
                  <w:vAlign w:val="center"/>
                </w:tcPr>
                <w:p w14:paraId="5E4E2421">
                  <w:pPr>
                    <w:adjustRightInd w:val="0"/>
                    <w:snapToGrid w:val="0"/>
                    <w:spacing w:line="240" w:lineRule="auto"/>
                    <w:ind w:firstLine="0" w:firstLineChars="0"/>
                    <w:jc w:val="center"/>
                    <w:rPr>
                      <w:sz w:val="21"/>
                      <w:szCs w:val="21"/>
                    </w:rPr>
                  </w:pPr>
                  <w:r>
                    <w:rPr>
                      <w:sz w:val="21"/>
                      <w:szCs w:val="21"/>
                    </w:rPr>
                    <w:t>≤0.001</w:t>
                  </w:r>
                </w:p>
              </w:tc>
              <w:tc>
                <w:tcPr>
                  <w:tcW w:w="594" w:type="pct"/>
                  <w:shd w:val="clear" w:color="auto" w:fill="auto"/>
                  <w:vAlign w:val="center"/>
                </w:tcPr>
                <w:p w14:paraId="19385D45">
                  <w:pPr>
                    <w:adjustRightInd w:val="0"/>
                    <w:snapToGrid w:val="0"/>
                    <w:spacing w:line="240" w:lineRule="auto"/>
                    <w:ind w:firstLine="0" w:firstLineChars="0"/>
                    <w:jc w:val="center"/>
                    <w:rPr>
                      <w:sz w:val="21"/>
                      <w:szCs w:val="21"/>
                    </w:rPr>
                  </w:pPr>
                  <w:r>
                    <w:rPr>
                      <w:sz w:val="21"/>
                      <w:szCs w:val="21"/>
                    </w:rPr>
                    <w:t>≤0.001</w:t>
                  </w:r>
                </w:p>
              </w:tc>
              <w:tc>
                <w:tcPr>
                  <w:tcW w:w="594" w:type="pct"/>
                  <w:shd w:val="clear" w:color="auto" w:fill="auto"/>
                  <w:vAlign w:val="center"/>
                </w:tcPr>
                <w:p w14:paraId="33A9B91B">
                  <w:pPr>
                    <w:adjustRightInd w:val="0"/>
                    <w:snapToGrid w:val="0"/>
                    <w:spacing w:line="240" w:lineRule="auto"/>
                    <w:ind w:firstLine="0" w:firstLineChars="0"/>
                    <w:jc w:val="center"/>
                    <w:rPr>
                      <w:sz w:val="21"/>
                      <w:szCs w:val="21"/>
                    </w:rPr>
                  </w:pPr>
                  <w:r>
                    <w:rPr>
                      <w:sz w:val="21"/>
                      <w:szCs w:val="21"/>
                    </w:rPr>
                    <w:t>≤0.002</w:t>
                  </w:r>
                </w:p>
              </w:tc>
              <w:tc>
                <w:tcPr>
                  <w:tcW w:w="645" w:type="pct"/>
                  <w:tcBorders>
                    <w:top w:val="single" w:color="auto" w:sz="4" w:space="0"/>
                    <w:bottom w:val="single" w:color="auto" w:sz="4" w:space="0"/>
                  </w:tcBorders>
                  <w:shd w:val="clear" w:color="auto" w:fill="A6A6A6"/>
                  <w:vAlign w:val="center"/>
                </w:tcPr>
                <w:p w14:paraId="1878AE96">
                  <w:pPr>
                    <w:adjustRightInd w:val="0"/>
                    <w:snapToGrid w:val="0"/>
                    <w:spacing w:line="240" w:lineRule="auto"/>
                    <w:ind w:firstLine="0" w:firstLineChars="0"/>
                    <w:jc w:val="center"/>
                    <w:rPr>
                      <w:sz w:val="21"/>
                      <w:szCs w:val="21"/>
                    </w:rPr>
                  </w:pPr>
                  <w:r>
                    <w:rPr>
                      <w:sz w:val="21"/>
                      <w:szCs w:val="21"/>
                    </w:rPr>
                    <w:t>≤0.01</w:t>
                  </w:r>
                </w:p>
              </w:tc>
              <w:tc>
                <w:tcPr>
                  <w:tcW w:w="595" w:type="pct"/>
                  <w:vAlign w:val="center"/>
                </w:tcPr>
                <w:p w14:paraId="06E1AC61">
                  <w:pPr>
                    <w:adjustRightInd w:val="0"/>
                    <w:snapToGrid w:val="0"/>
                    <w:spacing w:line="240" w:lineRule="auto"/>
                    <w:ind w:firstLine="0" w:firstLineChars="0"/>
                    <w:jc w:val="center"/>
                    <w:rPr>
                      <w:sz w:val="21"/>
                      <w:szCs w:val="21"/>
                    </w:rPr>
                  </w:pPr>
                  <w:r>
                    <w:rPr>
                      <w:sz w:val="21"/>
                      <w:szCs w:val="21"/>
                    </w:rPr>
                    <w:t>&gt;0.01</w:t>
                  </w:r>
                </w:p>
              </w:tc>
            </w:tr>
            <w:tr w14:paraId="37F00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35DCC058">
                  <w:pPr>
                    <w:adjustRightInd w:val="0"/>
                    <w:snapToGrid w:val="0"/>
                    <w:spacing w:line="240" w:lineRule="auto"/>
                    <w:ind w:firstLine="0" w:firstLineChars="0"/>
                    <w:jc w:val="center"/>
                    <w:rPr>
                      <w:sz w:val="21"/>
                      <w:szCs w:val="21"/>
                    </w:rPr>
                  </w:pPr>
                  <w:r>
                    <w:rPr>
                      <w:sz w:val="21"/>
                      <w:szCs w:val="21"/>
                    </w:rPr>
                    <w:t>12</w:t>
                  </w:r>
                </w:p>
              </w:tc>
              <w:tc>
                <w:tcPr>
                  <w:tcW w:w="1688" w:type="pct"/>
                  <w:shd w:val="clear" w:color="auto" w:fill="auto"/>
                  <w:vAlign w:val="center"/>
                </w:tcPr>
                <w:p w14:paraId="72C5AB7B">
                  <w:pPr>
                    <w:adjustRightInd w:val="0"/>
                    <w:snapToGrid w:val="0"/>
                    <w:spacing w:line="240" w:lineRule="auto"/>
                    <w:ind w:firstLine="0" w:firstLineChars="0"/>
                    <w:jc w:val="center"/>
                    <w:rPr>
                      <w:sz w:val="21"/>
                      <w:szCs w:val="21"/>
                    </w:rPr>
                  </w:pPr>
                  <w:r>
                    <w:rPr>
                      <w:sz w:val="21"/>
                      <w:szCs w:val="21"/>
                    </w:rPr>
                    <w:t>氰化物/（mg/L）</w:t>
                  </w:r>
                </w:p>
              </w:tc>
              <w:tc>
                <w:tcPr>
                  <w:tcW w:w="594" w:type="pct"/>
                  <w:shd w:val="clear" w:color="auto" w:fill="auto"/>
                  <w:vAlign w:val="center"/>
                </w:tcPr>
                <w:p w14:paraId="786B8486">
                  <w:pPr>
                    <w:adjustRightInd w:val="0"/>
                    <w:snapToGrid w:val="0"/>
                    <w:spacing w:line="240" w:lineRule="auto"/>
                    <w:ind w:firstLine="0" w:firstLineChars="0"/>
                    <w:jc w:val="center"/>
                    <w:rPr>
                      <w:sz w:val="21"/>
                      <w:szCs w:val="21"/>
                    </w:rPr>
                  </w:pPr>
                  <w:r>
                    <w:rPr>
                      <w:sz w:val="21"/>
                      <w:szCs w:val="21"/>
                    </w:rPr>
                    <w:t>≤0.001</w:t>
                  </w:r>
                </w:p>
              </w:tc>
              <w:tc>
                <w:tcPr>
                  <w:tcW w:w="594" w:type="pct"/>
                  <w:shd w:val="clear" w:color="auto" w:fill="auto"/>
                  <w:vAlign w:val="center"/>
                </w:tcPr>
                <w:p w14:paraId="7DD85A61">
                  <w:pPr>
                    <w:adjustRightInd w:val="0"/>
                    <w:snapToGrid w:val="0"/>
                    <w:spacing w:line="240" w:lineRule="auto"/>
                    <w:ind w:firstLine="0" w:firstLineChars="0"/>
                    <w:jc w:val="center"/>
                    <w:rPr>
                      <w:sz w:val="21"/>
                      <w:szCs w:val="21"/>
                    </w:rPr>
                  </w:pPr>
                  <w:r>
                    <w:rPr>
                      <w:sz w:val="21"/>
                      <w:szCs w:val="21"/>
                    </w:rPr>
                    <w:t>≤0.01</w:t>
                  </w:r>
                </w:p>
              </w:tc>
              <w:tc>
                <w:tcPr>
                  <w:tcW w:w="594" w:type="pct"/>
                  <w:shd w:val="clear" w:color="auto" w:fill="auto"/>
                  <w:vAlign w:val="center"/>
                </w:tcPr>
                <w:p w14:paraId="6D11F765">
                  <w:pPr>
                    <w:adjustRightInd w:val="0"/>
                    <w:snapToGrid w:val="0"/>
                    <w:spacing w:line="240" w:lineRule="auto"/>
                    <w:ind w:firstLine="0" w:firstLineChars="0"/>
                    <w:jc w:val="center"/>
                    <w:rPr>
                      <w:sz w:val="21"/>
                      <w:szCs w:val="21"/>
                    </w:rPr>
                  </w:pPr>
                  <w:r>
                    <w:rPr>
                      <w:sz w:val="21"/>
                      <w:szCs w:val="21"/>
                    </w:rPr>
                    <w:t>≤0.05</w:t>
                  </w:r>
                </w:p>
              </w:tc>
              <w:tc>
                <w:tcPr>
                  <w:tcW w:w="645" w:type="pct"/>
                  <w:tcBorders>
                    <w:top w:val="single" w:color="auto" w:sz="4" w:space="0"/>
                    <w:bottom w:val="single" w:color="auto" w:sz="4" w:space="0"/>
                  </w:tcBorders>
                  <w:shd w:val="clear" w:color="auto" w:fill="A6A6A6"/>
                  <w:vAlign w:val="center"/>
                </w:tcPr>
                <w:p w14:paraId="3532E735">
                  <w:pPr>
                    <w:adjustRightInd w:val="0"/>
                    <w:snapToGrid w:val="0"/>
                    <w:spacing w:line="240" w:lineRule="auto"/>
                    <w:ind w:firstLine="0" w:firstLineChars="0"/>
                    <w:jc w:val="center"/>
                    <w:rPr>
                      <w:sz w:val="21"/>
                      <w:szCs w:val="21"/>
                    </w:rPr>
                  </w:pPr>
                  <w:r>
                    <w:rPr>
                      <w:sz w:val="21"/>
                      <w:szCs w:val="21"/>
                    </w:rPr>
                    <w:t>≤0.1</w:t>
                  </w:r>
                </w:p>
              </w:tc>
              <w:tc>
                <w:tcPr>
                  <w:tcW w:w="595" w:type="pct"/>
                  <w:vAlign w:val="center"/>
                </w:tcPr>
                <w:p w14:paraId="3265644B">
                  <w:pPr>
                    <w:adjustRightInd w:val="0"/>
                    <w:snapToGrid w:val="0"/>
                    <w:spacing w:line="240" w:lineRule="auto"/>
                    <w:ind w:firstLine="0" w:firstLineChars="0"/>
                    <w:jc w:val="center"/>
                    <w:rPr>
                      <w:sz w:val="21"/>
                      <w:szCs w:val="21"/>
                    </w:rPr>
                  </w:pPr>
                  <w:r>
                    <w:rPr>
                      <w:sz w:val="21"/>
                      <w:szCs w:val="21"/>
                    </w:rPr>
                    <w:t>&gt;0.1</w:t>
                  </w:r>
                </w:p>
              </w:tc>
            </w:tr>
            <w:tr w14:paraId="34449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642E0D79">
                  <w:pPr>
                    <w:adjustRightInd w:val="0"/>
                    <w:snapToGrid w:val="0"/>
                    <w:spacing w:line="240" w:lineRule="auto"/>
                    <w:ind w:firstLine="0" w:firstLineChars="0"/>
                    <w:jc w:val="center"/>
                    <w:rPr>
                      <w:sz w:val="21"/>
                      <w:szCs w:val="21"/>
                    </w:rPr>
                  </w:pPr>
                  <w:r>
                    <w:rPr>
                      <w:sz w:val="21"/>
                      <w:szCs w:val="21"/>
                    </w:rPr>
                    <w:t>13</w:t>
                  </w:r>
                </w:p>
              </w:tc>
              <w:tc>
                <w:tcPr>
                  <w:tcW w:w="1688" w:type="pct"/>
                  <w:shd w:val="clear" w:color="auto" w:fill="auto"/>
                  <w:vAlign w:val="center"/>
                </w:tcPr>
                <w:p w14:paraId="2D983A12">
                  <w:pPr>
                    <w:adjustRightInd w:val="0"/>
                    <w:snapToGrid w:val="0"/>
                    <w:spacing w:line="240" w:lineRule="auto"/>
                    <w:ind w:firstLine="0" w:firstLineChars="0"/>
                    <w:jc w:val="center"/>
                    <w:rPr>
                      <w:sz w:val="21"/>
                      <w:szCs w:val="21"/>
                    </w:rPr>
                  </w:pPr>
                  <w:r>
                    <w:rPr>
                      <w:sz w:val="21"/>
                      <w:szCs w:val="21"/>
                    </w:rPr>
                    <w:t>氟化物/（mg/L）</w:t>
                  </w:r>
                </w:p>
              </w:tc>
              <w:tc>
                <w:tcPr>
                  <w:tcW w:w="594" w:type="pct"/>
                  <w:shd w:val="clear" w:color="auto" w:fill="auto"/>
                  <w:vAlign w:val="center"/>
                </w:tcPr>
                <w:p w14:paraId="435FA386">
                  <w:pPr>
                    <w:adjustRightInd w:val="0"/>
                    <w:snapToGrid w:val="0"/>
                    <w:spacing w:line="240" w:lineRule="auto"/>
                    <w:ind w:firstLine="0" w:firstLineChars="0"/>
                    <w:jc w:val="center"/>
                    <w:rPr>
                      <w:sz w:val="21"/>
                      <w:szCs w:val="21"/>
                    </w:rPr>
                  </w:pPr>
                  <w:r>
                    <w:rPr>
                      <w:sz w:val="21"/>
                      <w:szCs w:val="21"/>
                    </w:rPr>
                    <w:t>≤1.0</w:t>
                  </w:r>
                </w:p>
              </w:tc>
              <w:tc>
                <w:tcPr>
                  <w:tcW w:w="594" w:type="pct"/>
                  <w:shd w:val="clear" w:color="auto" w:fill="auto"/>
                  <w:vAlign w:val="center"/>
                </w:tcPr>
                <w:p w14:paraId="4E4ADA31">
                  <w:pPr>
                    <w:adjustRightInd w:val="0"/>
                    <w:snapToGrid w:val="0"/>
                    <w:spacing w:line="240" w:lineRule="auto"/>
                    <w:ind w:firstLine="0" w:firstLineChars="0"/>
                    <w:jc w:val="center"/>
                    <w:rPr>
                      <w:sz w:val="21"/>
                      <w:szCs w:val="21"/>
                    </w:rPr>
                  </w:pPr>
                  <w:r>
                    <w:rPr>
                      <w:sz w:val="21"/>
                      <w:szCs w:val="21"/>
                    </w:rPr>
                    <w:t>≤1.0</w:t>
                  </w:r>
                </w:p>
              </w:tc>
              <w:tc>
                <w:tcPr>
                  <w:tcW w:w="594" w:type="pct"/>
                  <w:shd w:val="clear" w:color="auto" w:fill="auto"/>
                  <w:vAlign w:val="center"/>
                </w:tcPr>
                <w:p w14:paraId="1B43E8EE">
                  <w:pPr>
                    <w:adjustRightInd w:val="0"/>
                    <w:snapToGrid w:val="0"/>
                    <w:spacing w:line="240" w:lineRule="auto"/>
                    <w:ind w:firstLine="0" w:firstLineChars="0"/>
                    <w:jc w:val="center"/>
                    <w:rPr>
                      <w:sz w:val="21"/>
                      <w:szCs w:val="21"/>
                    </w:rPr>
                  </w:pPr>
                  <w:r>
                    <w:rPr>
                      <w:sz w:val="21"/>
                      <w:szCs w:val="21"/>
                    </w:rPr>
                    <w:t>≤1.0</w:t>
                  </w:r>
                </w:p>
              </w:tc>
              <w:tc>
                <w:tcPr>
                  <w:tcW w:w="645" w:type="pct"/>
                  <w:tcBorders>
                    <w:top w:val="single" w:color="auto" w:sz="4" w:space="0"/>
                    <w:bottom w:val="single" w:color="auto" w:sz="4" w:space="0"/>
                  </w:tcBorders>
                  <w:shd w:val="clear" w:color="auto" w:fill="A6A6A6"/>
                  <w:vAlign w:val="center"/>
                </w:tcPr>
                <w:p w14:paraId="6B62C072">
                  <w:pPr>
                    <w:adjustRightInd w:val="0"/>
                    <w:snapToGrid w:val="0"/>
                    <w:spacing w:line="240" w:lineRule="auto"/>
                    <w:ind w:firstLine="0" w:firstLineChars="0"/>
                    <w:jc w:val="center"/>
                    <w:rPr>
                      <w:sz w:val="21"/>
                      <w:szCs w:val="21"/>
                    </w:rPr>
                  </w:pPr>
                  <w:r>
                    <w:rPr>
                      <w:sz w:val="21"/>
                      <w:szCs w:val="21"/>
                    </w:rPr>
                    <w:t>≤2.0</w:t>
                  </w:r>
                </w:p>
              </w:tc>
              <w:tc>
                <w:tcPr>
                  <w:tcW w:w="595" w:type="pct"/>
                  <w:vAlign w:val="center"/>
                </w:tcPr>
                <w:p w14:paraId="51F3EF6B">
                  <w:pPr>
                    <w:adjustRightInd w:val="0"/>
                    <w:snapToGrid w:val="0"/>
                    <w:spacing w:line="240" w:lineRule="auto"/>
                    <w:ind w:firstLine="0" w:firstLineChars="0"/>
                    <w:jc w:val="center"/>
                    <w:rPr>
                      <w:sz w:val="21"/>
                      <w:szCs w:val="21"/>
                    </w:rPr>
                  </w:pPr>
                  <w:r>
                    <w:rPr>
                      <w:sz w:val="21"/>
                      <w:szCs w:val="21"/>
                    </w:rPr>
                    <w:t>&gt;2.0</w:t>
                  </w:r>
                </w:p>
              </w:tc>
            </w:tr>
            <w:tr w14:paraId="36BCB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3DD42BC3">
                  <w:pPr>
                    <w:adjustRightInd w:val="0"/>
                    <w:snapToGrid w:val="0"/>
                    <w:spacing w:line="240" w:lineRule="auto"/>
                    <w:ind w:firstLine="0" w:firstLineChars="0"/>
                    <w:jc w:val="center"/>
                    <w:rPr>
                      <w:sz w:val="21"/>
                      <w:szCs w:val="21"/>
                    </w:rPr>
                  </w:pPr>
                  <w:r>
                    <w:rPr>
                      <w:sz w:val="21"/>
                      <w:szCs w:val="21"/>
                    </w:rPr>
                    <w:t>14</w:t>
                  </w:r>
                </w:p>
              </w:tc>
              <w:tc>
                <w:tcPr>
                  <w:tcW w:w="1688" w:type="pct"/>
                  <w:shd w:val="clear" w:color="auto" w:fill="auto"/>
                  <w:vAlign w:val="center"/>
                </w:tcPr>
                <w:p w14:paraId="692587CB">
                  <w:pPr>
                    <w:adjustRightInd w:val="0"/>
                    <w:snapToGrid w:val="0"/>
                    <w:spacing w:line="240" w:lineRule="auto"/>
                    <w:ind w:firstLine="0" w:firstLineChars="0"/>
                    <w:jc w:val="center"/>
                    <w:rPr>
                      <w:sz w:val="21"/>
                      <w:szCs w:val="21"/>
                    </w:rPr>
                  </w:pPr>
                  <w:r>
                    <w:rPr>
                      <w:rFonts w:hint="eastAsia"/>
                      <w:sz w:val="21"/>
                      <w:szCs w:val="21"/>
                    </w:rPr>
                    <w:t>硫酸盐/（mg/L）</w:t>
                  </w:r>
                </w:p>
              </w:tc>
              <w:tc>
                <w:tcPr>
                  <w:tcW w:w="594" w:type="pct"/>
                  <w:shd w:val="clear" w:color="auto" w:fill="auto"/>
                  <w:vAlign w:val="center"/>
                </w:tcPr>
                <w:p w14:paraId="32C493AF">
                  <w:pPr>
                    <w:adjustRightInd w:val="0"/>
                    <w:snapToGrid w:val="0"/>
                    <w:spacing w:line="240" w:lineRule="auto"/>
                    <w:ind w:firstLine="0" w:firstLineChars="0"/>
                    <w:jc w:val="center"/>
                    <w:rPr>
                      <w:sz w:val="21"/>
                      <w:szCs w:val="21"/>
                    </w:rPr>
                  </w:pPr>
                  <w:r>
                    <w:rPr>
                      <w:sz w:val="21"/>
                      <w:szCs w:val="21"/>
                    </w:rPr>
                    <w:t>≤</w:t>
                  </w:r>
                  <w:r>
                    <w:rPr>
                      <w:rFonts w:hint="eastAsia"/>
                      <w:sz w:val="21"/>
                      <w:szCs w:val="21"/>
                    </w:rPr>
                    <w:t>50</w:t>
                  </w:r>
                </w:p>
              </w:tc>
              <w:tc>
                <w:tcPr>
                  <w:tcW w:w="594" w:type="pct"/>
                  <w:shd w:val="clear" w:color="auto" w:fill="auto"/>
                  <w:vAlign w:val="center"/>
                </w:tcPr>
                <w:p w14:paraId="5FE9B325">
                  <w:pPr>
                    <w:adjustRightInd w:val="0"/>
                    <w:snapToGrid w:val="0"/>
                    <w:spacing w:line="240" w:lineRule="auto"/>
                    <w:ind w:firstLine="0" w:firstLineChars="0"/>
                    <w:jc w:val="center"/>
                    <w:rPr>
                      <w:sz w:val="21"/>
                      <w:szCs w:val="21"/>
                    </w:rPr>
                  </w:pPr>
                  <w:r>
                    <w:rPr>
                      <w:sz w:val="21"/>
                      <w:szCs w:val="21"/>
                    </w:rPr>
                    <w:t>≤150</w:t>
                  </w:r>
                </w:p>
              </w:tc>
              <w:tc>
                <w:tcPr>
                  <w:tcW w:w="594" w:type="pct"/>
                  <w:shd w:val="clear" w:color="auto" w:fill="auto"/>
                  <w:vAlign w:val="center"/>
                </w:tcPr>
                <w:p w14:paraId="5AA46D34">
                  <w:pPr>
                    <w:adjustRightInd w:val="0"/>
                    <w:snapToGrid w:val="0"/>
                    <w:spacing w:line="240" w:lineRule="auto"/>
                    <w:ind w:firstLine="0" w:firstLineChars="0"/>
                    <w:jc w:val="center"/>
                    <w:rPr>
                      <w:sz w:val="21"/>
                      <w:szCs w:val="21"/>
                    </w:rPr>
                  </w:pPr>
                  <w:r>
                    <w:rPr>
                      <w:sz w:val="21"/>
                      <w:szCs w:val="21"/>
                    </w:rPr>
                    <w:t>≤2</w:t>
                  </w:r>
                  <w:r>
                    <w:rPr>
                      <w:rFonts w:hint="eastAsia"/>
                      <w:sz w:val="21"/>
                      <w:szCs w:val="21"/>
                    </w:rPr>
                    <w:t>5</w:t>
                  </w:r>
                  <w:r>
                    <w:rPr>
                      <w:sz w:val="21"/>
                      <w:szCs w:val="21"/>
                    </w:rPr>
                    <w:t>0</w:t>
                  </w:r>
                </w:p>
              </w:tc>
              <w:tc>
                <w:tcPr>
                  <w:tcW w:w="645" w:type="pct"/>
                  <w:tcBorders>
                    <w:top w:val="single" w:color="auto" w:sz="4" w:space="0"/>
                    <w:bottom w:val="single" w:color="auto" w:sz="4" w:space="0"/>
                  </w:tcBorders>
                  <w:shd w:val="clear" w:color="auto" w:fill="A6A6A6"/>
                  <w:vAlign w:val="center"/>
                </w:tcPr>
                <w:p w14:paraId="6DAE5322">
                  <w:pPr>
                    <w:adjustRightInd w:val="0"/>
                    <w:snapToGrid w:val="0"/>
                    <w:spacing w:line="240" w:lineRule="auto"/>
                    <w:ind w:firstLine="0" w:firstLineChars="0"/>
                    <w:jc w:val="center"/>
                    <w:rPr>
                      <w:sz w:val="21"/>
                      <w:szCs w:val="21"/>
                    </w:rPr>
                  </w:pPr>
                  <w:r>
                    <w:rPr>
                      <w:sz w:val="21"/>
                      <w:szCs w:val="21"/>
                    </w:rPr>
                    <w:t>≤</w:t>
                  </w:r>
                  <w:r>
                    <w:rPr>
                      <w:rFonts w:hint="eastAsia"/>
                      <w:sz w:val="21"/>
                      <w:szCs w:val="21"/>
                    </w:rPr>
                    <w:t>35</w:t>
                  </w:r>
                  <w:r>
                    <w:rPr>
                      <w:sz w:val="21"/>
                      <w:szCs w:val="21"/>
                    </w:rPr>
                    <w:t>0</w:t>
                  </w:r>
                </w:p>
              </w:tc>
              <w:tc>
                <w:tcPr>
                  <w:tcW w:w="595" w:type="pct"/>
                  <w:vAlign w:val="center"/>
                </w:tcPr>
                <w:p w14:paraId="55C946F1">
                  <w:pPr>
                    <w:adjustRightInd w:val="0"/>
                    <w:snapToGrid w:val="0"/>
                    <w:spacing w:line="240" w:lineRule="auto"/>
                    <w:ind w:firstLine="0" w:firstLineChars="0"/>
                    <w:jc w:val="center"/>
                    <w:rPr>
                      <w:sz w:val="21"/>
                      <w:szCs w:val="21"/>
                    </w:rPr>
                  </w:pPr>
                  <w:r>
                    <w:rPr>
                      <w:sz w:val="21"/>
                      <w:szCs w:val="21"/>
                    </w:rPr>
                    <w:t>&gt;</w:t>
                  </w:r>
                  <w:r>
                    <w:rPr>
                      <w:rFonts w:hint="eastAsia"/>
                      <w:sz w:val="21"/>
                      <w:szCs w:val="21"/>
                    </w:rPr>
                    <w:t>35</w:t>
                  </w:r>
                  <w:r>
                    <w:rPr>
                      <w:sz w:val="21"/>
                      <w:szCs w:val="21"/>
                    </w:rPr>
                    <w:t>0</w:t>
                  </w:r>
                </w:p>
              </w:tc>
            </w:tr>
            <w:tr w14:paraId="55DB7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54E49EBB">
                  <w:pPr>
                    <w:adjustRightInd w:val="0"/>
                    <w:snapToGrid w:val="0"/>
                    <w:spacing w:line="240" w:lineRule="auto"/>
                    <w:ind w:firstLine="0" w:firstLineChars="0"/>
                    <w:jc w:val="center"/>
                    <w:rPr>
                      <w:sz w:val="21"/>
                      <w:szCs w:val="21"/>
                    </w:rPr>
                  </w:pPr>
                  <w:r>
                    <w:rPr>
                      <w:sz w:val="21"/>
                      <w:szCs w:val="21"/>
                    </w:rPr>
                    <w:t>15</w:t>
                  </w:r>
                </w:p>
              </w:tc>
              <w:tc>
                <w:tcPr>
                  <w:tcW w:w="1688" w:type="pct"/>
                  <w:shd w:val="clear" w:color="auto" w:fill="auto"/>
                  <w:vAlign w:val="center"/>
                </w:tcPr>
                <w:p w14:paraId="5398D747">
                  <w:pPr>
                    <w:adjustRightInd w:val="0"/>
                    <w:snapToGrid w:val="0"/>
                    <w:spacing w:line="240" w:lineRule="auto"/>
                    <w:ind w:firstLine="0" w:firstLineChars="0"/>
                    <w:jc w:val="center"/>
                    <w:rPr>
                      <w:sz w:val="21"/>
                      <w:szCs w:val="21"/>
                    </w:rPr>
                  </w:pPr>
                  <w:r>
                    <w:rPr>
                      <w:rFonts w:hint="eastAsia"/>
                      <w:sz w:val="21"/>
                      <w:szCs w:val="21"/>
                    </w:rPr>
                    <w:t>氯化物/（mg/L）</w:t>
                  </w:r>
                </w:p>
              </w:tc>
              <w:tc>
                <w:tcPr>
                  <w:tcW w:w="594" w:type="pct"/>
                  <w:shd w:val="clear" w:color="auto" w:fill="auto"/>
                  <w:vAlign w:val="center"/>
                </w:tcPr>
                <w:p w14:paraId="57C340B9">
                  <w:pPr>
                    <w:adjustRightInd w:val="0"/>
                    <w:snapToGrid w:val="0"/>
                    <w:spacing w:line="240" w:lineRule="auto"/>
                    <w:ind w:firstLine="0" w:firstLineChars="0"/>
                    <w:jc w:val="center"/>
                    <w:rPr>
                      <w:sz w:val="21"/>
                      <w:szCs w:val="21"/>
                    </w:rPr>
                  </w:pPr>
                  <w:r>
                    <w:rPr>
                      <w:sz w:val="21"/>
                      <w:szCs w:val="21"/>
                    </w:rPr>
                    <w:t>≤</w:t>
                  </w:r>
                  <w:r>
                    <w:rPr>
                      <w:rFonts w:hint="eastAsia"/>
                      <w:sz w:val="21"/>
                      <w:szCs w:val="21"/>
                    </w:rPr>
                    <w:t>50</w:t>
                  </w:r>
                </w:p>
              </w:tc>
              <w:tc>
                <w:tcPr>
                  <w:tcW w:w="594" w:type="pct"/>
                  <w:shd w:val="clear" w:color="auto" w:fill="auto"/>
                  <w:vAlign w:val="center"/>
                </w:tcPr>
                <w:p w14:paraId="50249EF0">
                  <w:pPr>
                    <w:adjustRightInd w:val="0"/>
                    <w:snapToGrid w:val="0"/>
                    <w:spacing w:line="240" w:lineRule="auto"/>
                    <w:ind w:firstLine="0" w:firstLineChars="0"/>
                    <w:jc w:val="center"/>
                    <w:rPr>
                      <w:sz w:val="21"/>
                      <w:szCs w:val="21"/>
                    </w:rPr>
                  </w:pPr>
                  <w:r>
                    <w:rPr>
                      <w:sz w:val="21"/>
                      <w:szCs w:val="21"/>
                    </w:rPr>
                    <w:t>≤150</w:t>
                  </w:r>
                </w:p>
              </w:tc>
              <w:tc>
                <w:tcPr>
                  <w:tcW w:w="594" w:type="pct"/>
                  <w:shd w:val="clear" w:color="auto" w:fill="auto"/>
                  <w:vAlign w:val="center"/>
                </w:tcPr>
                <w:p w14:paraId="3067D397">
                  <w:pPr>
                    <w:adjustRightInd w:val="0"/>
                    <w:snapToGrid w:val="0"/>
                    <w:spacing w:line="240" w:lineRule="auto"/>
                    <w:ind w:firstLine="0" w:firstLineChars="0"/>
                    <w:jc w:val="center"/>
                    <w:rPr>
                      <w:sz w:val="21"/>
                      <w:szCs w:val="21"/>
                    </w:rPr>
                  </w:pPr>
                  <w:r>
                    <w:rPr>
                      <w:sz w:val="21"/>
                      <w:szCs w:val="21"/>
                    </w:rPr>
                    <w:t>≤2</w:t>
                  </w:r>
                  <w:r>
                    <w:rPr>
                      <w:rFonts w:hint="eastAsia"/>
                      <w:sz w:val="21"/>
                      <w:szCs w:val="21"/>
                    </w:rPr>
                    <w:t>5</w:t>
                  </w:r>
                  <w:r>
                    <w:rPr>
                      <w:sz w:val="21"/>
                      <w:szCs w:val="21"/>
                    </w:rPr>
                    <w:t>0</w:t>
                  </w:r>
                </w:p>
              </w:tc>
              <w:tc>
                <w:tcPr>
                  <w:tcW w:w="645" w:type="pct"/>
                  <w:tcBorders>
                    <w:top w:val="single" w:color="auto" w:sz="4" w:space="0"/>
                    <w:bottom w:val="single" w:color="auto" w:sz="4" w:space="0"/>
                  </w:tcBorders>
                  <w:shd w:val="clear" w:color="auto" w:fill="A6A6A6"/>
                  <w:vAlign w:val="center"/>
                </w:tcPr>
                <w:p w14:paraId="39EF3C2E">
                  <w:pPr>
                    <w:adjustRightInd w:val="0"/>
                    <w:snapToGrid w:val="0"/>
                    <w:spacing w:line="240" w:lineRule="auto"/>
                    <w:ind w:firstLine="0" w:firstLineChars="0"/>
                    <w:jc w:val="center"/>
                    <w:rPr>
                      <w:sz w:val="21"/>
                      <w:szCs w:val="21"/>
                    </w:rPr>
                  </w:pPr>
                  <w:r>
                    <w:rPr>
                      <w:sz w:val="21"/>
                      <w:szCs w:val="21"/>
                    </w:rPr>
                    <w:t>≤</w:t>
                  </w:r>
                  <w:r>
                    <w:rPr>
                      <w:rFonts w:hint="eastAsia"/>
                      <w:sz w:val="21"/>
                      <w:szCs w:val="21"/>
                    </w:rPr>
                    <w:t>35</w:t>
                  </w:r>
                  <w:r>
                    <w:rPr>
                      <w:sz w:val="21"/>
                      <w:szCs w:val="21"/>
                    </w:rPr>
                    <w:t>0</w:t>
                  </w:r>
                </w:p>
              </w:tc>
              <w:tc>
                <w:tcPr>
                  <w:tcW w:w="595" w:type="pct"/>
                  <w:vAlign w:val="center"/>
                </w:tcPr>
                <w:p w14:paraId="3262767A">
                  <w:pPr>
                    <w:adjustRightInd w:val="0"/>
                    <w:snapToGrid w:val="0"/>
                    <w:spacing w:line="240" w:lineRule="auto"/>
                    <w:ind w:firstLine="0" w:firstLineChars="0"/>
                    <w:jc w:val="center"/>
                    <w:rPr>
                      <w:sz w:val="21"/>
                      <w:szCs w:val="21"/>
                    </w:rPr>
                  </w:pPr>
                  <w:r>
                    <w:rPr>
                      <w:sz w:val="21"/>
                      <w:szCs w:val="21"/>
                    </w:rPr>
                    <w:t>&gt;</w:t>
                  </w:r>
                  <w:r>
                    <w:rPr>
                      <w:rFonts w:hint="eastAsia"/>
                      <w:sz w:val="21"/>
                      <w:szCs w:val="21"/>
                    </w:rPr>
                    <w:t>35</w:t>
                  </w:r>
                  <w:r>
                    <w:rPr>
                      <w:sz w:val="21"/>
                      <w:szCs w:val="21"/>
                    </w:rPr>
                    <w:t>0</w:t>
                  </w:r>
                </w:p>
              </w:tc>
            </w:tr>
            <w:tr w14:paraId="29D90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90FF85D">
                  <w:pPr>
                    <w:adjustRightInd w:val="0"/>
                    <w:snapToGrid w:val="0"/>
                    <w:spacing w:line="240" w:lineRule="auto"/>
                    <w:ind w:firstLine="0" w:firstLineChars="0"/>
                    <w:jc w:val="center"/>
                    <w:rPr>
                      <w:sz w:val="21"/>
                      <w:szCs w:val="21"/>
                    </w:rPr>
                  </w:pPr>
                  <w:r>
                    <w:rPr>
                      <w:sz w:val="21"/>
                      <w:szCs w:val="21"/>
                    </w:rPr>
                    <w:t>16</w:t>
                  </w:r>
                </w:p>
              </w:tc>
              <w:tc>
                <w:tcPr>
                  <w:tcW w:w="1688" w:type="pct"/>
                  <w:shd w:val="clear" w:color="auto" w:fill="auto"/>
                  <w:vAlign w:val="center"/>
                </w:tcPr>
                <w:p w14:paraId="20C20270">
                  <w:pPr>
                    <w:adjustRightInd w:val="0"/>
                    <w:snapToGrid w:val="0"/>
                    <w:spacing w:line="240" w:lineRule="auto"/>
                    <w:ind w:firstLine="0" w:firstLineChars="0"/>
                    <w:jc w:val="center"/>
                    <w:rPr>
                      <w:sz w:val="21"/>
                      <w:szCs w:val="21"/>
                    </w:rPr>
                  </w:pPr>
                  <w:r>
                    <w:rPr>
                      <w:sz w:val="21"/>
                      <w:szCs w:val="21"/>
                    </w:rPr>
                    <w:t>砷/（mg/L）</w:t>
                  </w:r>
                </w:p>
              </w:tc>
              <w:tc>
                <w:tcPr>
                  <w:tcW w:w="594" w:type="pct"/>
                  <w:shd w:val="clear" w:color="auto" w:fill="auto"/>
                  <w:vAlign w:val="center"/>
                </w:tcPr>
                <w:p w14:paraId="666CAFCE">
                  <w:pPr>
                    <w:adjustRightInd w:val="0"/>
                    <w:snapToGrid w:val="0"/>
                    <w:spacing w:line="240" w:lineRule="auto"/>
                    <w:ind w:firstLine="0" w:firstLineChars="0"/>
                    <w:jc w:val="center"/>
                    <w:rPr>
                      <w:sz w:val="21"/>
                      <w:szCs w:val="21"/>
                    </w:rPr>
                  </w:pPr>
                  <w:r>
                    <w:rPr>
                      <w:sz w:val="21"/>
                      <w:szCs w:val="21"/>
                    </w:rPr>
                    <w:t>≤0.001</w:t>
                  </w:r>
                </w:p>
              </w:tc>
              <w:tc>
                <w:tcPr>
                  <w:tcW w:w="594" w:type="pct"/>
                  <w:shd w:val="clear" w:color="auto" w:fill="auto"/>
                  <w:vAlign w:val="center"/>
                </w:tcPr>
                <w:p w14:paraId="728A8141">
                  <w:pPr>
                    <w:adjustRightInd w:val="0"/>
                    <w:snapToGrid w:val="0"/>
                    <w:spacing w:line="240" w:lineRule="auto"/>
                    <w:ind w:firstLine="0" w:firstLineChars="0"/>
                    <w:jc w:val="center"/>
                    <w:rPr>
                      <w:sz w:val="21"/>
                      <w:szCs w:val="21"/>
                    </w:rPr>
                  </w:pPr>
                  <w:r>
                    <w:rPr>
                      <w:sz w:val="21"/>
                      <w:szCs w:val="21"/>
                    </w:rPr>
                    <w:t>≤0.001</w:t>
                  </w:r>
                </w:p>
              </w:tc>
              <w:tc>
                <w:tcPr>
                  <w:tcW w:w="594" w:type="pct"/>
                  <w:shd w:val="clear" w:color="auto" w:fill="auto"/>
                  <w:vAlign w:val="center"/>
                </w:tcPr>
                <w:p w14:paraId="70BB1B60">
                  <w:pPr>
                    <w:adjustRightInd w:val="0"/>
                    <w:snapToGrid w:val="0"/>
                    <w:spacing w:line="240" w:lineRule="auto"/>
                    <w:ind w:firstLine="0" w:firstLineChars="0"/>
                    <w:jc w:val="center"/>
                    <w:rPr>
                      <w:sz w:val="21"/>
                      <w:szCs w:val="21"/>
                    </w:rPr>
                  </w:pPr>
                  <w:r>
                    <w:rPr>
                      <w:sz w:val="21"/>
                      <w:szCs w:val="21"/>
                    </w:rPr>
                    <w:t>≤0.01</w:t>
                  </w:r>
                </w:p>
              </w:tc>
              <w:tc>
                <w:tcPr>
                  <w:tcW w:w="645" w:type="pct"/>
                  <w:tcBorders>
                    <w:top w:val="single" w:color="auto" w:sz="4" w:space="0"/>
                    <w:bottom w:val="single" w:color="auto" w:sz="4" w:space="0"/>
                  </w:tcBorders>
                  <w:shd w:val="clear" w:color="auto" w:fill="A6A6A6"/>
                  <w:vAlign w:val="center"/>
                </w:tcPr>
                <w:p w14:paraId="4383BA59">
                  <w:pPr>
                    <w:adjustRightInd w:val="0"/>
                    <w:snapToGrid w:val="0"/>
                    <w:spacing w:line="240" w:lineRule="auto"/>
                    <w:ind w:firstLine="0" w:firstLineChars="0"/>
                    <w:jc w:val="center"/>
                    <w:rPr>
                      <w:sz w:val="21"/>
                      <w:szCs w:val="21"/>
                    </w:rPr>
                  </w:pPr>
                  <w:r>
                    <w:rPr>
                      <w:sz w:val="21"/>
                      <w:szCs w:val="21"/>
                    </w:rPr>
                    <w:t>≤0.05</w:t>
                  </w:r>
                </w:p>
              </w:tc>
              <w:tc>
                <w:tcPr>
                  <w:tcW w:w="595" w:type="pct"/>
                  <w:vAlign w:val="center"/>
                </w:tcPr>
                <w:p w14:paraId="3C333C4D">
                  <w:pPr>
                    <w:adjustRightInd w:val="0"/>
                    <w:snapToGrid w:val="0"/>
                    <w:spacing w:line="240" w:lineRule="auto"/>
                    <w:ind w:firstLine="0" w:firstLineChars="0"/>
                    <w:jc w:val="center"/>
                    <w:rPr>
                      <w:sz w:val="21"/>
                      <w:szCs w:val="21"/>
                    </w:rPr>
                  </w:pPr>
                  <w:r>
                    <w:rPr>
                      <w:sz w:val="21"/>
                      <w:szCs w:val="21"/>
                    </w:rPr>
                    <w:t>&gt;0.05</w:t>
                  </w:r>
                </w:p>
              </w:tc>
            </w:tr>
            <w:tr w14:paraId="7DA45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3337A320">
                  <w:pPr>
                    <w:adjustRightInd w:val="0"/>
                    <w:snapToGrid w:val="0"/>
                    <w:spacing w:line="240" w:lineRule="auto"/>
                    <w:ind w:firstLine="0" w:firstLineChars="0"/>
                    <w:jc w:val="center"/>
                    <w:rPr>
                      <w:sz w:val="21"/>
                      <w:szCs w:val="21"/>
                    </w:rPr>
                  </w:pPr>
                  <w:r>
                    <w:rPr>
                      <w:sz w:val="21"/>
                      <w:szCs w:val="21"/>
                    </w:rPr>
                    <w:t>17</w:t>
                  </w:r>
                </w:p>
              </w:tc>
              <w:tc>
                <w:tcPr>
                  <w:tcW w:w="1688" w:type="pct"/>
                  <w:shd w:val="clear" w:color="auto" w:fill="auto"/>
                  <w:vAlign w:val="center"/>
                </w:tcPr>
                <w:p w14:paraId="6871EF27">
                  <w:pPr>
                    <w:adjustRightInd w:val="0"/>
                    <w:snapToGrid w:val="0"/>
                    <w:spacing w:line="240" w:lineRule="auto"/>
                    <w:ind w:firstLine="0" w:firstLineChars="0"/>
                    <w:jc w:val="center"/>
                    <w:rPr>
                      <w:sz w:val="21"/>
                      <w:szCs w:val="21"/>
                    </w:rPr>
                  </w:pPr>
                  <w:r>
                    <w:rPr>
                      <w:sz w:val="21"/>
                      <w:szCs w:val="21"/>
                    </w:rPr>
                    <w:t>汞/（mg/L）</w:t>
                  </w:r>
                </w:p>
              </w:tc>
              <w:tc>
                <w:tcPr>
                  <w:tcW w:w="594" w:type="pct"/>
                  <w:shd w:val="clear" w:color="auto" w:fill="auto"/>
                  <w:vAlign w:val="center"/>
                </w:tcPr>
                <w:p w14:paraId="294907F1">
                  <w:pPr>
                    <w:adjustRightInd w:val="0"/>
                    <w:snapToGrid w:val="0"/>
                    <w:spacing w:line="240" w:lineRule="auto"/>
                    <w:ind w:firstLine="0" w:firstLineChars="0"/>
                    <w:jc w:val="center"/>
                    <w:rPr>
                      <w:sz w:val="21"/>
                      <w:szCs w:val="21"/>
                    </w:rPr>
                  </w:pPr>
                  <w:r>
                    <w:rPr>
                      <w:sz w:val="21"/>
                      <w:szCs w:val="21"/>
                    </w:rPr>
                    <w:t>≤0.0001</w:t>
                  </w:r>
                </w:p>
              </w:tc>
              <w:tc>
                <w:tcPr>
                  <w:tcW w:w="594" w:type="pct"/>
                  <w:shd w:val="clear" w:color="auto" w:fill="auto"/>
                  <w:vAlign w:val="center"/>
                </w:tcPr>
                <w:p w14:paraId="391B994A">
                  <w:pPr>
                    <w:adjustRightInd w:val="0"/>
                    <w:snapToGrid w:val="0"/>
                    <w:spacing w:line="240" w:lineRule="auto"/>
                    <w:ind w:firstLine="0" w:firstLineChars="0"/>
                    <w:jc w:val="center"/>
                    <w:rPr>
                      <w:sz w:val="21"/>
                      <w:szCs w:val="21"/>
                    </w:rPr>
                  </w:pPr>
                  <w:r>
                    <w:rPr>
                      <w:sz w:val="21"/>
                      <w:szCs w:val="21"/>
                    </w:rPr>
                    <w:t>≤0.0001</w:t>
                  </w:r>
                </w:p>
              </w:tc>
              <w:tc>
                <w:tcPr>
                  <w:tcW w:w="594" w:type="pct"/>
                  <w:shd w:val="clear" w:color="auto" w:fill="auto"/>
                  <w:vAlign w:val="center"/>
                </w:tcPr>
                <w:p w14:paraId="5BB1EF57">
                  <w:pPr>
                    <w:adjustRightInd w:val="0"/>
                    <w:snapToGrid w:val="0"/>
                    <w:spacing w:line="240" w:lineRule="auto"/>
                    <w:ind w:firstLine="0" w:firstLineChars="0"/>
                    <w:jc w:val="center"/>
                    <w:rPr>
                      <w:sz w:val="21"/>
                      <w:szCs w:val="21"/>
                    </w:rPr>
                  </w:pPr>
                  <w:r>
                    <w:rPr>
                      <w:sz w:val="21"/>
                      <w:szCs w:val="21"/>
                    </w:rPr>
                    <w:t>≤0.001</w:t>
                  </w:r>
                </w:p>
              </w:tc>
              <w:tc>
                <w:tcPr>
                  <w:tcW w:w="645" w:type="pct"/>
                  <w:tcBorders>
                    <w:top w:val="single" w:color="auto" w:sz="4" w:space="0"/>
                    <w:bottom w:val="single" w:color="auto" w:sz="4" w:space="0"/>
                  </w:tcBorders>
                  <w:shd w:val="clear" w:color="auto" w:fill="A6A6A6"/>
                  <w:vAlign w:val="center"/>
                </w:tcPr>
                <w:p w14:paraId="220D8A45">
                  <w:pPr>
                    <w:adjustRightInd w:val="0"/>
                    <w:snapToGrid w:val="0"/>
                    <w:spacing w:line="240" w:lineRule="auto"/>
                    <w:ind w:firstLine="0" w:firstLineChars="0"/>
                    <w:jc w:val="center"/>
                    <w:rPr>
                      <w:sz w:val="21"/>
                      <w:szCs w:val="21"/>
                    </w:rPr>
                  </w:pPr>
                  <w:r>
                    <w:rPr>
                      <w:sz w:val="21"/>
                      <w:szCs w:val="21"/>
                    </w:rPr>
                    <w:t>≤0.002</w:t>
                  </w:r>
                </w:p>
              </w:tc>
              <w:tc>
                <w:tcPr>
                  <w:tcW w:w="595" w:type="pct"/>
                  <w:vAlign w:val="center"/>
                </w:tcPr>
                <w:p w14:paraId="1C68CC1D">
                  <w:pPr>
                    <w:adjustRightInd w:val="0"/>
                    <w:snapToGrid w:val="0"/>
                    <w:spacing w:line="240" w:lineRule="auto"/>
                    <w:ind w:firstLine="0" w:firstLineChars="0"/>
                    <w:jc w:val="center"/>
                    <w:rPr>
                      <w:sz w:val="21"/>
                      <w:szCs w:val="21"/>
                    </w:rPr>
                  </w:pPr>
                  <w:r>
                    <w:rPr>
                      <w:sz w:val="21"/>
                      <w:szCs w:val="21"/>
                    </w:rPr>
                    <w:t>&gt;0.002</w:t>
                  </w:r>
                </w:p>
              </w:tc>
            </w:tr>
            <w:tr w14:paraId="41754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EA1E43D">
                  <w:pPr>
                    <w:adjustRightInd w:val="0"/>
                    <w:snapToGrid w:val="0"/>
                    <w:spacing w:line="240" w:lineRule="auto"/>
                    <w:ind w:firstLine="0" w:firstLineChars="0"/>
                    <w:jc w:val="center"/>
                    <w:rPr>
                      <w:sz w:val="21"/>
                      <w:szCs w:val="21"/>
                    </w:rPr>
                  </w:pPr>
                  <w:r>
                    <w:rPr>
                      <w:sz w:val="21"/>
                      <w:szCs w:val="21"/>
                    </w:rPr>
                    <w:t>18</w:t>
                  </w:r>
                </w:p>
              </w:tc>
              <w:tc>
                <w:tcPr>
                  <w:tcW w:w="1688" w:type="pct"/>
                  <w:shd w:val="clear" w:color="auto" w:fill="auto"/>
                  <w:vAlign w:val="center"/>
                </w:tcPr>
                <w:p w14:paraId="55B8E74E">
                  <w:pPr>
                    <w:adjustRightInd w:val="0"/>
                    <w:snapToGrid w:val="0"/>
                    <w:spacing w:line="240" w:lineRule="auto"/>
                    <w:ind w:firstLine="0" w:firstLineChars="0"/>
                    <w:jc w:val="center"/>
                    <w:rPr>
                      <w:sz w:val="21"/>
                      <w:szCs w:val="21"/>
                    </w:rPr>
                  </w:pPr>
                  <w:r>
                    <w:rPr>
                      <w:sz w:val="21"/>
                      <w:szCs w:val="21"/>
                    </w:rPr>
                    <w:t>铬（六价）/（mg/L）</w:t>
                  </w:r>
                </w:p>
              </w:tc>
              <w:tc>
                <w:tcPr>
                  <w:tcW w:w="594" w:type="pct"/>
                  <w:shd w:val="clear" w:color="auto" w:fill="auto"/>
                  <w:vAlign w:val="center"/>
                </w:tcPr>
                <w:p w14:paraId="7C20DC77">
                  <w:pPr>
                    <w:adjustRightInd w:val="0"/>
                    <w:snapToGrid w:val="0"/>
                    <w:spacing w:line="240" w:lineRule="auto"/>
                    <w:ind w:firstLine="0" w:firstLineChars="0"/>
                    <w:jc w:val="center"/>
                    <w:rPr>
                      <w:sz w:val="21"/>
                      <w:szCs w:val="21"/>
                    </w:rPr>
                  </w:pPr>
                  <w:r>
                    <w:rPr>
                      <w:sz w:val="21"/>
                      <w:szCs w:val="21"/>
                    </w:rPr>
                    <w:t>≤0.005</w:t>
                  </w:r>
                </w:p>
              </w:tc>
              <w:tc>
                <w:tcPr>
                  <w:tcW w:w="594" w:type="pct"/>
                  <w:shd w:val="clear" w:color="auto" w:fill="auto"/>
                  <w:vAlign w:val="center"/>
                </w:tcPr>
                <w:p w14:paraId="4E296F9E">
                  <w:pPr>
                    <w:adjustRightInd w:val="0"/>
                    <w:snapToGrid w:val="0"/>
                    <w:spacing w:line="240" w:lineRule="auto"/>
                    <w:ind w:firstLine="0" w:firstLineChars="0"/>
                    <w:jc w:val="center"/>
                    <w:rPr>
                      <w:sz w:val="21"/>
                      <w:szCs w:val="21"/>
                    </w:rPr>
                  </w:pPr>
                  <w:r>
                    <w:rPr>
                      <w:sz w:val="21"/>
                      <w:szCs w:val="21"/>
                    </w:rPr>
                    <w:t>≤0.01</w:t>
                  </w:r>
                </w:p>
              </w:tc>
              <w:tc>
                <w:tcPr>
                  <w:tcW w:w="594" w:type="pct"/>
                  <w:shd w:val="clear" w:color="auto" w:fill="auto"/>
                  <w:vAlign w:val="center"/>
                </w:tcPr>
                <w:p w14:paraId="7BABEF6D">
                  <w:pPr>
                    <w:adjustRightInd w:val="0"/>
                    <w:snapToGrid w:val="0"/>
                    <w:spacing w:line="240" w:lineRule="auto"/>
                    <w:ind w:firstLine="0" w:firstLineChars="0"/>
                    <w:jc w:val="center"/>
                    <w:rPr>
                      <w:sz w:val="21"/>
                      <w:szCs w:val="21"/>
                    </w:rPr>
                  </w:pPr>
                  <w:r>
                    <w:rPr>
                      <w:sz w:val="21"/>
                      <w:szCs w:val="21"/>
                    </w:rPr>
                    <w:t>≤0.05</w:t>
                  </w:r>
                </w:p>
              </w:tc>
              <w:tc>
                <w:tcPr>
                  <w:tcW w:w="645" w:type="pct"/>
                  <w:tcBorders>
                    <w:top w:val="single" w:color="auto" w:sz="4" w:space="0"/>
                    <w:bottom w:val="single" w:color="auto" w:sz="4" w:space="0"/>
                  </w:tcBorders>
                  <w:shd w:val="clear" w:color="auto" w:fill="A6A6A6"/>
                  <w:vAlign w:val="center"/>
                </w:tcPr>
                <w:p w14:paraId="02116B59">
                  <w:pPr>
                    <w:adjustRightInd w:val="0"/>
                    <w:snapToGrid w:val="0"/>
                    <w:spacing w:line="240" w:lineRule="auto"/>
                    <w:ind w:firstLine="0" w:firstLineChars="0"/>
                    <w:jc w:val="center"/>
                    <w:rPr>
                      <w:sz w:val="21"/>
                      <w:szCs w:val="21"/>
                    </w:rPr>
                  </w:pPr>
                  <w:r>
                    <w:rPr>
                      <w:sz w:val="21"/>
                      <w:szCs w:val="21"/>
                    </w:rPr>
                    <w:t>≤0.10</w:t>
                  </w:r>
                </w:p>
              </w:tc>
              <w:tc>
                <w:tcPr>
                  <w:tcW w:w="595" w:type="pct"/>
                  <w:vAlign w:val="center"/>
                </w:tcPr>
                <w:p w14:paraId="737A818E">
                  <w:pPr>
                    <w:adjustRightInd w:val="0"/>
                    <w:snapToGrid w:val="0"/>
                    <w:spacing w:line="240" w:lineRule="auto"/>
                    <w:ind w:firstLine="0" w:firstLineChars="0"/>
                    <w:jc w:val="center"/>
                    <w:rPr>
                      <w:sz w:val="21"/>
                      <w:szCs w:val="21"/>
                    </w:rPr>
                  </w:pPr>
                  <w:r>
                    <w:rPr>
                      <w:sz w:val="21"/>
                      <w:szCs w:val="21"/>
                    </w:rPr>
                    <w:t>&gt;0.10</w:t>
                  </w:r>
                </w:p>
              </w:tc>
            </w:tr>
            <w:tr w14:paraId="04606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38C78781">
                  <w:pPr>
                    <w:adjustRightInd w:val="0"/>
                    <w:snapToGrid w:val="0"/>
                    <w:spacing w:line="240" w:lineRule="auto"/>
                    <w:ind w:firstLine="0" w:firstLineChars="0"/>
                    <w:jc w:val="center"/>
                    <w:rPr>
                      <w:sz w:val="21"/>
                      <w:szCs w:val="21"/>
                    </w:rPr>
                  </w:pPr>
                  <w:r>
                    <w:rPr>
                      <w:sz w:val="21"/>
                      <w:szCs w:val="21"/>
                    </w:rPr>
                    <w:t>19</w:t>
                  </w:r>
                </w:p>
              </w:tc>
              <w:tc>
                <w:tcPr>
                  <w:tcW w:w="1688" w:type="pct"/>
                  <w:shd w:val="clear" w:color="auto" w:fill="auto"/>
                  <w:vAlign w:val="center"/>
                </w:tcPr>
                <w:p w14:paraId="29BD0C0A">
                  <w:pPr>
                    <w:adjustRightInd w:val="0"/>
                    <w:snapToGrid w:val="0"/>
                    <w:spacing w:line="240" w:lineRule="auto"/>
                    <w:ind w:firstLine="0" w:firstLineChars="0"/>
                    <w:jc w:val="center"/>
                    <w:rPr>
                      <w:sz w:val="21"/>
                      <w:szCs w:val="21"/>
                    </w:rPr>
                  </w:pPr>
                  <w:r>
                    <w:rPr>
                      <w:sz w:val="21"/>
                      <w:szCs w:val="21"/>
                    </w:rPr>
                    <w:t>铅/（mg/L）</w:t>
                  </w:r>
                </w:p>
              </w:tc>
              <w:tc>
                <w:tcPr>
                  <w:tcW w:w="594" w:type="pct"/>
                  <w:shd w:val="clear" w:color="auto" w:fill="auto"/>
                  <w:vAlign w:val="center"/>
                </w:tcPr>
                <w:p w14:paraId="69FAAC60">
                  <w:pPr>
                    <w:adjustRightInd w:val="0"/>
                    <w:snapToGrid w:val="0"/>
                    <w:spacing w:line="240" w:lineRule="auto"/>
                    <w:ind w:firstLine="0" w:firstLineChars="0"/>
                    <w:jc w:val="center"/>
                    <w:rPr>
                      <w:sz w:val="21"/>
                      <w:szCs w:val="21"/>
                    </w:rPr>
                  </w:pPr>
                  <w:r>
                    <w:rPr>
                      <w:sz w:val="21"/>
                      <w:szCs w:val="21"/>
                    </w:rPr>
                    <w:t>≤0.005</w:t>
                  </w:r>
                </w:p>
              </w:tc>
              <w:tc>
                <w:tcPr>
                  <w:tcW w:w="594" w:type="pct"/>
                  <w:shd w:val="clear" w:color="auto" w:fill="auto"/>
                  <w:vAlign w:val="center"/>
                </w:tcPr>
                <w:p w14:paraId="4FD079D5">
                  <w:pPr>
                    <w:adjustRightInd w:val="0"/>
                    <w:snapToGrid w:val="0"/>
                    <w:spacing w:line="240" w:lineRule="auto"/>
                    <w:ind w:firstLine="0" w:firstLineChars="0"/>
                    <w:jc w:val="center"/>
                    <w:rPr>
                      <w:sz w:val="21"/>
                      <w:szCs w:val="21"/>
                    </w:rPr>
                  </w:pPr>
                  <w:r>
                    <w:rPr>
                      <w:sz w:val="21"/>
                      <w:szCs w:val="21"/>
                    </w:rPr>
                    <w:t>≤0.005</w:t>
                  </w:r>
                </w:p>
              </w:tc>
              <w:tc>
                <w:tcPr>
                  <w:tcW w:w="594" w:type="pct"/>
                  <w:shd w:val="clear" w:color="auto" w:fill="auto"/>
                  <w:vAlign w:val="center"/>
                </w:tcPr>
                <w:p w14:paraId="3867BA49">
                  <w:pPr>
                    <w:adjustRightInd w:val="0"/>
                    <w:snapToGrid w:val="0"/>
                    <w:spacing w:line="240" w:lineRule="auto"/>
                    <w:ind w:firstLine="0" w:firstLineChars="0"/>
                    <w:jc w:val="center"/>
                    <w:rPr>
                      <w:sz w:val="21"/>
                      <w:szCs w:val="21"/>
                    </w:rPr>
                  </w:pPr>
                  <w:r>
                    <w:rPr>
                      <w:sz w:val="21"/>
                      <w:szCs w:val="21"/>
                    </w:rPr>
                    <w:t>≤0.01</w:t>
                  </w:r>
                </w:p>
              </w:tc>
              <w:tc>
                <w:tcPr>
                  <w:tcW w:w="645" w:type="pct"/>
                  <w:tcBorders>
                    <w:top w:val="single" w:color="auto" w:sz="4" w:space="0"/>
                    <w:bottom w:val="single" w:color="auto" w:sz="4" w:space="0"/>
                  </w:tcBorders>
                  <w:shd w:val="clear" w:color="auto" w:fill="A6A6A6"/>
                  <w:vAlign w:val="center"/>
                </w:tcPr>
                <w:p w14:paraId="59586FF7">
                  <w:pPr>
                    <w:adjustRightInd w:val="0"/>
                    <w:snapToGrid w:val="0"/>
                    <w:spacing w:line="240" w:lineRule="auto"/>
                    <w:ind w:firstLine="0" w:firstLineChars="0"/>
                    <w:jc w:val="center"/>
                    <w:rPr>
                      <w:sz w:val="21"/>
                      <w:szCs w:val="21"/>
                    </w:rPr>
                  </w:pPr>
                  <w:r>
                    <w:rPr>
                      <w:sz w:val="21"/>
                      <w:szCs w:val="21"/>
                    </w:rPr>
                    <w:t>≤0.10</w:t>
                  </w:r>
                </w:p>
              </w:tc>
              <w:tc>
                <w:tcPr>
                  <w:tcW w:w="595" w:type="pct"/>
                  <w:vAlign w:val="center"/>
                </w:tcPr>
                <w:p w14:paraId="7562005C">
                  <w:pPr>
                    <w:adjustRightInd w:val="0"/>
                    <w:snapToGrid w:val="0"/>
                    <w:spacing w:line="240" w:lineRule="auto"/>
                    <w:ind w:firstLine="0" w:firstLineChars="0"/>
                    <w:jc w:val="center"/>
                    <w:rPr>
                      <w:sz w:val="21"/>
                      <w:szCs w:val="21"/>
                    </w:rPr>
                  </w:pPr>
                  <w:r>
                    <w:rPr>
                      <w:sz w:val="21"/>
                      <w:szCs w:val="21"/>
                    </w:rPr>
                    <w:t>&gt;0.10</w:t>
                  </w:r>
                </w:p>
              </w:tc>
            </w:tr>
            <w:tr w14:paraId="4D144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2719149C">
                  <w:pPr>
                    <w:adjustRightInd w:val="0"/>
                    <w:snapToGrid w:val="0"/>
                    <w:spacing w:line="240" w:lineRule="auto"/>
                    <w:ind w:firstLine="0" w:firstLineChars="0"/>
                    <w:jc w:val="center"/>
                    <w:rPr>
                      <w:sz w:val="21"/>
                      <w:szCs w:val="21"/>
                    </w:rPr>
                  </w:pPr>
                  <w:r>
                    <w:rPr>
                      <w:sz w:val="21"/>
                      <w:szCs w:val="21"/>
                    </w:rPr>
                    <w:t>20</w:t>
                  </w:r>
                </w:p>
              </w:tc>
              <w:tc>
                <w:tcPr>
                  <w:tcW w:w="1688" w:type="pct"/>
                  <w:shd w:val="clear" w:color="auto" w:fill="auto"/>
                  <w:vAlign w:val="center"/>
                </w:tcPr>
                <w:p w14:paraId="1FA60C1A">
                  <w:pPr>
                    <w:adjustRightInd w:val="0"/>
                    <w:snapToGrid w:val="0"/>
                    <w:spacing w:line="240" w:lineRule="auto"/>
                    <w:ind w:firstLine="0" w:firstLineChars="0"/>
                    <w:jc w:val="center"/>
                    <w:rPr>
                      <w:sz w:val="21"/>
                      <w:szCs w:val="21"/>
                    </w:rPr>
                  </w:pPr>
                  <w:r>
                    <w:rPr>
                      <w:sz w:val="21"/>
                      <w:szCs w:val="21"/>
                    </w:rPr>
                    <w:t>镉/（mg/L）</w:t>
                  </w:r>
                </w:p>
              </w:tc>
              <w:tc>
                <w:tcPr>
                  <w:tcW w:w="594" w:type="pct"/>
                  <w:shd w:val="clear" w:color="auto" w:fill="auto"/>
                  <w:vAlign w:val="center"/>
                </w:tcPr>
                <w:p w14:paraId="7F3FB1A5">
                  <w:pPr>
                    <w:adjustRightInd w:val="0"/>
                    <w:snapToGrid w:val="0"/>
                    <w:spacing w:line="240" w:lineRule="auto"/>
                    <w:ind w:firstLine="0" w:firstLineChars="0"/>
                    <w:jc w:val="center"/>
                    <w:rPr>
                      <w:sz w:val="21"/>
                      <w:szCs w:val="21"/>
                    </w:rPr>
                  </w:pPr>
                  <w:r>
                    <w:rPr>
                      <w:sz w:val="21"/>
                      <w:szCs w:val="21"/>
                    </w:rPr>
                    <w:t>≤0.0001</w:t>
                  </w:r>
                </w:p>
              </w:tc>
              <w:tc>
                <w:tcPr>
                  <w:tcW w:w="594" w:type="pct"/>
                  <w:shd w:val="clear" w:color="auto" w:fill="auto"/>
                  <w:vAlign w:val="center"/>
                </w:tcPr>
                <w:p w14:paraId="2FF9F30E">
                  <w:pPr>
                    <w:adjustRightInd w:val="0"/>
                    <w:snapToGrid w:val="0"/>
                    <w:spacing w:line="240" w:lineRule="auto"/>
                    <w:ind w:firstLine="0" w:firstLineChars="0"/>
                    <w:jc w:val="center"/>
                    <w:rPr>
                      <w:sz w:val="21"/>
                      <w:szCs w:val="21"/>
                    </w:rPr>
                  </w:pPr>
                  <w:r>
                    <w:rPr>
                      <w:sz w:val="21"/>
                      <w:szCs w:val="21"/>
                    </w:rPr>
                    <w:t>≤0.001</w:t>
                  </w:r>
                </w:p>
              </w:tc>
              <w:tc>
                <w:tcPr>
                  <w:tcW w:w="594" w:type="pct"/>
                  <w:shd w:val="clear" w:color="auto" w:fill="auto"/>
                  <w:vAlign w:val="center"/>
                </w:tcPr>
                <w:p w14:paraId="2108F181">
                  <w:pPr>
                    <w:adjustRightInd w:val="0"/>
                    <w:snapToGrid w:val="0"/>
                    <w:spacing w:line="240" w:lineRule="auto"/>
                    <w:ind w:firstLine="0" w:firstLineChars="0"/>
                    <w:jc w:val="center"/>
                    <w:rPr>
                      <w:sz w:val="21"/>
                      <w:szCs w:val="21"/>
                    </w:rPr>
                  </w:pPr>
                  <w:r>
                    <w:rPr>
                      <w:sz w:val="21"/>
                      <w:szCs w:val="21"/>
                    </w:rPr>
                    <w:t>≤0.005</w:t>
                  </w:r>
                </w:p>
              </w:tc>
              <w:tc>
                <w:tcPr>
                  <w:tcW w:w="645" w:type="pct"/>
                  <w:tcBorders>
                    <w:top w:val="single" w:color="auto" w:sz="4" w:space="0"/>
                    <w:bottom w:val="single" w:color="auto" w:sz="4" w:space="0"/>
                  </w:tcBorders>
                  <w:shd w:val="clear" w:color="auto" w:fill="A6A6A6"/>
                  <w:vAlign w:val="center"/>
                </w:tcPr>
                <w:p w14:paraId="48023F33">
                  <w:pPr>
                    <w:adjustRightInd w:val="0"/>
                    <w:snapToGrid w:val="0"/>
                    <w:spacing w:line="240" w:lineRule="auto"/>
                    <w:ind w:firstLine="0" w:firstLineChars="0"/>
                    <w:jc w:val="center"/>
                    <w:rPr>
                      <w:sz w:val="21"/>
                      <w:szCs w:val="21"/>
                    </w:rPr>
                  </w:pPr>
                  <w:r>
                    <w:rPr>
                      <w:sz w:val="21"/>
                      <w:szCs w:val="21"/>
                    </w:rPr>
                    <w:t>≤0.01</w:t>
                  </w:r>
                </w:p>
              </w:tc>
              <w:tc>
                <w:tcPr>
                  <w:tcW w:w="595" w:type="pct"/>
                  <w:vAlign w:val="center"/>
                </w:tcPr>
                <w:p w14:paraId="647426AE">
                  <w:pPr>
                    <w:adjustRightInd w:val="0"/>
                    <w:snapToGrid w:val="0"/>
                    <w:spacing w:line="240" w:lineRule="auto"/>
                    <w:ind w:firstLine="0" w:firstLineChars="0"/>
                    <w:jc w:val="center"/>
                    <w:rPr>
                      <w:sz w:val="21"/>
                      <w:szCs w:val="21"/>
                    </w:rPr>
                  </w:pPr>
                  <w:r>
                    <w:rPr>
                      <w:sz w:val="21"/>
                      <w:szCs w:val="21"/>
                    </w:rPr>
                    <w:t>&gt;0.01</w:t>
                  </w:r>
                </w:p>
              </w:tc>
            </w:tr>
            <w:tr w14:paraId="3F9A3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09680E58">
                  <w:pPr>
                    <w:adjustRightInd w:val="0"/>
                    <w:snapToGrid w:val="0"/>
                    <w:spacing w:line="240" w:lineRule="auto"/>
                    <w:ind w:firstLine="0" w:firstLineChars="0"/>
                    <w:jc w:val="center"/>
                    <w:rPr>
                      <w:sz w:val="21"/>
                      <w:szCs w:val="21"/>
                    </w:rPr>
                  </w:pPr>
                  <w:r>
                    <w:rPr>
                      <w:rFonts w:hint="eastAsia"/>
                      <w:sz w:val="21"/>
                      <w:szCs w:val="21"/>
                    </w:rPr>
                    <w:t>23</w:t>
                  </w:r>
                </w:p>
              </w:tc>
              <w:tc>
                <w:tcPr>
                  <w:tcW w:w="1688" w:type="pct"/>
                  <w:shd w:val="clear" w:color="auto" w:fill="auto"/>
                  <w:vAlign w:val="center"/>
                </w:tcPr>
                <w:p w14:paraId="4735E9C8">
                  <w:pPr>
                    <w:adjustRightInd w:val="0"/>
                    <w:snapToGrid w:val="0"/>
                    <w:spacing w:line="240" w:lineRule="auto"/>
                    <w:ind w:firstLine="0" w:firstLineChars="0"/>
                    <w:jc w:val="center"/>
                    <w:rPr>
                      <w:sz w:val="21"/>
                      <w:szCs w:val="21"/>
                    </w:rPr>
                  </w:pPr>
                  <w:r>
                    <w:rPr>
                      <w:sz w:val="21"/>
                      <w:szCs w:val="21"/>
                    </w:rPr>
                    <w:t>铜/（mg/L）</w:t>
                  </w:r>
                </w:p>
              </w:tc>
              <w:tc>
                <w:tcPr>
                  <w:tcW w:w="594" w:type="pct"/>
                  <w:shd w:val="clear" w:color="auto" w:fill="auto"/>
                  <w:vAlign w:val="center"/>
                </w:tcPr>
                <w:p w14:paraId="421E868E">
                  <w:pPr>
                    <w:adjustRightInd w:val="0"/>
                    <w:snapToGrid w:val="0"/>
                    <w:spacing w:line="240" w:lineRule="auto"/>
                    <w:ind w:firstLine="0" w:firstLineChars="0"/>
                    <w:jc w:val="center"/>
                    <w:rPr>
                      <w:sz w:val="21"/>
                      <w:szCs w:val="21"/>
                    </w:rPr>
                  </w:pPr>
                  <w:r>
                    <w:rPr>
                      <w:sz w:val="21"/>
                      <w:szCs w:val="21"/>
                    </w:rPr>
                    <w:t>≤0.01</w:t>
                  </w:r>
                </w:p>
              </w:tc>
              <w:tc>
                <w:tcPr>
                  <w:tcW w:w="594" w:type="pct"/>
                  <w:shd w:val="clear" w:color="auto" w:fill="auto"/>
                  <w:vAlign w:val="center"/>
                </w:tcPr>
                <w:p w14:paraId="6E4366C5">
                  <w:pPr>
                    <w:adjustRightInd w:val="0"/>
                    <w:snapToGrid w:val="0"/>
                    <w:spacing w:line="240" w:lineRule="auto"/>
                    <w:ind w:firstLine="0" w:firstLineChars="0"/>
                    <w:jc w:val="center"/>
                    <w:rPr>
                      <w:sz w:val="21"/>
                      <w:szCs w:val="21"/>
                    </w:rPr>
                  </w:pPr>
                  <w:r>
                    <w:rPr>
                      <w:sz w:val="21"/>
                      <w:szCs w:val="21"/>
                    </w:rPr>
                    <w:t>≤0.05</w:t>
                  </w:r>
                </w:p>
              </w:tc>
              <w:tc>
                <w:tcPr>
                  <w:tcW w:w="594" w:type="pct"/>
                  <w:shd w:val="clear" w:color="auto" w:fill="auto"/>
                  <w:vAlign w:val="center"/>
                </w:tcPr>
                <w:p w14:paraId="5F1D81D5">
                  <w:pPr>
                    <w:adjustRightInd w:val="0"/>
                    <w:snapToGrid w:val="0"/>
                    <w:spacing w:line="240" w:lineRule="auto"/>
                    <w:ind w:firstLine="0" w:firstLineChars="0"/>
                    <w:jc w:val="center"/>
                    <w:rPr>
                      <w:sz w:val="21"/>
                      <w:szCs w:val="21"/>
                    </w:rPr>
                  </w:pPr>
                  <w:r>
                    <w:rPr>
                      <w:sz w:val="21"/>
                      <w:szCs w:val="21"/>
                    </w:rPr>
                    <w:t>≤1.00</w:t>
                  </w:r>
                </w:p>
              </w:tc>
              <w:tc>
                <w:tcPr>
                  <w:tcW w:w="645" w:type="pct"/>
                  <w:tcBorders>
                    <w:top w:val="single" w:color="auto" w:sz="4" w:space="0"/>
                    <w:bottom w:val="single" w:color="auto" w:sz="4" w:space="0"/>
                  </w:tcBorders>
                  <w:shd w:val="clear" w:color="auto" w:fill="A6A6A6"/>
                  <w:vAlign w:val="center"/>
                </w:tcPr>
                <w:p w14:paraId="5796CF19">
                  <w:pPr>
                    <w:adjustRightInd w:val="0"/>
                    <w:snapToGrid w:val="0"/>
                    <w:spacing w:line="240" w:lineRule="auto"/>
                    <w:ind w:firstLine="0" w:firstLineChars="0"/>
                    <w:jc w:val="center"/>
                    <w:rPr>
                      <w:sz w:val="21"/>
                      <w:szCs w:val="21"/>
                    </w:rPr>
                  </w:pPr>
                  <w:r>
                    <w:rPr>
                      <w:sz w:val="21"/>
                      <w:szCs w:val="21"/>
                    </w:rPr>
                    <w:t>≤1.50</w:t>
                  </w:r>
                </w:p>
              </w:tc>
              <w:tc>
                <w:tcPr>
                  <w:tcW w:w="595" w:type="pct"/>
                  <w:vAlign w:val="center"/>
                </w:tcPr>
                <w:p w14:paraId="55154B52">
                  <w:pPr>
                    <w:adjustRightInd w:val="0"/>
                    <w:snapToGrid w:val="0"/>
                    <w:spacing w:line="240" w:lineRule="auto"/>
                    <w:ind w:firstLine="0" w:firstLineChars="0"/>
                    <w:jc w:val="center"/>
                    <w:rPr>
                      <w:sz w:val="21"/>
                      <w:szCs w:val="21"/>
                    </w:rPr>
                  </w:pPr>
                  <w:r>
                    <w:rPr>
                      <w:sz w:val="21"/>
                      <w:szCs w:val="21"/>
                    </w:rPr>
                    <w:t>&gt;1.50</w:t>
                  </w:r>
                </w:p>
              </w:tc>
            </w:tr>
            <w:tr w14:paraId="44661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0D48499F">
                  <w:pPr>
                    <w:adjustRightInd w:val="0"/>
                    <w:snapToGrid w:val="0"/>
                    <w:spacing w:line="240" w:lineRule="auto"/>
                    <w:ind w:firstLine="0" w:firstLineChars="0"/>
                    <w:jc w:val="center"/>
                    <w:rPr>
                      <w:sz w:val="21"/>
                      <w:szCs w:val="21"/>
                    </w:rPr>
                  </w:pPr>
                  <w:r>
                    <w:rPr>
                      <w:sz w:val="21"/>
                      <w:szCs w:val="21"/>
                    </w:rPr>
                    <w:t>2</w:t>
                  </w:r>
                  <w:r>
                    <w:rPr>
                      <w:rFonts w:hint="eastAsia"/>
                      <w:sz w:val="21"/>
                      <w:szCs w:val="21"/>
                    </w:rPr>
                    <w:t>4</w:t>
                  </w:r>
                </w:p>
              </w:tc>
              <w:tc>
                <w:tcPr>
                  <w:tcW w:w="1688" w:type="pct"/>
                  <w:shd w:val="clear" w:color="auto" w:fill="auto"/>
                  <w:vAlign w:val="center"/>
                </w:tcPr>
                <w:p w14:paraId="522D0FBC">
                  <w:pPr>
                    <w:adjustRightInd w:val="0"/>
                    <w:snapToGrid w:val="0"/>
                    <w:spacing w:line="240" w:lineRule="auto"/>
                    <w:ind w:firstLine="0" w:firstLineChars="0"/>
                    <w:jc w:val="center"/>
                    <w:rPr>
                      <w:sz w:val="21"/>
                      <w:szCs w:val="21"/>
                    </w:rPr>
                  </w:pPr>
                  <w:r>
                    <w:rPr>
                      <w:sz w:val="21"/>
                      <w:szCs w:val="21"/>
                    </w:rPr>
                    <w:t>锌/（mg/L）</w:t>
                  </w:r>
                </w:p>
              </w:tc>
              <w:tc>
                <w:tcPr>
                  <w:tcW w:w="594" w:type="pct"/>
                  <w:shd w:val="clear" w:color="auto" w:fill="auto"/>
                  <w:vAlign w:val="center"/>
                </w:tcPr>
                <w:p w14:paraId="006E2873">
                  <w:pPr>
                    <w:adjustRightInd w:val="0"/>
                    <w:snapToGrid w:val="0"/>
                    <w:spacing w:line="240" w:lineRule="auto"/>
                    <w:ind w:firstLine="0" w:firstLineChars="0"/>
                    <w:jc w:val="center"/>
                    <w:rPr>
                      <w:sz w:val="21"/>
                      <w:szCs w:val="21"/>
                    </w:rPr>
                  </w:pPr>
                  <w:r>
                    <w:rPr>
                      <w:sz w:val="21"/>
                      <w:szCs w:val="21"/>
                    </w:rPr>
                    <w:t>≤0.05</w:t>
                  </w:r>
                </w:p>
              </w:tc>
              <w:tc>
                <w:tcPr>
                  <w:tcW w:w="594" w:type="pct"/>
                  <w:shd w:val="clear" w:color="auto" w:fill="auto"/>
                  <w:vAlign w:val="center"/>
                </w:tcPr>
                <w:p w14:paraId="5B882010">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vAlign w:val="center"/>
                </w:tcPr>
                <w:p w14:paraId="0DCB7BE0">
                  <w:pPr>
                    <w:adjustRightInd w:val="0"/>
                    <w:snapToGrid w:val="0"/>
                    <w:spacing w:line="240" w:lineRule="auto"/>
                    <w:ind w:firstLine="0" w:firstLineChars="0"/>
                    <w:jc w:val="center"/>
                    <w:rPr>
                      <w:sz w:val="21"/>
                      <w:szCs w:val="21"/>
                    </w:rPr>
                  </w:pPr>
                  <w:r>
                    <w:rPr>
                      <w:sz w:val="21"/>
                      <w:szCs w:val="21"/>
                    </w:rPr>
                    <w:t>≤1.00</w:t>
                  </w:r>
                </w:p>
              </w:tc>
              <w:tc>
                <w:tcPr>
                  <w:tcW w:w="645" w:type="pct"/>
                  <w:tcBorders>
                    <w:top w:val="single" w:color="auto" w:sz="4" w:space="0"/>
                    <w:bottom w:val="single" w:color="auto" w:sz="4" w:space="0"/>
                  </w:tcBorders>
                  <w:shd w:val="clear" w:color="auto" w:fill="A6A6A6"/>
                  <w:vAlign w:val="center"/>
                </w:tcPr>
                <w:p w14:paraId="10ABF167">
                  <w:pPr>
                    <w:adjustRightInd w:val="0"/>
                    <w:snapToGrid w:val="0"/>
                    <w:spacing w:line="240" w:lineRule="auto"/>
                    <w:ind w:firstLine="0" w:firstLineChars="0"/>
                    <w:jc w:val="center"/>
                    <w:rPr>
                      <w:sz w:val="21"/>
                      <w:szCs w:val="21"/>
                    </w:rPr>
                  </w:pPr>
                  <w:r>
                    <w:rPr>
                      <w:sz w:val="21"/>
                      <w:szCs w:val="21"/>
                    </w:rPr>
                    <w:t>≤1.50</w:t>
                  </w:r>
                </w:p>
              </w:tc>
              <w:tc>
                <w:tcPr>
                  <w:tcW w:w="595" w:type="pct"/>
                  <w:vAlign w:val="center"/>
                </w:tcPr>
                <w:p w14:paraId="7843623D">
                  <w:pPr>
                    <w:adjustRightInd w:val="0"/>
                    <w:snapToGrid w:val="0"/>
                    <w:spacing w:line="240" w:lineRule="auto"/>
                    <w:ind w:firstLine="0" w:firstLineChars="0"/>
                    <w:jc w:val="center"/>
                    <w:rPr>
                      <w:sz w:val="21"/>
                      <w:szCs w:val="21"/>
                    </w:rPr>
                  </w:pPr>
                  <w:r>
                    <w:rPr>
                      <w:sz w:val="21"/>
                      <w:szCs w:val="21"/>
                    </w:rPr>
                    <w:t>&gt;1.50</w:t>
                  </w:r>
                </w:p>
              </w:tc>
            </w:tr>
            <w:tr w14:paraId="441E1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48F503C4">
                  <w:pPr>
                    <w:adjustRightInd w:val="0"/>
                    <w:snapToGrid w:val="0"/>
                    <w:spacing w:line="240" w:lineRule="auto"/>
                    <w:ind w:firstLine="0" w:firstLineChars="0"/>
                    <w:jc w:val="center"/>
                    <w:rPr>
                      <w:sz w:val="21"/>
                      <w:szCs w:val="21"/>
                    </w:rPr>
                  </w:pPr>
                  <w:r>
                    <w:rPr>
                      <w:sz w:val="21"/>
                      <w:szCs w:val="21"/>
                    </w:rPr>
                    <w:t>2</w:t>
                  </w:r>
                  <w:r>
                    <w:rPr>
                      <w:rFonts w:hint="eastAsia"/>
                      <w:sz w:val="21"/>
                      <w:szCs w:val="21"/>
                    </w:rPr>
                    <w:t>5</w:t>
                  </w:r>
                </w:p>
              </w:tc>
              <w:tc>
                <w:tcPr>
                  <w:tcW w:w="1688" w:type="pct"/>
                  <w:shd w:val="clear" w:color="auto" w:fill="auto"/>
                  <w:vAlign w:val="center"/>
                </w:tcPr>
                <w:p w14:paraId="09508041">
                  <w:pPr>
                    <w:adjustRightInd w:val="0"/>
                    <w:snapToGrid w:val="0"/>
                    <w:spacing w:line="240" w:lineRule="auto"/>
                    <w:ind w:firstLine="0" w:firstLineChars="0"/>
                    <w:jc w:val="center"/>
                    <w:rPr>
                      <w:sz w:val="21"/>
                      <w:szCs w:val="21"/>
                    </w:rPr>
                  </w:pPr>
                  <w:r>
                    <w:rPr>
                      <w:rFonts w:hint="eastAsia"/>
                      <w:sz w:val="21"/>
                      <w:szCs w:val="21"/>
                    </w:rPr>
                    <w:t>汞/（mg/L）</w:t>
                  </w:r>
                </w:p>
              </w:tc>
              <w:tc>
                <w:tcPr>
                  <w:tcW w:w="594" w:type="pct"/>
                  <w:shd w:val="clear" w:color="auto" w:fill="auto"/>
                  <w:vAlign w:val="center"/>
                </w:tcPr>
                <w:p w14:paraId="70DDC46C">
                  <w:pPr>
                    <w:adjustRightInd w:val="0"/>
                    <w:snapToGrid w:val="0"/>
                    <w:spacing w:line="240" w:lineRule="auto"/>
                    <w:ind w:firstLine="0" w:firstLineChars="0"/>
                    <w:jc w:val="center"/>
                    <w:rPr>
                      <w:sz w:val="21"/>
                      <w:szCs w:val="21"/>
                    </w:rPr>
                  </w:pPr>
                  <w:r>
                    <w:rPr>
                      <w:sz w:val="21"/>
                      <w:szCs w:val="21"/>
                    </w:rPr>
                    <w:t>≤0.0</w:t>
                  </w:r>
                  <w:r>
                    <w:rPr>
                      <w:rFonts w:hint="eastAsia"/>
                      <w:sz w:val="21"/>
                      <w:szCs w:val="21"/>
                    </w:rPr>
                    <w:t>001</w:t>
                  </w:r>
                </w:p>
              </w:tc>
              <w:tc>
                <w:tcPr>
                  <w:tcW w:w="594" w:type="pct"/>
                  <w:shd w:val="clear" w:color="auto" w:fill="auto"/>
                  <w:vAlign w:val="center"/>
                </w:tcPr>
                <w:p w14:paraId="63117745">
                  <w:pPr>
                    <w:adjustRightInd w:val="0"/>
                    <w:snapToGrid w:val="0"/>
                    <w:spacing w:line="240" w:lineRule="auto"/>
                    <w:ind w:firstLine="0" w:firstLineChars="0"/>
                    <w:jc w:val="center"/>
                    <w:rPr>
                      <w:sz w:val="21"/>
                      <w:szCs w:val="21"/>
                    </w:rPr>
                  </w:pPr>
                  <w:r>
                    <w:rPr>
                      <w:sz w:val="21"/>
                      <w:szCs w:val="21"/>
                    </w:rPr>
                    <w:t>≤0.0</w:t>
                  </w:r>
                  <w:r>
                    <w:rPr>
                      <w:rFonts w:hint="eastAsia"/>
                      <w:sz w:val="21"/>
                      <w:szCs w:val="21"/>
                    </w:rPr>
                    <w:t>001</w:t>
                  </w:r>
                </w:p>
              </w:tc>
              <w:tc>
                <w:tcPr>
                  <w:tcW w:w="594" w:type="pct"/>
                  <w:shd w:val="clear" w:color="auto" w:fill="auto"/>
                  <w:vAlign w:val="center"/>
                </w:tcPr>
                <w:p w14:paraId="1CD61D95">
                  <w:pPr>
                    <w:adjustRightInd w:val="0"/>
                    <w:snapToGrid w:val="0"/>
                    <w:spacing w:line="240" w:lineRule="auto"/>
                    <w:ind w:firstLine="0" w:firstLineChars="0"/>
                    <w:jc w:val="center"/>
                    <w:rPr>
                      <w:sz w:val="21"/>
                      <w:szCs w:val="21"/>
                    </w:rPr>
                  </w:pPr>
                  <w:r>
                    <w:rPr>
                      <w:sz w:val="21"/>
                      <w:szCs w:val="21"/>
                    </w:rPr>
                    <w:t>≤0.0</w:t>
                  </w:r>
                  <w:r>
                    <w:rPr>
                      <w:rFonts w:hint="eastAsia"/>
                      <w:sz w:val="21"/>
                      <w:szCs w:val="21"/>
                    </w:rPr>
                    <w:t>01</w:t>
                  </w:r>
                </w:p>
              </w:tc>
              <w:tc>
                <w:tcPr>
                  <w:tcW w:w="645" w:type="pct"/>
                  <w:tcBorders>
                    <w:top w:val="single" w:color="auto" w:sz="4" w:space="0"/>
                    <w:bottom w:val="single" w:color="auto" w:sz="4" w:space="0"/>
                  </w:tcBorders>
                  <w:shd w:val="clear" w:color="auto" w:fill="A6A6A6"/>
                  <w:vAlign w:val="center"/>
                </w:tcPr>
                <w:p w14:paraId="3F86C7E7">
                  <w:pPr>
                    <w:adjustRightInd w:val="0"/>
                    <w:snapToGrid w:val="0"/>
                    <w:spacing w:line="240" w:lineRule="auto"/>
                    <w:ind w:firstLine="0" w:firstLineChars="0"/>
                    <w:jc w:val="center"/>
                    <w:rPr>
                      <w:sz w:val="21"/>
                      <w:szCs w:val="21"/>
                    </w:rPr>
                  </w:pPr>
                  <w:r>
                    <w:rPr>
                      <w:sz w:val="21"/>
                      <w:szCs w:val="21"/>
                    </w:rPr>
                    <w:t>≤0.0</w:t>
                  </w:r>
                  <w:r>
                    <w:rPr>
                      <w:rFonts w:hint="eastAsia"/>
                      <w:sz w:val="21"/>
                      <w:szCs w:val="21"/>
                    </w:rPr>
                    <w:t>02</w:t>
                  </w:r>
                </w:p>
              </w:tc>
              <w:tc>
                <w:tcPr>
                  <w:tcW w:w="595" w:type="pct"/>
                  <w:vAlign w:val="center"/>
                </w:tcPr>
                <w:p w14:paraId="565B3328">
                  <w:pPr>
                    <w:adjustRightInd w:val="0"/>
                    <w:snapToGrid w:val="0"/>
                    <w:spacing w:line="240" w:lineRule="auto"/>
                    <w:ind w:firstLine="0" w:firstLineChars="0"/>
                    <w:jc w:val="center"/>
                    <w:rPr>
                      <w:sz w:val="21"/>
                      <w:szCs w:val="21"/>
                    </w:rPr>
                  </w:pPr>
                  <w:r>
                    <w:rPr>
                      <w:sz w:val="21"/>
                      <w:szCs w:val="21"/>
                    </w:rPr>
                    <w:t>&gt;0.0</w:t>
                  </w:r>
                  <w:r>
                    <w:rPr>
                      <w:rFonts w:hint="eastAsia"/>
                      <w:sz w:val="21"/>
                      <w:szCs w:val="21"/>
                    </w:rPr>
                    <w:t>02</w:t>
                  </w:r>
                </w:p>
              </w:tc>
            </w:tr>
            <w:tr w14:paraId="708E1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336E9EA">
                  <w:pPr>
                    <w:adjustRightInd w:val="0"/>
                    <w:snapToGrid w:val="0"/>
                    <w:spacing w:line="240" w:lineRule="auto"/>
                    <w:ind w:firstLine="0" w:firstLineChars="0"/>
                    <w:jc w:val="center"/>
                    <w:rPr>
                      <w:sz w:val="21"/>
                      <w:szCs w:val="21"/>
                    </w:rPr>
                  </w:pPr>
                  <w:r>
                    <w:rPr>
                      <w:sz w:val="21"/>
                      <w:szCs w:val="21"/>
                    </w:rPr>
                    <w:t>2</w:t>
                  </w:r>
                  <w:r>
                    <w:rPr>
                      <w:rFonts w:hint="eastAsia"/>
                      <w:sz w:val="21"/>
                      <w:szCs w:val="21"/>
                    </w:rPr>
                    <w:t>6</w:t>
                  </w:r>
                </w:p>
              </w:tc>
              <w:tc>
                <w:tcPr>
                  <w:tcW w:w="1688" w:type="pct"/>
                  <w:shd w:val="clear" w:color="auto" w:fill="auto"/>
                  <w:vAlign w:val="center"/>
                </w:tcPr>
                <w:p w14:paraId="141D02EF">
                  <w:pPr>
                    <w:adjustRightInd w:val="0"/>
                    <w:snapToGrid w:val="0"/>
                    <w:spacing w:line="240" w:lineRule="auto"/>
                    <w:ind w:firstLine="0" w:firstLineChars="0"/>
                    <w:jc w:val="center"/>
                    <w:rPr>
                      <w:sz w:val="21"/>
                      <w:szCs w:val="21"/>
                    </w:rPr>
                  </w:pPr>
                  <w:r>
                    <w:rPr>
                      <w:rFonts w:hint="eastAsia"/>
                      <w:sz w:val="21"/>
                      <w:szCs w:val="21"/>
                    </w:rPr>
                    <w:t>砷/（mg/L）</w:t>
                  </w:r>
                </w:p>
              </w:tc>
              <w:tc>
                <w:tcPr>
                  <w:tcW w:w="594" w:type="pct"/>
                  <w:shd w:val="clear" w:color="auto" w:fill="auto"/>
                  <w:vAlign w:val="center"/>
                </w:tcPr>
                <w:p w14:paraId="69D66EA0">
                  <w:pPr>
                    <w:adjustRightInd w:val="0"/>
                    <w:snapToGrid w:val="0"/>
                    <w:spacing w:line="240" w:lineRule="auto"/>
                    <w:ind w:firstLine="0" w:firstLineChars="0"/>
                    <w:jc w:val="center"/>
                    <w:rPr>
                      <w:sz w:val="21"/>
                      <w:szCs w:val="21"/>
                    </w:rPr>
                  </w:pPr>
                  <w:r>
                    <w:rPr>
                      <w:sz w:val="21"/>
                      <w:szCs w:val="21"/>
                    </w:rPr>
                    <w:t>≤0.0</w:t>
                  </w:r>
                  <w:r>
                    <w:rPr>
                      <w:rFonts w:hint="eastAsia"/>
                      <w:sz w:val="21"/>
                      <w:szCs w:val="21"/>
                    </w:rPr>
                    <w:t>01</w:t>
                  </w:r>
                </w:p>
              </w:tc>
              <w:tc>
                <w:tcPr>
                  <w:tcW w:w="594" w:type="pct"/>
                  <w:shd w:val="clear" w:color="auto" w:fill="auto"/>
                  <w:vAlign w:val="center"/>
                </w:tcPr>
                <w:p w14:paraId="1BA85DEE">
                  <w:pPr>
                    <w:adjustRightInd w:val="0"/>
                    <w:snapToGrid w:val="0"/>
                    <w:spacing w:line="240" w:lineRule="auto"/>
                    <w:ind w:firstLine="0" w:firstLineChars="0"/>
                    <w:jc w:val="center"/>
                    <w:rPr>
                      <w:sz w:val="21"/>
                      <w:szCs w:val="21"/>
                    </w:rPr>
                  </w:pPr>
                  <w:r>
                    <w:rPr>
                      <w:sz w:val="21"/>
                      <w:szCs w:val="21"/>
                    </w:rPr>
                    <w:t>≤0.0</w:t>
                  </w:r>
                  <w:r>
                    <w:rPr>
                      <w:rFonts w:hint="eastAsia"/>
                      <w:sz w:val="21"/>
                      <w:szCs w:val="21"/>
                    </w:rPr>
                    <w:t>01</w:t>
                  </w:r>
                </w:p>
              </w:tc>
              <w:tc>
                <w:tcPr>
                  <w:tcW w:w="594" w:type="pct"/>
                  <w:shd w:val="clear" w:color="auto" w:fill="auto"/>
                  <w:vAlign w:val="center"/>
                </w:tcPr>
                <w:p w14:paraId="1F2A7853">
                  <w:pPr>
                    <w:adjustRightInd w:val="0"/>
                    <w:snapToGrid w:val="0"/>
                    <w:spacing w:line="240" w:lineRule="auto"/>
                    <w:ind w:firstLine="0" w:firstLineChars="0"/>
                    <w:jc w:val="center"/>
                    <w:rPr>
                      <w:sz w:val="21"/>
                      <w:szCs w:val="21"/>
                    </w:rPr>
                  </w:pPr>
                  <w:r>
                    <w:rPr>
                      <w:sz w:val="21"/>
                      <w:szCs w:val="21"/>
                    </w:rPr>
                    <w:t>≤0.0</w:t>
                  </w:r>
                  <w:r>
                    <w:rPr>
                      <w:rFonts w:hint="eastAsia"/>
                      <w:sz w:val="21"/>
                      <w:szCs w:val="21"/>
                    </w:rPr>
                    <w:t>1</w:t>
                  </w:r>
                </w:p>
              </w:tc>
              <w:tc>
                <w:tcPr>
                  <w:tcW w:w="645" w:type="pct"/>
                  <w:tcBorders>
                    <w:top w:val="single" w:color="auto" w:sz="4" w:space="0"/>
                    <w:bottom w:val="single" w:color="auto" w:sz="4" w:space="0"/>
                  </w:tcBorders>
                  <w:shd w:val="clear" w:color="auto" w:fill="A6A6A6"/>
                  <w:vAlign w:val="center"/>
                </w:tcPr>
                <w:p w14:paraId="260126AE">
                  <w:pPr>
                    <w:adjustRightInd w:val="0"/>
                    <w:snapToGrid w:val="0"/>
                    <w:spacing w:line="240" w:lineRule="auto"/>
                    <w:ind w:firstLine="0" w:firstLineChars="0"/>
                    <w:jc w:val="center"/>
                    <w:rPr>
                      <w:sz w:val="21"/>
                      <w:szCs w:val="21"/>
                    </w:rPr>
                  </w:pPr>
                  <w:r>
                    <w:rPr>
                      <w:sz w:val="21"/>
                      <w:szCs w:val="21"/>
                    </w:rPr>
                    <w:t>≤0.0</w:t>
                  </w:r>
                  <w:r>
                    <w:rPr>
                      <w:rFonts w:hint="eastAsia"/>
                      <w:sz w:val="21"/>
                      <w:szCs w:val="21"/>
                    </w:rPr>
                    <w:t>5</w:t>
                  </w:r>
                </w:p>
              </w:tc>
              <w:tc>
                <w:tcPr>
                  <w:tcW w:w="595" w:type="pct"/>
                  <w:vAlign w:val="center"/>
                </w:tcPr>
                <w:p w14:paraId="372B35CE">
                  <w:pPr>
                    <w:adjustRightInd w:val="0"/>
                    <w:snapToGrid w:val="0"/>
                    <w:spacing w:line="240" w:lineRule="auto"/>
                    <w:ind w:firstLine="0" w:firstLineChars="0"/>
                    <w:jc w:val="center"/>
                    <w:rPr>
                      <w:sz w:val="21"/>
                      <w:szCs w:val="21"/>
                    </w:rPr>
                  </w:pPr>
                  <w:r>
                    <w:rPr>
                      <w:sz w:val="21"/>
                      <w:szCs w:val="21"/>
                    </w:rPr>
                    <w:t>&gt;0.0</w:t>
                  </w:r>
                  <w:r>
                    <w:rPr>
                      <w:rFonts w:hint="eastAsia"/>
                      <w:sz w:val="21"/>
                      <w:szCs w:val="21"/>
                    </w:rPr>
                    <w:t>5</w:t>
                  </w:r>
                </w:p>
              </w:tc>
            </w:tr>
            <w:tr w14:paraId="54DF4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003063BC">
                  <w:pPr>
                    <w:adjustRightInd w:val="0"/>
                    <w:snapToGrid w:val="0"/>
                    <w:spacing w:line="240" w:lineRule="auto"/>
                    <w:ind w:firstLine="0" w:firstLineChars="0"/>
                    <w:jc w:val="center"/>
                    <w:rPr>
                      <w:sz w:val="21"/>
                      <w:szCs w:val="21"/>
                    </w:rPr>
                  </w:pPr>
                  <w:r>
                    <w:rPr>
                      <w:rFonts w:hint="eastAsia"/>
                      <w:sz w:val="21"/>
                      <w:szCs w:val="21"/>
                    </w:rPr>
                    <w:t>27</w:t>
                  </w:r>
                </w:p>
              </w:tc>
              <w:tc>
                <w:tcPr>
                  <w:tcW w:w="1688" w:type="pct"/>
                  <w:shd w:val="clear" w:color="auto" w:fill="auto"/>
                  <w:vAlign w:val="center"/>
                </w:tcPr>
                <w:p w14:paraId="32B3CB64">
                  <w:pPr>
                    <w:adjustRightInd w:val="0"/>
                    <w:snapToGrid w:val="0"/>
                    <w:spacing w:line="240" w:lineRule="auto"/>
                    <w:ind w:firstLine="0" w:firstLineChars="0"/>
                    <w:jc w:val="center"/>
                    <w:rPr>
                      <w:sz w:val="21"/>
                      <w:szCs w:val="21"/>
                    </w:rPr>
                  </w:pPr>
                  <w:r>
                    <w:rPr>
                      <w:rFonts w:hint="eastAsia"/>
                      <w:sz w:val="21"/>
                      <w:szCs w:val="21"/>
                    </w:rPr>
                    <w:t>铬（六价）/（mg/L）</w:t>
                  </w:r>
                </w:p>
              </w:tc>
              <w:tc>
                <w:tcPr>
                  <w:tcW w:w="594" w:type="pct"/>
                  <w:shd w:val="clear" w:color="auto" w:fill="auto"/>
                  <w:vAlign w:val="center"/>
                </w:tcPr>
                <w:p w14:paraId="53643274">
                  <w:pPr>
                    <w:adjustRightInd w:val="0"/>
                    <w:snapToGrid w:val="0"/>
                    <w:spacing w:line="240" w:lineRule="auto"/>
                    <w:ind w:firstLine="0" w:firstLineChars="0"/>
                    <w:jc w:val="center"/>
                    <w:rPr>
                      <w:sz w:val="21"/>
                      <w:szCs w:val="21"/>
                    </w:rPr>
                  </w:pPr>
                  <w:r>
                    <w:rPr>
                      <w:sz w:val="21"/>
                      <w:szCs w:val="21"/>
                    </w:rPr>
                    <w:t>≤0.0</w:t>
                  </w:r>
                  <w:r>
                    <w:rPr>
                      <w:rFonts w:hint="eastAsia"/>
                      <w:sz w:val="21"/>
                      <w:szCs w:val="21"/>
                    </w:rPr>
                    <w:t>05</w:t>
                  </w:r>
                </w:p>
              </w:tc>
              <w:tc>
                <w:tcPr>
                  <w:tcW w:w="594" w:type="pct"/>
                  <w:shd w:val="clear" w:color="auto" w:fill="auto"/>
                  <w:vAlign w:val="center"/>
                </w:tcPr>
                <w:p w14:paraId="4B60AFBA">
                  <w:pPr>
                    <w:adjustRightInd w:val="0"/>
                    <w:snapToGrid w:val="0"/>
                    <w:spacing w:line="240" w:lineRule="auto"/>
                    <w:ind w:firstLine="0" w:firstLineChars="0"/>
                    <w:jc w:val="center"/>
                    <w:rPr>
                      <w:sz w:val="21"/>
                      <w:szCs w:val="21"/>
                    </w:rPr>
                  </w:pPr>
                  <w:r>
                    <w:rPr>
                      <w:sz w:val="21"/>
                      <w:szCs w:val="21"/>
                    </w:rPr>
                    <w:t>≤0.0</w:t>
                  </w:r>
                  <w:r>
                    <w:rPr>
                      <w:rFonts w:hint="eastAsia"/>
                      <w:sz w:val="21"/>
                      <w:szCs w:val="21"/>
                    </w:rPr>
                    <w:t>1</w:t>
                  </w:r>
                </w:p>
              </w:tc>
              <w:tc>
                <w:tcPr>
                  <w:tcW w:w="594" w:type="pct"/>
                  <w:shd w:val="clear" w:color="auto" w:fill="auto"/>
                  <w:vAlign w:val="center"/>
                </w:tcPr>
                <w:p w14:paraId="6D0ACD5D">
                  <w:pPr>
                    <w:adjustRightInd w:val="0"/>
                    <w:snapToGrid w:val="0"/>
                    <w:spacing w:line="240" w:lineRule="auto"/>
                    <w:ind w:firstLine="0" w:firstLineChars="0"/>
                    <w:jc w:val="center"/>
                    <w:rPr>
                      <w:sz w:val="21"/>
                      <w:szCs w:val="21"/>
                    </w:rPr>
                  </w:pPr>
                  <w:r>
                    <w:rPr>
                      <w:sz w:val="21"/>
                      <w:szCs w:val="21"/>
                    </w:rPr>
                    <w:t>≤0.0</w:t>
                  </w:r>
                  <w:r>
                    <w:rPr>
                      <w:rFonts w:hint="eastAsia"/>
                      <w:sz w:val="21"/>
                      <w:szCs w:val="21"/>
                    </w:rPr>
                    <w:t>5</w:t>
                  </w:r>
                </w:p>
              </w:tc>
              <w:tc>
                <w:tcPr>
                  <w:tcW w:w="645" w:type="pct"/>
                  <w:tcBorders>
                    <w:top w:val="single" w:color="auto" w:sz="4" w:space="0"/>
                    <w:bottom w:val="single" w:color="auto" w:sz="4" w:space="0"/>
                  </w:tcBorders>
                  <w:shd w:val="clear" w:color="auto" w:fill="A6A6A6"/>
                  <w:vAlign w:val="center"/>
                </w:tcPr>
                <w:p w14:paraId="42A3772E">
                  <w:pPr>
                    <w:adjustRightInd w:val="0"/>
                    <w:snapToGrid w:val="0"/>
                    <w:spacing w:line="240" w:lineRule="auto"/>
                    <w:ind w:firstLine="0" w:firstLineChars="0"/>
                    <w:jc w:val="center"/>
                    <w:rPr>
                      <w:sz w:val="21"/>
                      <w:szCs w:val="21"/>
                    </w:rPr>
                  </w:pPr>
                  <w:r>
                    <w:rPr>
                      <w:sz w:val="21"/>
                      <w:szCs w:val="21"/>
                    </w:rPr>
                    <w:t>≤0.</w:t>
                  </w:r>
                  <w:r>
                    <w:rPr>
                      <w:rFonts w:hint="eastAsia"/>
                      <w:sz w:val="21"/>
                      <w:szCs w:val="21"/>
                    </w:rPr>
                    <w:t>10</w:t>
                  </w:r>
                </w:p>
              </w:tc>
              <w:tc>
                <w:tcPr>
                  <w:tcW w:w="595" w:type="pct"/>
                  <w:vAlign w:val="center"/>
                </w:tcPr>
                <w:p w14:paraId="3B6424CB">
                  <w:pPr>
                    <w:adjustRightInd w:val="0"/>
                    <w:snapToGrid w:val="0"/>
                    <w:spacing w:line="240" w:lineRule="auto"/>
                    <w:ind w:firstLine="0" w:firstLineChars="0"/>
                    <w:jc w:val="center"/>
                    <w:rPr>
                      <w:sz w:val="21"/>
                      <w:szCs w:val="21"/>
                    </w:rPr>
                  </w:pPr>
                  <w:r>
                    <w:rPr>
                      <w:sz w:val="21"/>
                      <w:szCs w:val="21"/>
                    </w:rPr>
                    <w:t>&gt;0.</w:t>
                  </w:r>
                  <w:r>
                    <w:rPr>
                      <w:rFonts w:hint="eastAsia"/>
                      <w:sz w:val="21"/>
                      <w:szCs w:val="21"/>
                    </w:rPr>
                    <w:t>10</w:t>
                  </w:r>
                </w:p>
              </w:tc>
            </w:tr>
            <w:tr w14:paraId="6FA50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466524B">
                  <w:pPr>
                    <w:adjustRightInd w:val="0"/>
                    <w:snapToGrid w:val="0"/>
                    <w:spacing w:line="240" w:lineRule="auto"/>
                    <w:ind w:firstLine="0" w:firstLineChars="0"/>
                    <w:jc w:val="center"/>
                    <w:rPr>
                      <w:sz w:val="21"/>
                      <w:szCs w:val="21"/>
                    </w:rPr>
                  </w:pPr>
                  <w:r>
                    <w:rPr>
                      <w:rFonts w:hint="eastAsia"/>
                      <w:sz w:val="21"/>
                      <w:szCs w:val="21"/>
                    </w:rPr>
                    <w:t>28</w:t>
                  </w:r>
                </w:p>
              </w:tc>
              <w:tc>
                <w:tcPr>
                  <w:tcW w:w="1688" w:type="pct"/>
                  <w:shd w:val="clear" w:color="auto" w:fill="auto"/>
                  <w:vAlign w:val="center"/>
                </w:tcPr>
                <w:p w14:paraId="39ED5C54">
                  <w:pPr>
                    <w:adjustRightInd w:val="0"/>
                    <w:snapToGrid w:val="0"/>
                    <w:spacing w:line="240" w:lineRule="auto"/>
                    <w:ind w:firstLine="0" w:firstLineChars="0"/>
                    <w:jc w:val="center"/>
                    <w:rPr>
                      <w:sz w:val="21"/>
                      <w:szCs w:val="21"/>
                    </w:rPr>
                  </w:pPr>
                  <w:r>
                    <w:rPr>
                      <w:rFonts w:hint="eastAsia"/>
                      <w:sz w:val="21"/>
                      <w:szCs w:val="21"/>
                    </w:rPr>
                    <w:t>镍/（mg/L）</w:t>
                  </w:r>
                </w:p>
              </w:tc>
              <w:tc>
                <w:tcPr>
                  <w:tcW w:w="594" w:type="pct"/>
                  <w:shd w:val="clear" w:color="auto" w:fill="auto"/>
                  <w:vAlign w:val="center"/>
                </w:tcPr>
                <w:p w14:paraId="251B751E">
                  <w:pPr>
                    <w:adjustRightInd w:val="0"/>
                    <w:snapToGrid w:val="0"/>
                    <w:spacing w:line="240" w:lineRule="auto"/>
                    <w:ind w:firstLine="0" w:firstLineChars="0"/>
                    <w:jc w:val="center"/>
                    <w:rPr>
                      <w:sz w:val="21"/>
                      <w:szCs w:val="21"/>
                    </w:rPr>
                  </w:pPr>
                  <w:r>
                    <w:rPr>
                      <w:sz w:val="21"/>
                      <w:szCs w:val="21"/>
                    </w:rPr>
                    <w:t>≤0.0</w:t>
                  </w:r>
                  <w:r>
                    <w:rPr>
                      <w:rFonts w:hint="eastAsia"/>
                      <w:sz w:val="21"/>
                      <w:szCs w:val="21"/>
                    </w:rPr>
                    <w:t>02</w:t>
                  </w:r>
                </w:p>
              </w:tc>
              <w:tc>
                <w:tcPr>
                  <w:tcW w:w="594" w:type="pct"/>
                  <w:shd w:val="clear" w:color="auto" w:fill="auto"/>
                  <w:vAlign w:val="center"/>
                </w:tcPr>
                <w:p w14:paraId="2D651DDB">
                  <w:pPr>
                    <w:adjustRightInd w:val="0"/>
                    <w:snapToGrid w:val="0"/>
                    <w:spacing w:line="240" w:lineRule="auto"/>
                    <w:ind w:firstLine="0" w:firstLineChars="0"/>
                    <w:jc w:val="center"/>
                    <w:rPr>
                      <w:sz w:val="21"/>
                      <w:szCs w:val="21"/>
                    </w:rPr>
                  </w:pPr>
                  <w:r>
                    <w:rPr>
                      <w:sz w:val="21"/>
                      <w:szCs w:val="21"/>
                    </w:rPr>
                    <w:t>≤0.0</w:t>
                  </w:r>
                  <w:r>
                    <w:rPr>
                      <w:rFonts w:hint="eastAsia"/>
                      <w:sz w:val="21"/>
                      <w:szCs w:val="21"/>
                    </w:rPr>
                    <w:t>02</w:t>
                  </w:r>
                </w:p>
              </w:tc>
              <w:tc>
                <w:tcPr>
                  <w:tcW w:w="594" w:type="pct"/>
                  <w:shd w:val="clear" w:color="auto" w:fill="auto"/>
                  <w:vAlign w:val="center"/>
                </w:tcPr>
                <w:p w14:paraId="76F0A647">
                  <w:pPr>
                    <w:adjustRightInd w:val="0"/>
                    <w:snapToGrid w:val="0"/>
                    <w:spacing w:line="240" w:lineRule="auto"/>
                    <w:ind w:firstLine="0" w:firstLineChars="0"/>
                    <w:jc w:val="center"/>
                    <w:rPr>
                      <w:sz w:val="21"/>
                      <w:szCs w:val="21"/>
                    </w:rPr>
                  </w:pPr>
                  <w:r>
                    <w:rPr>
                      <w:sz w:val="21"/>
                      <w:szCs w:val="21"/>
                    </w:rPr>
                    <w:t>≤0.0</w:t>
                  </w:r>
                  <w:r>
                    <w:rPr>
                      <w:rFonts w:hint="eastAsia"/>
                      <w:sz w:val="21"/>
                      <w:szCs w:val="21"/>
                    </w:rPr>
                    <w:t>2</w:t>
                  </w:r>
                </w:p>
              </w:tc>
              <w:tc>
                <w:tcPr>
                  <w:tcW w:w="645" w:type="pct"/>
                  <w:tcBorders>
                    <w:top w:val="single" w:color="auto" w:sz="4" w:space="0"/>
                    <w:bottom w:val="single" w:color="auto" w:sz="4" w:space="0"/>
                  </w:tcBorders>
                  <w:shd w:val="clear" w:color="auto" w:fill="A6A6A6"/>
                  <w:vAlign w:val="center"/>
                </w:tcPr>
                <w:p w14:paraId="50193ED1">
                  <w:pPr>
                    <w:adjustRightInd w:val="0"/>
                    <w:snapToGrid w:val="0"/>
                    <w:spacing w:line="240" w:lineRule="auto"/>
                    <w:ind w:firstLine="0" w:firstLineChars="0"/>
                    <w:jc w:val="center"/>
                    <w:rPr>
                      <w:sz w:val="21"/>
                      <w:szCs w:val="21"/>
                    </w:rPr>
                  </w:pPr>
                  <w:r>
                    <w:rPr>
                      <w:sz w:val="21"/>
                      <w:szCs w:val="21"/>
                    </w:rPr>
                    <w:t>≤0.</w:t>
                  </w:r>
                  <w:r>
                    <w:rPr>
                      <w:rFonts w:hint="eastAsia"/>
                      <w:sz w:val="21"/>
                      <w:szCs w:val="21"/>
                    </w:rPr>
                    <w:t>10</w:t>
                  </w:r>
                </w:p>
              </w:tc>
              <w:tc>
                <w:tcPr>
                  <w:tcW w:w="595" w:type="pct"/>
                  <w:vAlign w:val="center"/>
                </w:tcPr>
                <w:p w14:paraId="189BE62E">
                  <w:pPr>
                    <w:adjustRightInd w:val="0"/>
                    <w:snapToGrid w:val="0"/>
                    <w:spacing w:line="240" w:lineRule="auto"/>
                    <w:ind w:firstLine="0" w:firstLineChars="0"/>
                    <w:jc w:val="center"/>
                    <w:rPr>
                      <w:sz w:val="21"/>
                      <w:szCs w:val="21"/>
                    </w:rPr>
                  </w:pPr>
                  <w:r>
                    <w:rPr>
                      <w:sz w:val="21"/>
                      <w:szCs w:val="21"/>
                    </w:rPr>
                    <w:t>&gt;0.</w:t>
                  </w:r>
                  <w:r>
                    <w:rPr>
                      <w:rFonts w:hint="eastAsia"/>
                      <w:sz w:val="21"/>
                      <w:szCs w:val="21"/>
                    </w:rPr>
                    <w:t>10</w:t>
                  </w:r>
                </w:p>
              </w:tc>
            </w:tr>
            <w:tr w14:paraId="77EC4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50AC4A82">
                  <w:pPr>
                    <w:adjustRightInd w:val="0"/>
                    <w:snapToGrid w:val="0"/>
                    <w:spacing w:line="240" w:lineRule="auto"/>
                    <w:ind w:firstLine="0" w:firstLineChars="0"/>
                    <w:jc w:val="center"/>
                    <w:rPr>
                      <w:sz w:val="21"/>
                      <w:szCs w:val="21"/>
                    </w:rPr>
                  </w:pPr>
                  <w:r>
                    <w:rPr>
                      <w:rFonts w:hint="eastAsia"/>
                      <w:sz w:val="21"/>
                      <w:szCs w:val="21"/>
                    </w:rPr>
                    <w:t>29</w:t>
                  </w:r>
                </w:p>
              </w:tc>
              <w:tc>
                <w:tcPr>
                  <w:tcW w:w="1688" w:type="pct"/>
                  <w:shd w:val="clear" w:color="auto" w:fill="auto"/>
                  <w:vAlign w:val="center"/>
                </w:tcPr>
                <w:p w14:paraId="4B62E70B">
                  <w:pPr>
                    <w:adjustRightInd w:val="0"/>
                    <w:snapToGrid w:val="0"/>
                    <w:spacing w:line="240" w:lineRule="auto"/>
                    <w:ind w:firstLine="0" w:firstLineChars="0"/>
                    <w:jc w:val="center"/>
                    <w:rPr>
                      <w:sz w:val="21"/>
                      <w:szCs w:val="21"/>
                    </w:rPr>
                  </w:pPr>
                  <w:r>
                    <w:rPr>
                      <w:sz w:val="21"/>
                      <w:szCs w:val="21"/>
                    </w:rPr>
                    <w:t>钠/（mg/L）</w:t>
                  </w:r>
                </w:p>
              </w:tc>
              <w:tc>
                <w:tcPr>
                  <w:tcW w:w="594" w:type="pct"/>
                  <w:shd w:val="clear" w:color="auto" w:fill="auto"/>
                  <w:vAlign w:val="center"/>
                </w:tcPr>
                <w:p w14:paraId="48CAA876">
                  <w:pPr>
                    <w:adjustRightInd w:val="0"/>
                    <w:snapToGrid w:val="0"/>
                    <w:spacing w:line="240" w:lineRule="auto"/>
                    <w:ind w:firstLine="0" w:firstLineChars="0"/>
                    <w:jc w:val="center"/>
                    <w:rPr>
                      <w:sz w:val="21"/>
                      <w:szCs w:val="21"/>
                    </w:rPr>
                  </w:pPr>
                  <w:r>
                    <w:rPr>
                      <w:sz w:val="21"/>
                      <w:szCs w:val="21"/>
                    </w:rPr>
                    <w:t>≤100</w:t>
                  </w:r>
                </w:p>
              </w:tc>
              <w:tc>
                <w:tcPr>
                  <w:tcW w:w="594" w:type="pct"/>
                  <w:shd w:val="clear" w:color="auto" w:fill="auto"/>
                  <w:vAlign w:val="center"/>
                </w:tcPr>
                <w:p w14:paraId="72F8F8E7">
                  <w:pPr>
                    <w:adjustRightInd w:val="0"/>
                    <w:snapToGrid w:val="0"/>
                    <w:spacing w:line="240" w:lineRule="auto"/>
                    <w:ind w:firstLine="0" w:firstLineChars="0"/>
                    <w:jc w:val="center"/>
                    <w:rPr>
                      <w:sz w:val="21"/>
                      <w:szCs w:val="21"/>
                    </w:rPr>
                  </w:pPr>
                  <w:r>
                    <w:rPr>
                      <w:sz w:val="21"/>
                      <w:szCs w:val="21"/>
                    </w:rPr>
                    <w:t>≤150</w:t>
                  </w:r>
                </w:p>
              </w:tc>
              <w:tc>
                <w:tcPr>
                  <w:tcW w:w="594" w:type="pct"/>
                  <w:shd w:val="clear" w:color="auto" w:fill="auto"/>
                  <w:vAlign w:val="center"/>
                </w:tcPr>
                <w:p w14:paraId="4E463362">
                  <w:pPr>
                    <w:adjustRightInd w:val="0"/>
                    <w:snapToGrid w:val="0"/>
                    <w:spacing w:line="240" w:lineRule="auto"/>
                    <w:ind w:firstLine="0" w:firstLineChars="0"/>
                    <w:jc w:val="center"/>
                    <w:rPr>
                      <w:sz w:val="21"/>
                      <w:szCs w:val="21"/>
                    </w:rPr>
                  </w:pPr>
                  <w:r>
                    <w:rPr>
                      <w:sz w:val="21"/>
                      <w:szCs w:val="21"/>
                    </w:rPr>
                    <w:t>≤200</w:t>
                  </w:r>
                </w:p>
              </w:tc>
              <w:tc>
                <w:tcPr>
                  <w:tcW w:w="645" w:type="pct"/>
                  <w:tcBorders>
                    <w:top w:val="single" w:color="auto" w:sz="4" w:space="0"/>
                    <w:bottom w:val="single" w:color="auto" w:sz="4" w:space="0"/>
                  </w:tcBorders>
                  <w:shd w:val="clear" w:color="auto" w:fill="A6A6A6"/>
                  <w:vAlign w:val="center"/>
                </w:tcPr>
                <w:p w14:paraId="5072710C">
                  <w:pPr>
                    <w:adjustRightInd w:val="0"/>
                    <w:snapToGrid w:val="0"/>
                    <w:spacing w:line="240" w:lineRule="auto"/>
                    <w:ind w:firstLine="0" w:firstLineChars="0"/>
                    <w:jc w:val="center"/>
                    <w:rPr>
                      <w:sz w:val="21"/>
                      <w:szCs w:val="21"/>
                    </w:rPr>
                  </w:pPr>
                  <w:r>
                    <w:rPr>
                      <w:sz w:val="21"/>
                      <w:szCs w:val="21"/>
                    </w:rPr>
                    <w:t>≤400</w:t>
                  </w:r>
                </w:p>
              </w:tc>
              <w:tc>
                <w:tcPr>
                  <w:tcW w:w="595" w:type="pct"/>
                  <w:vAlign w:val="center"/>
                </w:tcPr>
                <w:p w14:paraId="01DE090A">
                  <w:pPr>
                    <w:adjustRightInd w:val="0"/>
                    <w:snapToGrid w:val="0"/>
                    <w:spacing w:line="240" w:lineRule="auto"/>
                    <w:ind w:firstLine="0" w:firstLineChars="0"/>
                    <w:jc w:val="center"/>
                    <w:rPr>
                      <w:sz w:val="21"/>
                      <w:szCs w:val="21"/>
                    </w:rPr>
                  </w:pPr>
                  <w:r>
                    <w:rPr>
                      <w:sz w:val="21"/>
                      <w:szCs w:val="21"/>
                    </w:rPr>
                    <w:t>&gt;400</w:t>
                  </w:r>
                </w:p>
              </w:tc>
            </w:tr>
            <w:tr w14:paraId="2A1C6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E23E676">
                  <w:pPr>
                    <w:adjustRightInd w:val="0"/>
                    <w:snapToGrid w:val="0"/>
                    <w:spacing w:line="240" w:lineRule="auto"/>
                    <w:ind w:firstLine="0" w:firstLineChars="0"/>
                    <w:jc w:val="center"/>
                    <w:rPr>
                      <w:sz w:val="21"/>
                      <w:szCs w:val="21"/>
                    </w:rPr>
                  </w:pPr>
                  <w:r>
                    <w:rPr>
                      <w:rFonts w:hint="eastAsia"/>
                      <w:sz w:val="21"/>
                      <w:szCs w:val="21"/>
                    </w:rPr>
                    <w:t>30</w:t>
                  </w:r>
                </w:p>
              </w:tc>
              <w:tc>
                <w:tcPr>
                  <w:tcW w:w="1688" w:type="pct"/>
                  <w:shd w:val="clear" w:color="auto" w:fill="auto"/>
                  <w:vAlign w:val="center"/>
                </w:tcPr>
                <w:p w14:paraId="162B0906">
                  <w:pPr>
                    <w:adjustRightInd w:val="0"/>
                    <w:snapToGrid w:val="0"/>
                    <w:spacing w:line="240" w:lineRule="auto"/>
                    <w:ind w:firstLine="0" w:firstLineChars="0"/>
                    <w:jc w:val="center"/>
                    <w:rPr>
                      <w:sz w:val="21"/>
                      <w:szCs w:val="21"/>
                    </w:rPr>
                  </w:pPr>
                  <w:r>
                    <w:rPr>
                      <w:sz w:val="21"/>
                      <w:szCs w:val="21"/>
                    </w:rPr>
                    <w:t>苯（μg/L）</w:t>
                  </w:r>
                </w:p>
              </w:tc>
              <w:tc>
                <w:tcPr>
                  <w:tcW w:w="594" w:type="pct"/>
                  <w:shd w:val="clear" w:color="auto" w:fill="auto"/>
                </w:tcPr>
                <w:p w14:paraId="4AC7B2E4">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tcPr>
                <w:p w14:paraId="4672D5C1">
                  <w:pPr>
                    <w:adjustRightInd w:val="0"/>
                    <w:snapToGrid w:val="0"/>
                    <w:spacing w:line="240" w:lineRule="auto"/>
                    <w:ind w:firstLine="0" w:firstLineChars="0"/>
                    <w:jc w:val="center"/>
                    <w:rPr>
                      <w:sz w:val="21"/>
                      <w:szCs w:val="21"/>
                    </w:rPr>
                  </w:pPr>
                  <w:r>
                    <w:rPr>
                      <w:sz w:val="21"/>
                      <w:szCs w:val="21"/>
                    </w:rPr>
                    <w:t>≤1.0</w:t>
                  </w:r>
                </w:p>
              </w:tc>
              <w:tc>
                <w:tcPr>
                  <w:tcW w:w="594" w:type="pct"/>
                  <w:shd w:val="clear" w:color="auto" w:fill="auto"/>
                  <w:vAlign w:val="center"/>
                </w:tcPr>
                <w:p w14:paraId="1E75459D">
                  <w:pPr>
                    <w:adjustRightInd w:val="0"/>
                    <w:snapToGrid w:val="0"/>
                    <w:spacing w:line="240" w:lineRule="auto"/>
                    <w:ind w:firstLine="0" w:firstLineChars="0"/>
                    <w:jc w:val="center"/>
                    <w:rPr>
                      <w:sz w:val="21"/>
                      <w:szCs w:val="21"/>
                    </w:rPr>
                  </w:pPr>
                  <w:r>
                    <w:rPr>
                      <w:sz w:val="21"/>
                      <w:szCs w:val="21"/>
                    </w:rPr>
                    <w:t>≤10.0</w:t>
                  </w:r>
                </w:p>
              </w:tc>
              <w:tc>
                <w:tcPr>
                  <w:tcW w:w="645" w:type="pct"/>
                  <w:tcBorders>
                    <w:top w:val="single" w:color="auto" w:sz="4" w:space="0"/>
                    <w:bottom w:val="single" w:color="auto" w:sz="4" w:space="0"/>
                  </w:tcBorders>
                  <w:shd w:val="clear" w:color="auto" w:fill="A6A6A6"/>
                  <w:vAlign w:val="center"/>
                </w:tcPr>
                <w:p w14:paraId="1FD5F186">
                  <w:pPr>
                    <w:adjustRightInd w:val="0"/>
                    <w:snapToGrid w:val="0"/>
                    <w:spacing w:line="240" w:lineRule="auto"/>
                    <w:ind w:firstLine="0" w:firstLineChars="0"/>
                    <w:jc w:val="center"/>
                    <w:rPr>
                      <w:sz w:val="21"/>
                      <w:szCs w:val="21"/>
                    </w:rPr>
                  </w:pPr>
                  <w:r>
                    <w:rPr>
                      <w:sz w:val="21"/>
                      <w:szCs w:val="21"/>
                    </w:rPr>
                    <w:t>≤120</w:t>
                  </w:r>
                </w:p>
              </w:tc>
              <w:tc>
                <w:tcPr>
                  <w:tcW w:w="595" w:type="pct"/>
                  <w:vAlign w:val="center"/>
                </w:tcPr>
                <w:p w14:paraId="4E1B14B0">
                  <w:pPr>
                    <w:adjustRightInd w:val="0"/>
                    <w:snapToGrid w:val="0"/>
                    <w:spacing w:line="240" w:lineRule="auto"/>
                    <w:ind w:firstLine="0" w:firstLineChars="0"/>
                    <w:jc w:val="center"/>
                    <w:rPr>
                      <w:sz w:val="21"/>
                      <w:szCs w:val="21"/>
                    </w:rPr>
                  </w:pPr>
                  <w:r>
                    <w:rPr>
                      <w:sz w:val="21"/>
                      <w:szCs w:val="21"/>
                    </w:rPr>
                    <w:t>&gt;120</w:t>
                  </w:r>
                </w:p>
              </w:tc>
            </w:tr>
            <w:tr w14:paraId="0BD44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2C54C0D">
                  <w:pPr>
                    <w:adjustRightInd w:val="0"/>
                    <w:snapToGrid w:val="0"/>
                    <w:spacing w:line="240" w:lineRule="auto"/>
                    <w:ind w:firstLine="0" w:firstLineChars="0"/>
                    <w:jc w:val="center"/>
                    <w:rPr>
                      <w:sz w:val="21"/>
                      <w:szCs w:val="21"/>
                    </w:rPr>
                  </w:pPr>
                  <w:r>
                    <w:rPr>
                      <w:rFonts w:hint="eastAsia"/>
                      <w:sz w:val="21"/>
                      <w:szCs w:val="21"/>
                    </w:rPr>
                    <w:t>31</w:t>
                  </w:r>
                </w:p>
              </w:tc>
              <w:tc>
                <w:tcPr>
                  <w:tcW w:w="1688" w:type="pct"/>
                  <w:shd w:val="clear" w:color="auto" w:fill="auto"/>
                  <w:vAlign w:val="center"/>
                </w:tcPr>
                <w:p w14:paraId="488BA715">
                  <w:pPr>
                    <w:adjustRightInd w:val="0"/>
                    <w:snapToGrid w:val="0"/>
                    <w:spacing w:line="240" w:lineRule="auto"/>
                    <w:ind w:firstLine="0" w:firstLineChars="0"/>
                    <w:jc w:val="center"/>
                    <w:rPr>
                      <w:sz w:val="21"/>
                      <w:szCs w:val="21"/>
                    </w:rPr>
                  </w:pPr>
                  <w:r>
                    <w:rPr>
                      <w:sz w:val="21"/>
                      <w:szCs w:val="21"/>
                    </w:rPr>
                    <w:t>甲苯（μg/L）</w:t>
                  </w:r>
                </w:p>
              </w:tc>
              <w:tc>
                <w:tcPr>
                  <w:tcW w:w="594" w:type="pct"/>
                  <w:shd w:val="clear" w:color="auto" w:fill="auto"/>
                </w:tcPr>
                <w:p w14:paraId="20A872BA">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tcPr>
                <w:p w14:paraId="65060C85">
                  <w:pPr>
                    <w:adjustRightInd w:val="0"/>
                    <w:snapToGrid w:val="0"/>
                    <w:spacing w:line="240" w:lineRule="auto"/>
                    <w:ind w:firstLine="0" w:firstLineChars="0"/>
                    <w:jc w:val="center"/>
                    <w:rPr>
                      <w:sz w:val="21"/>
                      <w:szCs w:val="21"/>
                    </w:rPr>
                  </w:pPr>
                  <w:r>
                    <w:rPr>
                      <w:sz w:val="21"/>
                      <w:szCs w:val="21"/>
                    </w:rPr>
                    <w:t>≤140</w:t>
                  </w:r>
                </w:p>
              </w:tc>
              <w:tc>
                <w:tcPr>
                  <w:tcW w:w="594" w:type="pct"/>
                  <w:shd w:val="clear" w:color="auto" w:fill="auto"/>
                  <w:vAlign w:val="center"/>
                </w:tcPr>
                <w:p w14:paraId="50E1E99D">
                  <w:pPr>
                    <w:adjustRightInd w:val="0"/>
                    <w:snapToGrid w:val="0"/>
                    <w:spacing w:line="240" w:lineRule="auto"/>
                    <w:ind w:firstLine="0" w:firstLineChars="0"/>
                    <w:jc w:val="center"/>
                    <w:rPr>
                      <w:sz w:val="21"/>
                      <w:szCs w:val="21"/>
                    </w:rPr>
                  </w:pPr>
                  <w:r>
                    <w:rPr>
                      <w:sz w:val="21"/>
                      <w:szCs w:val="21"/>
                    </w:rPr>
                    <w:t>≤700</w:t>
                  </w:r>
                </w:p>
              </w:tc>
              <w:tc>
                <w:tcPr>
                  <w:tcW w:w="645" w:type="pct"/>
                  <w:tcBorders>
                    <w:top w:val="single" w:color="auto" w:sz="4" w:space="0"/>
                    <w:bottom w:val="single" w:color="auto" w:sz="4" w:space="0"/>
                  </w:tcBorders>
                  <w:shd w:val="clear" w:color="auto" w:fill="A6A6A6"/>
                  <w:vAlign w:val="center"/>
                </w:tcPr>
                <w:p w14:paraId="0D795EEA">
                  <w:pPr>
                    <w:adjustRightInd w:val="0"/>
                    <w:snapToGrid w:val="0"/>
                    <w:spacing w:line="240" w:lineRule="auto"/>
                    <w:ind w:firstLine="0" w:firstLineChars="0"/>
                    <w:jc w:val="center"/>
                    <w:rPr>
                      <w:sz w:val="21"/>
                      <w:szCs w:val="21"/>
                    </w:rPr>
                  </w:pPr>
                  <w:r>
                    <w:rPr>
                      <w:sz w:val="21"/>
                      <w:szCs w:val="21"/>
                    </w:rPr>
                    <w:t>≤1400</w:t>
                  </w:r>
                </w:p>
              </w:tc>
              <w:tc>
                <w:tcPr>
                  <w:tcW w:w="595" w:type="pct"/>
                  <w:vAlign w:val="center"/>
                </w:tcPr>
                <w:p w14:paraId="588EE1B7">
                  <w:pPr>
                    <w:adjustRightInd w:val="0"/>
                    <w:snapToGrid w:val="0"/>
                    <w:spacing w:line="240" w:lineRule="auto"/>
                    <w:ind w:firstLine="0" w:firstLineChars="0"/>
                    <w:jc w:val="center"/>
                    <w:rPr>
                      <w:sz w:val="21"/>
                      <w:szCs w:val="21"/>
                    </w:rPr>
                  </w:pPr>
                  <w:r>
                    <w:rPr>
                      <w:sz w:val="21"/>
                      <w:szCs w:val="21"/>
                    </w:rPr>
                    <w:t>&gt;1400</w:t>
                  </w:r>
                </w:p>
              </w:tc>
            </w:tr>
            <w:tr w14:paraId="21D0C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738393CD">
                  <w:pPr>
                    <w:adjustRightInd w:val="0"/>
                    <w:snapToGrid w:val="0"/>
                    <w:spacing w:line="240" w:lineRule="auto"/>
                    <w:ind w:firstLine="0" w:firstLineChars="0"/>
                    <w:jc w:val="center"/>
                    <w:rPr>
                      <w:sz w:val="21"/>
                      <w:szCs w:val="21"/>
                    </w:rPr>
                  </w:pPr>
                  <w:r>
                    <w:rPr>
                      <w:rFonts w:hint="eastAsia"/>
                      <w:sz w:val="21"/>
                      <w:szCs w:val="21"/>
                    </w:rPr>
                    <w:t>32</w:t>
                  </w:r>
                </w:p>
              </w:tc>
              <w:tc>
                <w:tcPr>
                  <w:tcW w:w="1688" w:type="pct"/>
                  <w:shd w:val="clear" w:color="auto" w:fill="auto"/>
                  <w:vAlign w:val="center"/>
                </w:tcPr>
                <w:p w14:paraId="07167BEF">
                  <w:pPr>
                    <w:adjustRightInd w:val="0"/>
                    <w:snapToGrid w:val="0"/>
                    <w:spacing w:line="240" w:lineRule="auto"/>
                    <w:ind w:firstLine="0" w:firstLineChars="0"/>
                    <w:jc w:val="center"/>
                    <w:rPr>
                      <w:sz w:val="21"/>
                      <w:szCs w:val="21"/>
                    </w:rPr>
                  </w:pPr>
                  <w:r>
                    <w:rPr>
                      <w:sz w:val="21"/>
                      <w:szCs w:val="21"/>
                    </w:rPr>
                    <w:t>二甲苯（μg/L）</w:t>
                  </w:r>
                </w:p>
              </w:tc>
              <w:tc>
                <w:tcPr>
                  <w:tcW w:w="594" w:type="pct"/>
                  <w:shd w:val="clear" w:color="auto" w:fill="auto"/>
                </w:tcPr>
                <w:p w14:paraId="6CE18B19">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tcPr>
                <w:p w14:paraId="27640333">
                  <w:pPr>
                    <w:adjustRightInd w:val="0"/>
                    <w:snapToGrid w:val="0"/>
                    <w:spacing w:line="240" w:lineRule="auto"/>
                    <w:ind w:firstLine="0" w:firstLineChars="0"/>
                    <w:jc w:val="center"/>
                    <w:rPr>
                      <w:sz w:val="21"/>
                      <w:szCs w:val="21"/>
                    </w:rPr>
                  </w:pPr>
                  <w:r>
                    <w:rPr>
                      <w:sz w:val="21"/>
                      <w:szCs w:val="21"/>
                    </w:rPr>
                    <w:t>≤100</w:t>
                  </w:r>
                </w:p>
              </w:tc>
              <w:tc>
                <w:tcPr>
                  <w:tcW w:w="594" w:type="pct"/>
                  <w:shd w:val="clear" w:color="auto" w:fill="auto"/>
                  <w:vAlign w:val="center"/>
                </w:tcPr>
                <w:p w14:paraId="72DAE53E">
                  <w:pPr>
                    <w:adjustRightInd w:val="0"/>
                    <w:snapToGrid w:val="0"/>
                    <w:spacing w:line="240" w:lineRule="auto"/>
                    <w:ind w:firstLine="0" w:firstLineChars="0"/>
                    <w:jc w:val="center"/>
                    <w:rPr>
                      <w:sz w:val="21"/>
                      <w:szCs w:val="21"/>
                    </w:rPr>
                  </w:pPr>
                  <w:r>
                    <w:rPr>
                      <w:sz w:val="21"/>
                      <w:szCs w:val="21"/>
                    </w:rPr>
                    <w:t>≤500</w:t>
                  </w:r>
                </w:p>
              </w:tc>
              <w:tc>
                <w:tcPr>
                  <w:tcW w:w="645" w:type="pct"/>
                  <w:tcBorders>
                    <w:top w:val="single" w:color="auto" w:sz="4" w:space="0"/>
                    <w:bottom w:val="single" w:color="auto" w:sz="4" w:space="0"/>
                  </w:tcBorders>
                  <w:shd w:val="clear" w:color="auto" w:fill="A6A6A6"/>
                  <w:vAlign w:val="center"/>
                </w:tcPr>
                <w:p w14:paraId="04ADFF3A">
                  <w:pPr>
                    <w:adjustRightInd w:val="0"/>
                    <w:snapToGrid w:val="0"/>
                    <w:spacing w:line="240" w:lineRule="auto"/>
                    <w:ind w:firstLine="0" w:firstLineChars="0"/>
                    <w:jc w:val="center"/>
                    <w:rPr>
                      <w:sz w:val="21"/>
                      <w:szCs w:val="21"/>
                    </w:rPr>
                  </w:pPr>
                  <w:r>
                    <w:rPr>
                      <w:sz w:val="21"/>
                      <w:szCs w:val="21"/>
                    </w:rPr>
                    <w:t>≤1000</w:t>
                  </w:r>
                </w:p>
              </w:tc>
              <w:tc>
                <w:tcPr>
                  <w:tcW w:w="595" w:type="pct"/>
                  <w:vAlign w:val="center"/>
                </w:tcPr>
                <w:p w14:paraId="6C001B8A">
                  <w:pPr>
                    <w:adjustRightInd w:val="0"/>
                    <w:snapToGrid w:val="0"/>
                    <w:spacing w:line="240" w:lineRule="auto"/>
                    <w:ind w:firstLine="0" w:firstLineChars="0"/>
                    <w:jc w:val="center"/>
                    <w:rPr>
                      <w:sz w:val="21"/>
                      <w:szCs w:val="21"/>
                    </w:rPr>
                  </w:pPr>
                  <w:r>
                    <w:rPr>
                      <w:sz w:val="21"/>
                      <w:szCs w:val="21"/>
                    </w:rPr>
                    <w:t>&gt;1000</w:t>
                  </w:r>
                </w:p>
              </w:tc>
            </w:tr>
            <w:tr w14:paraId="7363E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18919E41">
                  <w:pPr>
                    <w:adjustRightInd w:val="0"/>
                    <w:snapToGrid w:val="0"/>
                    <w:spacing w:line="240" w:lineRule="auto"/>
                    <w:ind w:firstLine="0" w:firstLineChars="0"/>
                    <w:jc w:val="center"/>
                    <w:rPr>
                      <w:sz w:val="21"/>
                      <w:szCs w:val="21"/>
                    </w:rPr>
                  </w:pPr>
                  <w:r>
                    <w:rPr>
                      <w:rFonts w:hint="eastAsia"/>
                      <w:sz w:val="21"/>
                      <w:szCs w:val="21"/>
                    </w:rPr>
                    <w:t>33</w:t>
                  </w:r>
                </w:p>
              </w:tc>
              <w:tc>
                <w:tcPr>
                  <w:tcW w:w="1688" w:type="pct"/>
                  <w:shd w:val="clear" w:color="auto" w:fill="auto"/>
                  <w:vAlign w:val="center"/>
                </w:tcPr>
                <w:p w14:paraId="46349296">
                  <w:pPr>
                    <w:adjustRightInd w:val="0"/>
                    <w:snapToGrid w:val="0"/>
                    <w:spacing w:line="240" w:lineRule="auto"/>
                    <w:ind w:firstLine="0" w:firstLineChars="0"/>
                    <w:jc w:val="center"/>
                    <w:rPr>
                      <w:sz w:val="21"/>
                      <w:szCs w:val="21"/>
                    </w:rPr>
                  </w:pPr>
                  <w:r>
                    <w:rPr>
                      <w:rFonts w:hint="eastAsia"/>
                      <w:sz w:val="21"/>
                      <w:szCs w:val="21"/>
                    </w:rPr>
                    <w:t>苯乙烯</w:t>
                  </w:r>
                </w:p>
              </w:tc>
              <w:tc>
                <w:tcPr>
                  <w:tcW w:w="594" w:type="pct"/>
                  <w:shd w:val="clear" w:color="auto" w:fill="auto"/>
                </w:tcPr>
                <w:p w14:paraId="5C32B562">
                  <w:pPr>
                    <w:adjustRightInd w:val="0"/>
                    <w:snapToGrid w:val="0"/>
                    <w:spacing w:line="240" w:lineRule="auto"/>
                    <w:ind w:firstLine="0" w:firstLineChars="0"/>
                    <w:jc w:val="center"/>
                    <w:rPr>
                      <w:sz w:val="21"/>
                      <w:szCs w:val="21"/>
                    </w:rPr>
                  </w:pPr>
                  <w:r>
                    <w:rPr>
                      <w:sz w:val="21"/>
                      <w:szCs w:val="21"/>
                    </w:rPr>
                    <w:t>≤</w:t>
                  </w:r>
                  <w:r>
                    <w:rPr>
                      <w:rFonts w:hint="eastAsia"/>
                      <w:sz w:val="21"/>
                      <w:szCs w:val="21"/>
                    </w:rPr>
                    <w:t>0.5</w:t>
                  </w:r>
                </w:p>
              </w:tc>
              <w:tc>
                <w:tcPr>
                  <w:tcW w:w="594" w:type="pct"/>
                  <w:shd w:val="clear" w:color="auto" w:fill="auto"/>
                </w:tcPr>
                <w:p w14:paraId="40ED3DF3">
                  <w:pPr>
                    <w:adjustRightInd w:val="0"/>
                    <w:snapToGrid w:val="0"/>
                    <w:spacing w:line="240" w:lineRule="auto"/>
                    <w:ind w:firstLine="0" w:firstLineChars="0"/>
                    <w:jc w:val="center"/>
                    <w:rPr>
                      <w:sz w:val="21"/>
                      <w:szCs w:val="21"/>
                    </w:rPr>
                  </w:pPr>
                  <w:r>
                    <w:rPr>
                      <w:sz w:val="21"/>
                      <w:szCs w:val="21"/>
                    </w:rPr>
                    <w:t>≤</w:t>
                  </w:r>
                  <w:r>
                    <w:rPr>
                      <w:rFonts w:hint="eastAsia"/>
                      <w:sz w:val="21"/>
                      <w:szCs w:val="21"/>
                    </w:rPr>
                    <w:t>2.0</w:t>
                  </w:r>
                </w:p>
              </w:tc>
              <w:tc>
                <w:tcPr>
                  <w:tcW w:w="594" w:type="pct"/>
                  <w:shd w:val="clear" w:color="auto" w:fill="auto"/>
                  <w:vAlign w:val="center"/>
                </w:tcPr>
                <w:p w14:paraId="4784583D">
                  <w:pPr>
                    <w:adjustRightInd w:val="0"/>
                    <w:snapToGrid w:val="0"/>
                    <w:spacing w:line="240" w:lineRule="auto"/>
                    <w:ind w:firstLine="0" w:firstLineChars="0"/>
                    <w:jc w:val="center"/>
                    <w:rPr>
                      <w:sz w:val="21"/>
                      <w:szCs w:val="21"/>
                    </w:rPr>
                  </w:pPr>
                  <w:r>
                    <w:rPr>
                      <w:sz w:val="21"/>
                      <w:szCs w:val="21"/>
                    </w:rPr>
                    <w:t>≤</w:t>
                  </w:r>
                  <w:r>
                    <w:rPr>
                      <w:rFonts w:hint="eastAsia"/>
                      <w:sz w:val="21"/>
                      <w:szCs w:val="21"/>
                    </w:rPr>
                    <w:t>20.0</w:t>
                  </w:r>
                </w:p>
              </w:tc>
              <w:tc>
                <w:tcPr>
                  <w:tcW w:w="645" w:type="pct"/>
                  <w:tcBorders>
                    <w:top w:val="single" w:color="auto" w:sz="4" w:space="0"/>
                    <w:bottom w:val="single" w:color="auto" w:sz="4" w:space="0"/>
                  </w:tcBorders>
                  <w:shd w:val="clear" w:color="auto" w:fill="A6A6A6"/>
                  <w:vAlign w:val="center"/>
                </w:tcPr>
                <w:p w14:paraId="22DB63F7">
                  <w:pPr>
                    <w:adjustRightInd w:val="0"/>
                    <w:snapToGrid w:val="0"/>
                    <w:spacing w:line="240" w:lineRule="auto"/>
                    <w:ind w:firstLine="0" w:firstLineChars="0"/>
                    <w:jc w:val="center"/>
                    <w:rPr>
                      <w:sz w:val="21"/>
                      <w:szCs w:val="21"/>
                    </w:rPr>
                  </w:pPr>
                  <w:r>
                    <w:rPr>
                      <w:sz w:val="21"/>
                      <w:szCs w:val="21"/>
                    </w:rPr>
                    <w:t>≤</w:t>
                  </w:r>
                  <w:r>
                    <w:rPr>
                      <w:rFonts w:hint="eastAsia"/>
                      <w:sz w:val="21"/>
                      <w:szCs w:val="21"/>
                    </w:rPr>
                    <w:t>40.0</w:t>
                  </w:r>
                </w:p>
              </w:tc>
              <w:tc>
                <w:tcPr>
                  <w:tcW w:w="595" w:type="pct"/>
                  <w:vAlign w:val="center"/>
                </w:tcPr>
                <w:p w14:paraId="0BB528AD">
                  <w:pPr>
                    <w:adjustRightInd w:val="0"/>
                    <w:snapToGrid w:val="0"/>
                    <w:spacing w:line="240" w:lineRule="auto"/>
                    <w:ind w:firstLine="0" w:firstLineChars="0"/>
                    <w:jc w:val="center"/>
                    <w:rPr>
                      <w:sz w:val="21"/>
                      <w:szCs w:val="21"/>
                    </w:rPr>
                  </w:pPr>
                  <w:r>
                    <w:rPr>
                      <w:sz w:val="21"/>
                      <w:szCs w:val="21"/>
                    </w:rPr>
                    <w:t>&gt;</w:t>
                  </w:r>
                  <w:r>
                    <w:rPr>
                      <w:rFonts w:hint="eastAsia"/>
                      <w:sz w:val="21"/>
                      <w:szCs w:val="21"/>
                    </w:rPr>
                    <w:t>40.0</w:t>
                  </w:r>
                </w:p>
              </w:tc>
            </w:tr>
            <w:tr w14:paraId="6B06E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1C9A35E5">
                  <w:pPr>
                    <w:adjustRightInd w:val="0"/>
                    <w:snapToGrid w:val="0"/>
                    <w:spacing w:line="240" w:lineRule="auto"/>
                    <w:ind w:firstLine="0" w:firstLineChars="0"/>
                    <w:jc w:val="center"/>
                    <w:rPr>
                      <w:sz w:val="21"/>
                      <w:szCs w:val="21"/>
                    </w:rPr>
                  </w:pPr>
                  <w:r>
                    <w:rPr>
                      <w:rFonts w:hint="eastAsia"/>
                      <w:sz w:val="21"/>
                      <w:szCs w:val="21"/>
                    </w:rPr>
                    <w:t>34</w:t>
                  </w:r>
                </w:p>
              </w:tc>
              <w:tc>
                <w:tcPr>
                  <w:tcW w:w="1688" w:type="pct"/>
                  <w:shd w:val="clear" w:color="auto" w:fill="auto"/>
                  <w:vAlign w:val="center"/>
                </w:tcPr>
                <w:p w14:paraId="205A0516">
                  <w:pPr>
                    <w:adjustRightInd w:val="0"/>
                    <w:snapToGrid w:val="0"/>
                    <w:spacing w:line="240" w:lineRule="auto"/>
                    <w:ind w:firstLine="0" w:firstLineChars="0"/>
                    <w:jc w:val="center"/>
                    <w:rPr>
                      <w:sz w:val="21"/>
                      <w:szCs w:val="21"/>
                    </w:rPr>
                  </w:pPr>
                  <w:r>
                    <w:rPr>
                      <w:rFonts w:hint="eastAsia"/>
                      <w:sz w:val="21"/>
                      <w:szCs w:val="21"/>
                    </w:rPr>
                    <w:t>1,2-二氯乙烷</w:t>
                  </w:r>
                  <w:r>
                    <w:rPr>
                      <w:sz w:val="21"/>
                      <w:szCs w:val="21"/>
                    </w:rPr>
                    <w:t>（μg/L）</w:t>
                  </w:r>
                </w:p>
              </w:tc>
              <w:tc>
                <w:tcPr>
                  <w:tcW w:w="594" w:type="pct"/>
                  <w:shd w:val="clear" w:color="auto" w:fill="auto"/>
                </w:tcPr>
                <w:p w14:paraId="11617802">
                  <w:pPr>
                    <w:adjustRightInd w:val="0"/>
                    <w:snapToGrid w:val="0"/>
                    <w:spacing w:line="240" w:lineRule="auto"/>
                    <w:ind w:firstLine="0" w:firstLineChars="0"/>
                    <w:jc w:val="center"/>
                    <w:rPr>
                      <w:sz w:val="21"/>
                      <w:szCs w:val="21"/>
                    </w:rPr>
                  </w:pPr>
                  <w:r>
                    <w:rPr>
                      <w:sz w:val="21"/>
                      <w:szCs w:val="21"/>
                    </w:rPr>
                    <w:t>≤</w:t>
                  </w:r>
                  <w:r>
                    <w:rPr>
                      <w:rFonts w:hint="eastAsia"/>
                      <w:sz w:val="21"/>
                      <w:szCs w:val="21"/>
                    </w:rPr>
                    <w:t>0.5</w:t>
                  </w:r>
                </w:p>
              </w:tc>
              <w:tc>
                <w:tcPr>
                  <w:tcW w:w="594" w:type="pct"/>
                  <w:shd w:val="clear" w:color="auto" w:fill="auto"/>
                </w:tcPr>
                <w:p w14:paraId="19E672EA">
                  <w:pPr>
                    <w:adjustRightInd w:val="0"/>
                    <w:snapToGrid w:val="0"/>
                    <w:spacing w:line="240" w:lineRule="auto"/>
                    <w:ind w:firstLine="0" w:firstLineChars="0"/>
                    <w:jc w:val="center"/>
                    <w:rPr>
                      <w:sz w:val="21"/>
                      <w:szCs w:val="21"/>
                    </w:rPr>
                  </w:pPr>
                  <w:r>
                    <w:rPr>
                      <w:sz w:val="21"/>
                      <w:szCs w:val="21"/>
                    </w:rPr>
                    <w:t>≤</w:t>
                  </w:r>
                  <w:r>
                    <w:rPr>
                      <w:rFonts w:hint="eastAsia"/>
                      <w:sz w:val="21"/>
                      <w:szCs w:val="21"/>
                    </w:rPr>
                    <w:t>3.0</w:t>
                  </w:r>
                </w:p>
              </w:tc>
              <w:tc>
                <w:tcPr>
                  <w:tcW w:w="594" w:type="pct"/>
                  <w:shd w:val="clear" w:color="auto" w:fill="auto"/>
                  <w:vAlign w:val="center"/>
                </w:tcPr>
                <w:p w14:paraId="62A2E562">
                  <w:pPr>
                    <w:adjustRightInd w:val="0"/>
                    <w:snapToGrid w:val="0"/>
                    <w:spacing w:line="240" w:lineRule="auto"/>
                    <w:ind w:firstLine="0" w:firstLineChars="0"/>
                    <w:jc w:val="center"/>
                    <w:rPr>
                      <w:sz w:val="21"/>
                      <w:szCs w:val="21"/>
                    </w:rPr>
                  </w:pPr>
                  <w:r>
                    <w:rPr>
                      <w:sz w:val="21"/>
                      <w:szCs w:val="21"/>
                    </w:rPr>
                    <w:t>≤</w:t>
                  </w:r>
                  <w:r>
                    <w:rPr>
                      <w:rFonts w:hint="eastAsia"/>
                      <w:sz w:val="21"/>
                      <w:szCs w:val="21"/>
                    </w:rPr>
                    <w:t>30.0</w:t>
                  </w:r>
                </w:p>
              </w:tc>
              <w:tc>
                <w:tcPr>
                  <w:tcW w:w="645" w:type="pct"/>
                  <w:tcBorders>
                    <w:top w:val="single" w:color="auto" w:sz="4" w:space="0"/>
                    <w:bottom w:val="single" w:color="auto" w:sz="4" w:space="0"/>
                  </w:tcBorders>
                  <w:shd w:val="clear" w:color="auto" w:fill="A6A6A6"/>
                  <w:vAlign w:val="center"/>
                </w:tcPr>
                <w:p w14:paraId="58827860">
                  <w:pPr>
                    <w:adjustRightInd w:val="0"/>
                    <w:snapToGrid w:val="0"/>
                    <w:spacing w:line="240" w:lineRule="auto"/>
                    <w:ind w:firstLine="0" w:firstLineChars="0"/>
                    <w:jc w:val="center"/>
                    <w:rPr>
                      <w:sz w:val="21"/>
                      <w:szCs w:val="21"/>
                    </w:rPr>
                  </w:pPr>
                  <w:r>
                    <w:rPr>
                      <w:sz w:val="21"/>
                      <w:szCs w:val="21"/>
                    </w:rPr>
                    <w:t>≤</w:t>
                  </w:r>
                  <w:r>
                    <w:rPr>
                      <w:rFonts w:hint="eastAsia"/>
                      <w:sz w:val="21"/>
                      <w:szCs w:val="21"/>
                    </w:rPr>
                    <w:t>40.0</w:t>
                  </w:r>
                </w:p>
              </w:tc>
              <w:tc>
                <w:tcPr>
                  <w:tcW w:w="595" w:type="pct"/>
                  <w:vAlign w:val="center"/>
                </w:tcPr>
                <w:p w14:paraId="3F324F60">
                  <w:pPr>
                    <w:adjustRightInd w:val="0"/>
                    <w:snapToGrid w:val="0"/>
                    <w:spacing w:line="240" w:lineRule="auto"/>
                    <w:ind w:firstLine="0" w:firstLineChars="0"/>
                    <w:jc w:val="center"/>
                    <w:rPr>
                      <w:sz w:val="21"/>
                      <w:szCs w:val="21"/>
                    </w:rPr>
                  </w:pPr>
                  <w:r>
                    <w:rPr>
                      <w:sz w:val="21"/>
                      <w:szCs w:val="21"/>
                    </w:rPr>
                    <w:t>&gt;</w:t>
                  </w:r>
                  <w:r>
                    <w:rPr>
                      <w:rFonts w:hint="eastAsia"/>
                      <w:sz w:val="21"/>
                      <w:szCs w:val="21"/>
                    </w:rPr>
                    <w:t>40.0</w:t>
                  </w:r>
                </w:p>
              </w:tc>
            </w:tr>
            <w:tr w14:paraId="4A116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356EB2C5">
                  <w:pPr>
                    <w:adjustRightInd w:val="0"/>
                    <w:snapToGrid w:val="0"/>
                    <w:spacing w:line="240" w:lineRule="auto"/>
                    <w:ind w:firstLine="0" w:firstLineChars="0"/>
                    <w:jc w:val="center"/>
                    <w:rPr>
                      <w:sz w:val="21"/>
                      <w:szCs w:val="21"/>
                    </w:rPr>
                  </w:pPr>
                  <w:r>
                    <w:rPr>
                      <w:rFonts w:hint="eastAsia"/>
                      <w:sz w:val="21"/>
                      <w:szCs w:val="21"/>
                    </w:rPr>
                    <w:t>35</w:t>
                  </w:r>
                </w:p>
              </w:tc>
              <w:tc>
                <w:tcPr>
                  <w:tcW w:w="1688" w:type="pct"/>
                  <w:shd w:val="clear" w:color="auto" w:fill="auto"/>
                  <w:vAlign w:val="center"/>
                </w:tcPr>
                <w:p w14:paraId="21C18A0F">
                  <w:pPr>
                    <w:adjustRightInd w:val="0"/>
                    <w:snapToGrid w:val="0"/>
                    <w:spacing w:line="240" w:lineRule="auto"/>
                    <w:ind w:firstLine="0" w:firstLineChars="0"/>
                    <w:jc w:val="center"/>
                    <w:rPr>
                      <w:sz w:val="21"/>
                      <w:szCs w:val="21"/>
                    </w:rPr>
                  </w:pPr>
                  <w:r>
                    <w:rPr>
                      <w:sz w:val="21"/>
                      <w:szCs w:val="21"/>
                    </w:rPr>
                    <w:t>氯苯（μg/L）</w:t>
                  </w:r>
                </w:p>
              </w:tc>
              <w:tc>
                <w:tcPr>
                  <w:tcW w:w="594" w:type="pct"/>
                  <w:shd w:val="clear" w:color="auto" w:fill="auto"/>
                </w:tcPr>
                <w:p w14:paraId="26D3A417">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tcPr>
                <w:p w14:paraId="3D92BB21">
                  <w:pPr>
                    <w:adjustRightInd w:val="0"/>
                    <w:snapToGrid w:val="0"/>
                    <w:spacing w:line="240" w:lineRule="auto"/>
                    <w:ind w:firstLine="0" w:firstLineChars="0"/>
                    <w:jc w:val="center"/>
                    <w:rPr>
                      <w:sz w:val="21"/>
                      <w:szCs w:val="21"/>
                    </w:rPr>
                  </w:pPr>
                  <w:r>
                    <w:rPr>
                      <w:sz w:val="21"/>
                      <w:szCs w:val="21"/>
                    </w:rPr>
                    <w:t>≤60.0</w:t>
                  </w:r>
                </w:p>
              </w:tc>
              <w:tc>
                <w:tcPr>
                  <w:tcW w:w="594" w:type="pct"/>
                  <w:shd w:val="clear" w:color="auto" w:fill="auto"/>
                  <w:vAlign w:val="center"/>
                </w:tcPr>
                <w:p w14:paraId="1788C226">
                  <w:pPr>
                    <w:adjustRightInd w:val="0"/>
                    <w:snapToGrid w:val="0"/>
                    <w:spacing w:line="240" w:lineRule="auto"/>
                    <w:ind w:firstLine="0" w:firstLineChars="0"/>
                    <w:jc w:val="center"/>
                    <w:rPr>
                      <w:sz w:val="21"/>
                      <w:szCs w:val="21"/>
                    </w:rPr>
                  </w:pPr>
                  <w:r>
                    <w:rPr>
                      <w:sz w:val="21"/>
                      <w:szCs w:val="21"/>
                    </w:rPr>
                    <w:t>≤300</w:t>
                  </w:r>
                </w:p>
              </w:tc>
              <w:tc>
                <w:tcPr>
                  <w:tcW w:w="645" w:type="pct"/>
                  <w:tcBorders>
                    <w:top w:val="single" w:color="auto" w:sz="4" w:space="0"/>
                    <w:bottom w:val="single" w:color="auto" w:sz="4" w:space="0"/>
                  </w:tcBorders>
                  <w:shd w:val="clear" w:color="auto" w:fill="A6A6A6"/>
                  <w:vAlign w:val="center"/>
                </w:tcPr>
                <w:p w14:paraId="48F090A5">
                  <w:pPr>
                    <w:adjustRightInd w:val="0"/>
                    <w:snapToGrid w:val="0"/>
                    <w:spacing w:line="240" w:lineRule="auto"/>
                    <w:ind w:firstLine="0" w:firstLineChars="0"/>
                    <w:jc w:val="center"/>
                    <w:rPr>
                      <w:sz w:val="21"/>
                      <w:szCs w:val="21"/>
                    </w:rPr>
                  </w:pPr>
                  <w:r>
                    <w:rPr>
                      <w:sz w:val="21"/>
                      <w:szCs w:val="21"/>
                    </w:rPr>
                    <w:t>≤600</w:t>
                  </w:r>
                </w:p>
              </w:tc>
              <w:tc>
                <w:tcPr>
                  <w:tcW w:w="595" w:type="pct"/>
                  <w:vAlign w:val="center"/>
                </w:tcPr>
                <w:p w14:paraId="2DF24528">
                  <w:pPr>
                    <w:adjustRightInd w:val="0"/>
                    <w:snapToGrid w:val="0"/>
                    <w:spacing w:line="240" w:lineRule="auto"/>
                    <w:ind w:firstLine="0" w:firstLineChars="0"/>
                    <w:jc w:val="center"/>
                    <w:rPr>
                      <w:sz w:val="21"/>
                      <w:szCs w:val="21"/>
                    </w:rPr>
                  </w:pPr>
                  <w:r>
                    <w:rPr>
                      <w:sz w:val="21"/>
                      <w:szCs w:val="21"/>
                    </w:rPr>
                    <w:t>&gt;600</w:t>
                  </w:r>
                </w:p>
              </w:tc>
            </w:tr>
            <w:tr w14:paraId="3ECCF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2D927F2C">
                  <w:pPr>
                    <w:adjustRightInd w:val="0"/>
                    <w:snapToGrid w:val="0"/>
                    <w:spacing w:line="240" w:lineRule="auto"/>
                    <w:ind w:firstLine="0" w:firstLineChars="0"/>
                    <w:jc w:val="center"/>
                    <w:rPr>
                      <w:sz w:val="21"/>
                      <w:szCs w:val="21"/>
                    </w:rPr>
                  </w:pPr>
                  <w:r>
                    <w:rPr>
                      <w:rFonts w:hint="eastAsia"/>
                      <w:sz w:val="21"/>
                      <w:szCs w:val="21"/>
                    </w:rPr>
                    <w:t>36</w:t>
                  </w:r>
                </w:p>
              </w:tc>
              <w:tc>
                <w:tcPr>
                  <w:tcW w:w="1688" w:type="pct"/>
                  <w:shd w:val="clear" w:color="auto" w:fill="auto"/>
                  <w:vAlign w:val="center"/>
                </w:tcPr>
                <w:p w14:paraId="5AC092E3">
                  <w:pPr>
                    <w:adjustRightInd w:val="0"/>
                    <w:snapToGrid w:val="0"/>
                    <w:spacing w:line="240" w:lineRule="auto"/>
                    <w:ind w:firstLine="0" w:firstLineChars="0"/>
                    <w:jc w:val="center"/>
                    <w:rPr>
                      <w:sz w:val="21"/>
                      <w:szCs w:val="21"/>
                    </w:rPr>
                  </w:pPr>
                  <w:r>
                    <w:rPr>
                      <w:sz w:val="21"/>
                      <w:szCs w:val="21"/>
                    </w:rPr>
                    <w:t>2,4二硝基甲苯（μg/L）</w:t>
                  </w:r>
                </w:p>
              </w:tc>
              <w:tc>
                <w:tcPr>
                  <w:tcW w:w="594" w:type="pct"/>
                  <w:shd w:val="clear" w:color="auto" w:fill="auto"/>
                  <w:vAlign w:val="center"/>
                </w:tcPr>
                <w:p w14:paraId="54018717">
                  <w:pPr>
                    <w:adjustRightInd w:val="0"/>
                    <w:snapToGrid w:val="0"/>
                    <w:spacing w:line="240" w:lineRule="auto"/>
                    <w:ind w:firstLine="0" w:firstLineChars="0"/>
                    <w:jc w:val="center"/>
                    <w:rPr>
                      <w:sz w:val="21"/>
                      <w:szCs w:val="21"/>
                    </w:rPr>
                  </w:pPr>
                  <w:r>
                    <w:rPr>
                      <w:sz w:val="21"/>
                      <w:szCs w:val="21"/>
                    </w:rPr>
                    <w:t>≤0.1</w:t>
                  </w:r>
                </w:p>
              </w:tc>
              <w:tc>
                <w:tcPr>
                  <w:tcW w:w="594" w:type="pct"/>
                  <w:shd w:val="clear" w:color="auto" w:fill="auto"/>
                  <w:vAlign w:val="center"/>
                </w:tcPr>
                <w:p w14:paraId="131C50F2">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vAlign w:val="center"/>
                </w:tcPr>
                <w:p w14:paraId="57D0DD42">
                  <w:pPr>
                    <w:adjustRightInd w:val="0"/>
                    <w:snapToGrid w:val="0"/>
                    <w:spacing w:line="240" w:lineRule="auto"/>
                    <w:ind w:firstLine="0" w:firstLineChars="0"/>
                    <w:jc w:val="center"/>
                    <w:rPr>
                      <w:sz w:val="21"/>
                      <w:szCs w:val="21"/>
                    </w:rPr>
                  </w:pPr>
                  <w:r>
                    <w:rPr>
                      <w:sz w:val="21"/>
                      <w:szCs w:val="21"/>
                    </w:rPr>
                    <w:t>≤5.0</w:t>
                  </w:r>
                </w:p>
              </w:tc>
              <w:tc>
                <w:tcPr>
                  <w:tcW w:w="645" w:type="pct"/>
                  <w:tcBorders>
                    <w:top w:val="single" w:color="auto" w:sz="4" w:space="0"/>
                    <w:bottom w:val="single" w:color="auto" w:sz="4" w:space="0"/>
                  </w:tcBorders>
                  <w:shd w:val="clear" w:color="auto" w:fill="A6A6A6"/>
                  <w:vAlign w:val="center"/>
                </w:tcPr>
                <w:p w14:paraId="5E2404AF">
                  <w:pPr>
                    <w:adjustRightInd w:val="0"/>
                    <w:snapToGrid w:val="0"/>
                    <w:spacing w:line="240" w:lineRule="auto"/>
                    <w:ind w:firstLine="0" w:firstLineChars="0"/>
                    <w:jc w:val="center"/>
                    <w:rPr>
                      <w:sz w:val="21"/>
                      <w:szCs w:val="21"/>
                    </w:rPr>
                  </w:pPr>
                  <w:r>
                    <w:rPr>
                      <w:sz w:val="21"/>
                      <w:szCs w:val="21"/>
                    </w:rPr>
                    <w:t>≤60.0</w:t>
                  </w:r>
                </w:p>
              </w:tc>
              <w:tc>
                <w:tcPr>
                  <w:tcW w:w="595" w:type="pct"/>
                  <w:vAlign w:val="center"/>
                </w:tcPr>
                <w:p w14:paraId="186DD745">
                  <w:pPr>
                    <w:adjustRightInd w:val="0"/>
                    <w:snapToGrid w:val="0"/>
                    <w:spacing w:line="240" w:lineRule="auto"/>
                    <w:ind w:firstLine="0" w:firstLineChars="0"/>
                    <w:jc w:val="center"/>
                    <w:rPr>
                      <w:sz w:val="21"/>
                      <w:szCs w:val="21"/>
                    </w:rPr>
                  </w:pPr>
                  <w:r>
                    <w:rPr>
                      <w:sz w:val="21"/>
                      <w:szCs w:val="21"/>
                    </w:rPr>
                    <w:t>&gt;60.0</w:t>
                  </w:r>
                </w:p>
              </w:tc>
            </w:tr>
            <w:tr w14:paraId="4E9CF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91" w:type="pct"/>
                  <w:shd w:val="clear" w:color="auto" w:fill="auto"/>
                  <w:vAlign w:val="center"/>
                </w:tcPr>
                <w:p w14:paraId="484BE6C7">
                  <w:pPr>
                    <w:adjustRightInd w:val="0"/>
                    <w:snapToGrid w:val="0"/>
                    <w:spacing w:line="240" w:lineRule="auto"/>
                    <w:ind w:firstLine="0" w:firstLineChars="0"/>
                    <w:jc w:val="center"/>
                    <w:rPr>
                      <w:sz w:val="21"/>
                      <w:szCs w:val="21"/>
                    </w:rPr>
                  </w:pPr>
                  <w:r>
                    <w:rPr>
                      <w:rFonts w:hint="eastAsia"/>
                      <w:sz w:val="21"/>
                      <w:szCs w:val="21"/>
                    </w:rPr>
                    <w:t>37</w:t>
                  </w:r>
                </w:p>
              </w:tc>
              <w:tc>
                <w:tcPr>
                  <w:tcW w:w="1688" w:type="pct"/>
                  <w:shd w:val="clear" w:color="auto" w:fill="auto"/>
                  <w:vAlign w:val="center"/>
                </w:tcPr>
                <w:p w14:paraId="46207619">
                  <w:pPr>
                    <w:adjustRightInd w:val="0"/>
                    <w:snapToGrid w:val="0"/>
                    <w:spacing w:line="240" w:lineRule="auto"/>
                    <w:ind w:firstLine="0" w:firstLineChars="0"/>
                    <w:jc w:val="center"/>
                    <w:rPr>
                      <w:sz w:val="21"/>
                      <w:szCs w:val="21"/>
                    </w:rPr>
                  </w:pPr>
                  <w:r>
                    <w:rPr>
                      <w:rFonts w:hint="eastAsia"/>
                      <w:sz w:val="21"/>
                      <w:szCs w:val="21"/>
                    </w:rPr>
                    <w:t>四氯化碳（</w:t>
                  </w:r>
                  <w:r>
                    <w:rPr>
                      <w:sz w:val="21"/>
                      <w:szCs w:val="21"/>
                    </w:rPr>
                    <w:t>μg</w:t>
                  </w:r>
                  <w:r>
                    <w:rPr>
                      <w:rFonts w:hint="eastAsia"/>
                      <w:sz w:val="21"/>
                      <w:szCs w:val="21"/>
                    </w:rPr>
                    <w:t>/L）</w:t>
                  </w:r>
                </w:p>
              </w:tc>
              <w:tc>
                <w:tcPr>
                  <w:tcW w:w="594" w:type="pct"/>
                  <w:shd w:val="clear" w:color="auto" w:fill="auto"/>
                  <w:vAlign w:val="center"/>
                </w:tcPr>
                <w:p w14:paraId="5CC21C0E">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vAlign w:val="center"/>
                </w:tcPr>
                <w:p w14:paraId="6A690F4D">
                  <w:pPr>
                    <w:adjustRightInd w:val="0"/>
                    <w:snapToGrid w:val="0"/>
                    <w:spacing w:line="240" w:lineRule="auto"/>
                    <w:ind w:firstLine="0" w:firstLineChars="0"/>
                    <w:jc w:val="center"/>
                    <w:rPr>
                      <w:sz w:val="21"/>
                      <w:szCs w:val="21"/>
                    </w:rPr>
                  </w:pPr>
                  <w:r>
                    <w:rPr>
                      <w:sz w:val="21"/>
                      <w:szCs w:val="21"/>
                    </w:rPr>
                    <w:t>≤0.5</w:t>
                  </w:r>
                </w:p>
              </w:tc>
              <w:tc>
                <w:tcPr>
                  <w:tcW w:w="594" w:type="pct"/>
                  <w:shd w:val="clear" w:color="auto" w:fill="auto"/>
                  <w:vAlign w:val="center"/>
                </w:tcPr>
                <w:p w14:paraId="4C4AC4D8">
                  <w:pPr>
                    <w:adjustRightInd w:val="0"/>
                    <w:snapToGrid w:val="0"/>
                    <w:spacing w:line="240" w:lineRule="auto"/>
                    <w:ind w:firstLine="0" w:firstLineChars="0"/>
                    <w:jc w:val="center"/>
                    <w:rPr>
                      <w:sz w:val="21"/>
                      <w:szCs w:val="21"/>
                    </w:rPr>
                  </w:pPr>
                  <w:r>
                    <w:rPr>
                      <w:sz w:val="21"/>
                      <w:szCs w:val="21"/>
                    </w:rPr>
                    <w:t>≤</w:t>
                  </w:r>
                  <w:r>
                    <w:rPr>
                      <w:rFonts w:hint="eastAsia"/>
                      <w:sz w:val="21"/>
                      <w:szCs w:val="21"/>
                    </w:rPr>
                    <w:t>2.0</w:t>
                  </w:r>
                </w:p>
              </w:tc>
              <w:tc>
                <w:tcPr>
                  <w:tcW w:w="645" w:type="pct"/>
                  <w:tcBorders>
                    <w:top w:val="single" w:color="auto" w:sz="4" w:space="0"/>
                    <w:bottom w:val="single" w:color="auto" w:sz="12" w:space="0"/>
                  </w:tcBorders>
                  <w:shd w:val="clear" w:color="auto" w:fill="A6A6A6"/>
                  <w:vAlign w:val="center"/>
                </w:tcPr>
                <w:p w14:paraId="64A15DA5">
                  <w:pPr>
                    <w:adjustRightInd w:val="0"/>
                    <w:snapToGrid w:val="0"/>
                    <w:spacing w:line="240" w:lineRule="auto"/>
                    <w:ind w:firstLine="0" w:firstLineChars="0"/>
                    <w:jc w:val="center"/>
                    <w:rPr>
                      <w:sz w:val="21"/>
                      <w:szCs w:val="21"/>
                    </w:rPr>
                  </w:pPr>
                  <w:r>
                    <w:rPr>
                      <w:sz w:val="21"/>
                      <w:szCs w:val="21"/>
                    </w:rPr>
                    <w:t>≤</w:t>
                  </w:r>
                  <w:r>
                    <w:rPr>
                      <w:rFonts w:hint="eastAsia"/>
                      <w:sz w:val="21"/>
                      <w:szCs w:val="21"/>
                    </w:rPr>
                    <w:t>50.0</w:t>
                  </w:r>
                </w:p>
              </w:tc>
              <w:tc>
                <w:tcPr>
                  <w:tcW w:w="595" w:type="pct"/>
                  <w:vAlign w:val="center"/>
                </w:tcPr>
                <w:p w14:paraId="0DC6F70B">
                  <w:pPr>
                    <w:adjustRightInd w:val="0"/>
                    <w:snapToGrid w:val="0"/>
                    <w:spacing w:line="240" w:lineRule="auto"/>
                    <w:ind w:firstLine="0" w:firstLineChars="0"/>
                    <w:jc w:val="center"/>
                    <w:rPr>
                      <w:sz w:val="21"/>
                      <w:szCs w:val="21"/>
                    </w:rPr>
                  </w:pPr>
                  <w:r>
                    <w:rPr>
                      <w:sz w:val="21"/>
                      <w:szCs w:val="21"/>
                    </w:rPr>
                    <w:t>&gt;</w:t>
                  </w:r>
                  <w:r>
                    <w:rPr>
                      <w:rFonts w:hint="eastAsia"/>
                      <w:sz w:val="21"/>
                      <w:szCs w:val="21"/>
                    </w:rPr>
                    <w:t>5</w:t>
                  </w:r>
                  <w:r>
                    <w:rPr>
                      <w:sz w:val="21"/>
                      <w:szCs w:val="21"/>
                    </w:rPr>
                    <w:t>0.0</w:t>
                  </w:r>
                </w:p>
              </w:tc>
            </w:tr>
          </w:tbl>
          <w:p w14:paraId="25ED0F3D">
            <w:pPr>
              <w:adjustRightInd w:val="0"/>
              <w:snapToGrid w:val="0"/>
              <w:ind w:firstLine="0" w:firstLineChars="0"/>
              <w:outlineLvl w:val="2"/>
              <w:rPr>
                <w:b/>
              </w:rPr>
            </w:pPr>
            <w:r>
              <w:rPr>
                <w:b/>
                <w:bCs/>
              </w:rPr>
              <w:t>3.1.</w:t>
            </w:r>
            <w:r>
              <w:rPr>
                <w:rFonts w:hint="eastAsia"/>
                <w:b/>
                <w:bCs/>
              </w:rPr>
              <w:t>4</w:t>
            </w:r>
            <w:r>
              <w:rPr>
                <w:rFonts w:hint="eastAsia"/>
                <w:b/>
              </w:rPr>
              <w:t>声环境</w:t>
            </w:r>
          </w:p>
          <w:p w14:paraId="43C39023">
            <w:pPr>
              <w:ind w:firstLine="480"/>
              <w:rPr>
                <w:szCs w:val="22"/>
              </w:rPr>
            </w:pPr>
            <w:r>
              <w:rPr>
                <w:rFonts w:hint="eastAsia"/>
                <w:szCs w:val="22"/>
              </w:rPr>
              <w:t>项目所在的工业区声环境功能执行《声环境质量标准》（</w:t>
            </w:r>
            <w:r>
              <w:rPr>
                <w:szCs w:val="22"/>
              </w:rPr>
              <w:t>GB3096-2008</w:t>
            </w:r>
            <w:r>
              <w:rPr>
                <w:rFonts w:hint="eastAsia"/>
                <w:szCs w:val="22"/>
              </w:rPr>
              <w:t>）</w:t>
            </w:r>
            <w:r>
              <w:rPr>
                <w:szCs w:val="22"/>
              </w:rPr>
              <w:t>3</w:t>
            </w:r>
            <w:r>
              <w:rPr>
                <w:rFonts w:hint="eastAsia"/>
                <w:szCs w:val="22"/>
              </w:rPr>
              <w:t>类区标准。</w:t>
            </w:r>
          </w:p>
          <w:p w14:paraId="1345D64A">
            <w:pPr>
              <w:spacing w:line="240" w:lineRule="auto"/>
              <w:ind w:firstLine="0" w:firstLineChars="0"/>
              <w:jc w:val="center"/>
              <w:rPr>
                <w:b/>
                <w:szCs w:val="20"/>
              </w:rPr>
            </w:pPr>
            <w:r>
              <w:rPr>
                <w:rFonts w:hint="eastAsia"/>
                <w:b/>
                <w:szCs w:val="20"/>
              </w:rPr>
              <w:t>表3.1-4声环境质量标准（摘录）单位：</w:t>
            </w:r>
            <w:r>
              <w:rPr>
                <w:b/>
                <w:szCs w:val="20"/>
              </w:rPr>
              <w:t>dB</w:t>
            </w:r>
            <w:r>
              <w:rPr>
                <w:rFonts w:hint="eastAsia"/>
                <w:b/>
                <w:szCs w:val="20"/>
              </w:rPr>
              <w:t>（</w:t>
            </w:r>
            <w:r>
              <w:rPr>
                <w:b/>
                <w:szCs w:val="20"/>
              </w:rPr>
              <w:t>A</w:t>
            </w:r>
            <w:r>
              <w:rPr>
                <w:rFonts w:hint="eastAsia"/>
                <w:b/>
                <w:szCs w:val="20"/>
              </w:rPr>
              <w:t>）</w:t>
            </w:r>
          </w:p>
          <w:tbl>
            <w:tblPr>
              <w:tblStyle w:val="30"/>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75"/>
              <w:gridCol w:w="2877"/>
              <w:gridCol w:w="2877"/>
            </w:tblGrid>
            <w:tr w14:paraId="2BF45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1666" w:type="pct"/>
                  <w:vAlign w:val="center"/>
                </w:tcPr>
                <w:p w14:paraId="7090A4C3">
                  <w:pPr>
                    <w:adjustRightInd w:val="0"/>
                    <w:snapToGrid w:val="0"/>
                    <w:spacing w:line="240" w:lineRule="auto"/>
                    <w:ind w:firstLine="0" w:firstLineChars="0"/>
                    <w:jc w:val="center"/>
                    <w:rPr>
                      <w:sz w:val="21"/>
                      <w:szCs w:val="21"/>
                    </w:rPr>
                  </w:pPr>
                  <w:r>
                    <w:rPr>
                      <w:rFonts w:hint="eastAsia"/>
                      <w:sz w:val="21"/>
                      <w:szCs w:val="21"/>
                    </w:rPr>
                    <w:t>声环境功能区类别</w:t>
                  </w:r>
                </w:p>
              </w:tc>
              <w:tc>
                <w:tcPr>
                  <w:tcW w:w="1667" w:type="pct"/>
                  <w:vAlign w:val="center"/>
                </w:tcPr>
                <w:p w14:paraId="1A394321">
                  <w:pPr>
                    <w:adjustRightInd w:val="0"/>
                    <w:snapToGrid w:val="0"/>
                    <w:spacing w:line="240" w:lineRule="auto"/>
                    <w:ind w:firstLine="0" w:firstLineChars="0"/>
                    <w:jc w:val="center"/>
                    <w:rPr>
                      <w:sz w:val="21"/>
                      <w:szCs w:val="21"/>
                    </w:rPr>
                  </w:pPr>
                  <w:r>
                    <w:rPr>
                      <w:rFonts w:hint="eastAsia"/>
                      <w:sz w:val="21"/>
                      <w:szCs w:val="21"/>
                    </w:rPr>
                    <w:t>昼间</w:t>
                  </w:r>
                </w:p>
              </w:tc>
              <w:tc>
                <w:tcPr>
                  <w:tcW w:w="1667" w:type="pct"/>
                  <w:vAlign w:val="center"/>
                </w:tcPr>
                <w:p w14:paraId="29D74E05">
                  <w:pPr>
                    <w:adjustRightInd w:val="0"/>
                    <w:snapToGrid w:val="0"/>
                    <w:spacing w:line="240" w:lineRule="auto"/>
                    <w:ind w:firstLine="0" w:firstLineChars="0"/>
                    <w:jc w:val="center"/>
                    <w:rPr>
                      <w:sz w:val="21"/>
                      <w:szCs w:val="21"/>
                    </w:rPr>
                  </w:pPr>
                  <w:r>
                    <w:rPr>
                      <w:rFonts w:hint="eastAsia"/>
                      <w:sz w:val="21"/>
                      <w:szCs w:val="21"/>
                    </w:rPr>
                    <w:t>夜间</w:t>
                  </w:r>
                </w:p>
              </w:tc>
            </w:tr>
            <w:tr w14:paraId="1425D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1666" w:type="pct"/>
                  <w:vAlign w:val="center"/>
                </w:tcPr>
                <w:p w14:paraId="210E8A5D">
                  <w:pPr>
                    <w:adjustRightInd w:val="0"/>
                    <w:snapToGrid w:val="0"/>
                    <w:spacing w:line="240" w:lineRule="auto"/>
                    <w:ind w:firstLine="0" w:firstLineChars="0"/>
                    <w:jc w:val="center"/>
                    <w:rPr>
                      <w:sz w:val="21"/>
                      <w:szCs w:val="21"/>
                    </w:rPr>
                  </w:pPr>
                  <w:r>
                    <w:rPr>
                      <w:sz w:val="21"/>
                      <w:szCs w:val="21"/>
                    </w:rPr>
                    <w:t>3</w:t>
                  </w:r>
                  <w:r>
                    <w:rPr>
                      <w:rFonts w:hint="eastAsia"/>
                      <w:sz w:val="21"/>
                      <w:szCs w:val="21"/>
                    </w:rPr>
                    <w:t>类</w:t>
                  </w:r>
                </w:p>
              </w:tc>
              <w:tc>
                <w:tcPr>
                  <w:tcW w:w="1667" w:type="pct"/>
                  <w:vAlign w:val="center"/>
                </w:tcPr>
                <w:p w14:paraId="595D499A">
                  <w:pPr>
                    <w:adjustRightInd w:val="0"/>
                    <w:snapToGrid w:val="0"/>
                    <w:spacing w:line="240" w:lineRule="auto"/>
                    <w:ind w:firstLine="0" w:firstLineChars="0"/>
                    <w:jc w:val="center"/>
                    <w:rPr>
                      <w:sz w:val="21"/>
                      <w:szCs w:val="21"/>
                    </w:rPr>
                  </w:pPr>
                  <w:r>
                    <w:rPr>
                      <w:sz w:val="21"/>
                      <w:szCs w:val="21"/>
                    </w:rPr>
                    <w:t>65</w:t>
                  </w:r>
                </w:p>
              </w:tc>
              <w:tc>
                <w:tcPr>
                  <w:tcW w:w="1667" w:type="pct"/>
                  <w:vAlign w:val="center"/>
                </w:tcPr>
                <w:p w14:paraId="2D6EB0EF">
                  <w:pPr>
                    <w:adjustRightInd w:val="0"/>
                    <w:snapToGrid w:val="0"/>
                    <w:spacing w:line="240" w:lineRule="auto"/>
                    <w:ind w:firstLine="0" w:firstLineChars="0"/>
                    <w:jc w:val="center"/>
                    <w:rPr>
                      <w:sz w:val="21"/>
                      <w:szCs w:val="21"/>
                    </w:rPr>
                  </w:pPr>
                  <w:r>
                    <w:rPr>
                      <w:sz w:val="21"/>
                      <w:szCs w:val="21"/>
                    </w:rPr>
                    <w:t>55</w:t>
                  </w:r>
                </w:p>
              </w:tc>
            </w:tr>
          </w:tbl>
          <w:p w14:paraId="0CBC0A13">
            <w:pPr>
              <w:adjustRightInd w:val="0"/>
              <w:snapToGrid w:val="0"/>
              <w:ind w:firstLine="0" w:firstLineChars="0"/>
              <w:outlineLvl w:val="2"/>
              <w:rPr>
                <w:b/>
                <w:bCs/>
              </w:rPr>
            </w:pPr>
          </w:p>
          <w:p w14:paraId="7AD3E626">
            <w:pPr>
              <w:adjustRightInd w:val="0"/>
              <w:snapToGrid w:val="0"/>
              <w:ind w:firstLine="0" w:firstLineChars="0"/>
              <w:outlineLvl w:val="2"/>
              <w:rPr>
                <w:b/>
              </w:rPr>
            </w:pPr>
            <w:r>
              <w:rPr>
                <w:b/>
                <w:bCs/>
              </w:rPr>
              <w:t>3.1.</w:t>
            </w:r>
            <w:r>
              <w:rPr>
                <w:rFonts w:hint="eastAsia"/>
                <w:b/>
                <w:bCs/>
              </w:rPr>
              <w:t>5</w:t>
            </w:r>
            <w:r>
              <w:rPr>
                <w:rFonts w:hint="eastAsia"/>
                <w:b/>
              </w:rPr>
              <w:t>土壤环境</w:t>
            </w:r>
          </w:p>
          <w:p w14:paraId="0779D181">
            <w:pPr>
              <w:ind w:firstLine="480"/>
              <w:rPr>
                <w:szCs w:val="22"/>
              </w:rPr>
            </w:pPr>
            <w:r>
              <w:rPr>
                <w:rFonts w:hint="eastAsia"/>
                <w:szCs w:val="22"/>
              </w:rPr>
              <w:t>项目规划区域为工业用地，执行《土壤环境质量建设用地土壤污染风险管控标准（试行）》（</w:t>
            </w:r>
            <w:r>
              <w:rPr>
                <w:szCs w:val="22"/>
              </w:rPr>
              <w:t>GB36600-2018</w:t>
            </w:r>
            <w:r>
              <w:rPr>
                <w:rFonts w:hint="eastAsia"/>
                <w:szCs w:val="22"/>
              </w:rPr>
              <w:t>）中的第二类用地的筛选值，具体标准值见表3.1-5。</w:t>
            </w:r>
          </w:p>
          <w:p w14:paraId="7B568550">
            <w:pPr>
              <w:spacing w:line="240" w:lineRule="auto"/>
              <w:ind w:firstLine="0" w:firstLineChars="0"/>
              <w:jc w:val="center"/>
              <w:rPr>
                <w:b/>
                <w:szCs w:val="20"/>
              </w:rPr>
            </w:pPr>
          </w:p>
          <w:p w14:paraId="2B00543D">
            <w:pPr>
              <w:spacing w:line="240" w:lineRule="auto"/>
              <w:ind w:firstLine="0" w:firstLineChars="0"/>
              <w:jc w:val="center"/>
              <w:rPr>
                <w:b/>
                <w:szCs w:val="20"/>
              </w:rPr>
            </w:pPr>
          </w:p>
          <w:p w14:paraId="694B44F5">
            <w:pPr>
              <w:spacing w:line="240" w:lineRule="auto"/>
              <w:ind w:firstLine="0" w:firstLineChars="0"/>
              <w:jc w:val="center"/>
              <w:rPr>
                <w:b/>
                <w:szCs w:val="20"/>
              </w:rPr>
            </w:pPr>
            <w:r>
              <w:rPr>
                <w:rFonts w:hint="eastAsia"/>
                <w:b/>
                <w:szCs w:val="20"/>
              </w:rPr>
              <w:t>表3.1-5土壤环境质量标准限值（部分摘录）单位：mg/kg</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3453"/>
              <w:gridCol w:w="1668"/>
              <w:gridCol w:w="1935"/>
            </w:tblGrid>
            <w:tr w14:paraId="538F6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Merge w:val="restart"/>
                  <w:vAlign w:val="center"/>
                </w:tcPr>
                <w:p w14:paraId="280BAA37">
                  <w:pPr>
                    <w:adjustRightInd w:val="0"/>
                    <w:snapToGrid w:val="0"/>
                    <w:spacing w:line="240" w:lineRule="auto"/>
                    <w:ind w:firstLine="0" w:firstLineChars="0"/>
                    <w:jc w:val="center"/>
                    <w:rPr>
                      <w:sz w:val="21"/>
                      <w:szCs w:val="21"/>
                    </w:rPr>
                  </w:pPr>
                  <w:r>
                    <w:rPr>
                      <w:rFonts w:hint="eastAsia"/>
                      <w:sz w:val="21"/>
                      <w:szCs w:val="21"/>
                    </w:rPr>
                    <w:t>序号</w:t>
                  </w:r>
                </w:p>
              </w:tc>
              <w:tc>
                <w:tcPr>
                  <w:tcW w:w="1997" w:type="pct"/>
                  <w:vMerge w:val="restart"/>
                  <w:vAlign w:val="center"/>
                </w:tcPr>
                <w:p w14:paraId="117D9E32">
                  <w:pPr>
                    <w:adjustRightInd w:val="0"/>
                    <w:snapToGrid w:val="0"/>
                    <w:spacing w:line="240" w:lineRule="auto"/>
                    <w:ind w:firstLine="0" w:firstLineChars="0"/>
                    <w:jc w:val="center"/>
                    <w:rPr>
                      <w:sz w:val="21"/>
                      <w:szCs w:val="21"/>
                    </w:rPr>
                  </w:pPr>
                  <w:r>
                    <w:rPr>
                      <w:rFonts w:hint="eastAsia"/>
                      <w:sz w:val="21"/>
                      <w:szCs w:val="21"/>
                    </w:rPr>
                    <w:t>项目</w:t>
                  </w:r>
                </w:p>
              </w:tc>
              <w:tc>
                <w:tcPr>
                  <w:tcW w:w="2083" w:type="pct"/>
                  <w:gridSpan w:val="2"/>
                  <w:vAlign w:val="center"/>
                </w:tcPr>
                <w:p w14:paraId="536B18D3">
                  <w:pPr>
                    <w:adjustRightInd w:val="0"/>
                    <w:snapToGrid w:val="0"/>
                    <w:spacing w:line="240" w:lineRule="auto"/>
                    <w:ind w:firstLine="0" w:firstLineChars="0"/>
                    <w:jc w:val="center"/>
                    <w:rPr>
                      <w:sz w:val="21"/>
                      <w:szCs w:val="21"/>
                    </w:rPr>
                  </w:pPr>
                  <w:r>
                    <w:rPr>
                      <w:rFonts w:hint="eastAsia"/>
                      <w:sz w:val="21"/>
                      <w:szCs w:val="21"/>
                    </w:rPr>
                    <w:t>第二类用地</w:t>
                  </w:r>
                </w:p>
              </w:tc>
            </w:tr>
            <w:tr w14:paraId="2CB3C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Merge w:val="continue"/>
                  <w:vAlign w:val="center"/>
                </w:tcPr>
                <w:p w14:paraId="4CB366EF">
                  <w:pPr>
                    <w:adjustRightInd w:val="0"/>
                    <w:snapToGrid w:val="0"/>
                    <w:spacing w:line="240" w:lineRule="auto"/>
                    <w:ind w:firstLine="0" w:firstLineChars="0"/>
                    <w:jc w:val="center"/>
                    <w:rPr>
                      <w:sz w:val="21"/>
                      <w:szCs w:val="21"/>
                    </w:rPr>
                  </w:pPr>
                </w:p>
              </w:tc>
              <w:tc>
                <w:tcPr>
                  <w:tcW w:w="1997" w:type="pct"/>
                  <w:vMerge w:val="continue"/>
                  <w:vAlign w:val="center"/>
                </w:tcPr>
                <w:p w14:paraId="3B0A114C">
                  <w:pPr>
                    <w:adjustRightInd w:val="0"/>
                    <w:snapToGrid w:val="0"/>
                    <w:spacing w:line="240" w:lineRule="auto"/>
                    <w:ind w:firstLine="0" w:firstLineChars="0"/>
                    <w:jc w:val="center"/>
                    <w:rPr>
                      <w:sz w:val="21"/>
                      <w:szCs w:val="21"/>
                    </w:rPr>
                  </w:pPr>
                </w:p>
              </w:tc>
              <w:tc>
                <w:tcPr>
                  <w:tcW w:w="965" w:type="pct"/>
                  <w:vAlign w:val="center"/>
                </w:tcPr>
                <w:p w14:paraId="38A0122C">
                  <w:pPr>
                    <w:adjustRightInd w:val="0"/>
                    <w:snapToGrid w:val="0"/>
                    <w:spacing w:line="240" w:lineRule="auto"/>
                    <w:ind w:firstLine="0" w:firstLineChars="0"/>
                    <w:jc w:val="center"/>
                    <w:rPr>
                      <w:sz w:val="21"/>
                      <w:szCs w:val="21"/>
                    </w:rPr>
                  </w:pPr>
                  <w:r>
                    <w:rPr>
                      <w:rFonts w:hint="eastAsia"/>
                      <w:sz w:val="21"/>
                      <w:szCs w:val="21"/>
                    </w:rPr>
                    <w:t>筛选值</w:t>
                  </w:r>
                </w:p>
              </w:tc>
              <w:tc>
                <w:tcPr>
                  <w:tcW w:w="1119" w:type="pct"/>
                  <w:vAlign w:val="center"/>
                </w:tcPr>
                <w:p w14:paraId="208769A8">
                  <w:pPr>
                    <w:adjustRightInd w:val="0"/>
                    <w:snapToGrid w:val="0"/>
                    <w:spacing w:line="240" w:lineRule="auto"/>
                    <w:ind w:firstLine="0" w:firstLineChars="0"/>
                    <w:jc w:val="center"/>
                    <w:rPr>
                      <w:sz w:val="21"/>
                      <w:szCs w:val="21"/>
                    </w:rPr>
                  </w:pPr>
                  <w:r>
                    <w:rPr>
                      <w:rFonts w:hint="eastAsia"/>
                      <w:sz w:val="21"/>
                      <w:szCs w:val="21"/>
                    </w:rPr>
                    <w:t>管制值</w:t>
                  </w:r>
                </w:p>
              </w:tc>
            </w:tr>
            <w:tr w14:paraId="36A52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gridSpan w:val="4"/>
                  <w:vAlign w:val="center"/>
                </w:tcPr>
                <w:p w14:paraId="452918D1">
                  <w:pPr>
                    <w:adjustRightInd w:val="0"/>
                    <w:snapToGrid w:val="0"/>
                    <w:spacing w:line="240" w:lineRule="auto"/>
                    <w:ind w:firstLine="0" w:firstLineChars="0"/>
                    <w:jc w:val="center"/>
                    <w:rPr>
                      <w:sz w:val="21"/>
                      <w:szCs w:val="21"/>
                    </w:rPr>
                  </w:pPr>
                  <w:r>
                    <w:rPr>
                      <w:rFonts w:hint="eastAsia"/>
                      <w:sz w:val="21"/>
                      <w:szCs w:val="21"/>
                    </w:rPr>
                    <w:t>重金属和无机物</w:t>
                  </w:r>
                </w:p>
              </w:tc>
            </w:tr>
            <w:tr w14:paraId="5EE8A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128ABF8">
                  <w:pPr>
                    <w:adjustRightInd w:val="0"/>
                    <w:snapToGrid w:val="0"/>
                    <w:spacing w:line="240" w:lineRule="auto"/>
                    <w:ind w:firstLine="0" w:firstLineChars="0"/>
                    <w:jc w:val="center"/>
                    <w:rPr>
                      <w:sz w:val="21"/>
                      <w:szCs w:val="21"/>
                    </w:rPr>
                  </w:pPr>
                  <w:r>
                    <w:rPr>
                      <w:sz w:val="21"/>
                      <w:szCs w:val="21"/>
                    </w:rPr>
                    <w:t>1</w:t>
                  </w:r>
                </w:p>
              </w:tc>
              <w:tc>
                <w:tcPr>
                  <w:tcW w:w="1997" w:type="pct"/>
                  <w:vAlign w:val="center"/>
                </w:tcPr>
                <w:p w14:paraId="5AE6AC63">
                  <w:pPr>
                    <w:adjustRightInd w:val="0"/>
                    <w:snapToGrid w:val="0"/>
                    <w:spacing w:line="240" w:lineRule="auto"/>
                    <w:ind w:firstLine="0" w:firstLineChars="0"/>
                    <w:jc w:val="center"/>
                    <w:rPr>
                      <w:sz w:val="21"/>
                      <w:szCs w:val="21"/>
                    </w:rPr>
                  </w:pPr>
                  <w:r>
                    <w:rPr>
                      <w:rFonts w:hint="eastAsia"/>
                      <w:sz w:val="21"/>
                      <w:szCs w:val="21"/>
                    </w:rPr>
                    <w:t>砷</w:t>
                  </w:r>
                </w:p>
              </w:tc>
              <w:tc>
                <w:tcPr>
                  <w:tcW w:w="965" w:type="pct"/>
                  <w:vAlign w:val="center"/>
                </w:tcPr>
                <w:p w14:paraId="5C3393ED">
                  <w:pPr>
                    <w:adjustRightInd w:val="0"/>
                    <w:snapToGrid w:val="0"/>
                    <w:spacing w:line="240" w:lineRule="auto"/>
                    <w:ind w:firstLine="0" w:firstLineChars="0"/>
                    <w:jc w:val="center"/>
                    <w:rPr>
                      <w:sz w:val="21"/>
                      <w:szCs w:val="21"/>
                    </w:rPr>
                  </w:pPr>
                  <w:r>
                    <w:rPr>
                      <w:sz w:val="21"/>
                      <w:szCs w:val="21"/>
                    </w:rPr>
                    <w:t>60</w:t>
                  </w:r>
                </w:p>
              </w:tc>
              <w:tc>
                <w:tcPr>
                  <w:tcW w:w="1119" w:type="pct"/>
                  <w:vAlign w:val="center"/>
                </w:tcPr>
                <w:p w14:paraId="3FF3113E">
                  <w:pPr>
                    <w:adjustRightInd w:val="0"/>
                    <w:snapToGrid w:val="0"/>
                    <w:spacing w:line="240" w:lineRule="auto"/>
                    <w:ind w:firstLine="0" w:firstLineChars="0"/>
                    <w:jc w:val="center"/>
                    <w:rPr>
                      <w:sz w:val="21"/>
                      <w:szCs w:val="21"/>
                    </w:rPr>
                  </w:pPr>
                  <w:r>
                    <w:rPr>
                      <w:sz w:val="21"/>
                      <w:szCs w:val="21"/>
                    </w:rPr>
                    <w:t>140</w:t>
                  </w:r>
                </w:p>
              </w:tc>
            </w:tr>
            <w:tr w14:paraId="35B5A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ACA6030">
                  <w:pPr>
                    <w:adjustRightInd w:val="0"/>
                    <w:snapToGrid w:val="0"/>
                    <w:spacing w:line="240" w:lineRule="auto"/>
                    <w:ind w:firstLine="0" w:firstLineChars="0"/>
                    <w:jc w:val="center"/>
                    <w:rPr>
                      <w:sz w:val="21"/>
                      <w:szCs w:val="21"/>
                    </w:rPr>
                  </w:pPr>
                  <w:r>
                    <w:rPr>
                      <w:sz w:val="21"/>
                      <w:szCs w:val="21"/>
                    </w:rPr>
                    <w:t>2</w:t>
                  </w:r>
                </w:p>
              </w:tc>
              <w:tc>
                <w:tcPr>
                  <w:tcW w:w="1997" w:type="pct"/>
                  <w:vAlign w:val="center"/>
                </w:tcPr>
                <w:p w14:paraId="59FFBC1B">
                  <w:pPr>
                    <w:adjustRightInd w:val="0"/>
                    <w:snapToGrid w:val="0"/>
                    <w:spacing w:line="240" w:lineRule="auto"/>
                    <w:ind w:firstLine="0" w:firstLineChars="0"/>
                    <w:jc w:val="center"/>
                    <w:rPr>
                      <w:sz w:val="21"/>
                      <w:szCs w:val="21"/>
                    </w:rPr>
                  </w:pPr>
                  <w:r>
                    <w:rPr>
                      <w:rFonts w:hint="eastAsia"/>
                      <w:sz w:val="21"/>
                      <w:szCs w:val="21"/>
                    </w:rPr>
                    <w:t>镉</w:t>
                  </w:r>
                </w:p>
              </w:tc>
              <w:tc>
                <w:tcPr>
                  <w:tcW w:w="965" w:type="pct"/>
                  <w:vAlign w:val="center"/>
                </w:tcPr>
                <w:p w14:paraId="5017BF01">
                  <w:pPr>
                    <w:adjustRightInd w:val="0"/>
                    <w:snapToGrid w:val="0"/>
                    <w:spacing w:line="240" w:lineRule="auto"/>
                    <w:ind w:firstLine="0" w:firstLineChars="0"/>
                    <w:jc w:val="center"/>
                    <w:rPr>
                      <w:sz w:val="21"/>
                      <w:szCs w:val="21"/>
                    </w:rPr>
                  </w:pPr>
                  <w:r>
                    <w:rPr>
                      <w:sz w:val="21"/>
                      <w:szCs w:val="21"/>
                    </w:rPr>
                    <w:t>65</w:t>
                  </w:r>
                </w:p>
              </w:tc>
              <w:tc>
                <w:tcPr>
                  <w:tcW w:w="1119" w:type="pct"/>
                  <w:vAlign w:val="center"/>
                </w:tcPr>
                <w:p w14:paraId="70B9188A">
                  <w:pPr>
                    <w:adjustRightInd w:val="0"/>
                    <w:snapToGrid w:val="0"/>
                    <w:spacing w:line="240" w:lineRule="auto"/>
                    <w:ind w:firstLine="0" w:firstLineChars="0"/>
                    <w:jc w:val="center"/>
                    <w:rPr>
                      <w:sz w:val="21"/>
                      <w:szCs w:val="21"/>
                    </w:rPr>
                  </w:pPr>
                  <w:r>
                    <w:rPr>
                      <w:sz w:val="21"/>
                      <w:szCs w:val="21"/>
                    </w:rPr>
                    <w:t>172</w:t>
                  </w:r>
                </w:p>
              </w:tc>
            </w:tr>
            <w:tr w14:paraId="2C8A2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EB7D952">
                  <w:pPr>
                    <w:adjustRightInd w:val="0"/>
                    <w:snapToGrid w:val="0"/>
                    <w:spacing w:line="240" w:lineRule="auto"/>
                    <w:ind w:firstLine="0" w:firstLineChars="0"/>
                    <w:jc w:val="center"/>
                    <w:rPr>
                      <w:sz w:val="21"/>
                      <w:szCs w:val="21"/>
                    </w:rPr>
                  </w:pPr>
                  <w:r>
                    <w:rPr>
                      <w:sz w:val="21"/>
                      <w:szCs w:val="21"/>
                    </w:rPr>
                    <w:t>3</w:t>
                  </w:r>
                </w:p>
              </w:tc>
              <w:tc>
                <w:tcPr>
                  <w:tcW w:w="1997" w:type="pct"/>
                  <w:vAlign w:val="center"/>
                </w:tcPr>
                <w:p w14:paraId="5755686F">
                  <w:pPr>
                    <w:adjustRightInd w:val="0"/>
                    <w:snapToGrid w:val="0"/>
                    <w:spacing w:line="240" w:lineRule="auto"/>
                    <w:ind w:firstLine="0" w:firstLineChars="0"/>
                    <w:jc w:val="center"/>
                    <w:rPr>
                      <w:sz w:val="21"/>
                      <w:szCs w:val="21"/>
                    </w:rPr>
                  </w:pPr>
                  <w:r>
                    <w:rPr>
                      <w:rFonts w:hint="eastAsia"/>
                      <w:sz w:val="21"/>
                      <w:szCs w:val="21"/>
                    </w:rPr>
                    <w:t>铬（六价）</w:t>
                  </w:r>
                </w:p>
              </w:tc>
              <w:tc>
                <w:tcPr>
                  <w:tcW w:w="965" w:type="pct"/>
                  <w:vAlign w:val="center"/>
                </w:tcPr>
                <w:p w14:paraId="3661D601">
                  <w:pPr>
                    <w:adjustRightInd w:val="0"/>
                    <w:snapToGrid w:val="0"/>
                    <w:spacing w:line="240" w:lineRule="auto"/>
                    <w:ind w:firstLine="0" w:firstLineChars="0"/>
                    <w:jc w:val="center"/>
                    <w:rPr>
                      <w:sz w:val="21"/>
                      <w:szCs w:val="21"/>
                    </w:rPr>
                  </w:pPr>
                  <w:r>
                    <w:rPr>
                      <w:sz w:val="21"/>
                      <w:szCs w:val="21"/>
                    </w:rPr>
                    <w:t>5.7</w:t>
                  </w:r>
                </w:p>
              </w:tc>
              <w:tc>
                <w:tcPr>
                  <w:tcW w:w="1119" w:type="pct"/>
                  <w:vAlign w:val="center"/>
                </w:tcPr>
                <w:p w14:paraId="2E4ED797">
                  <w:pPr>
                    <w:adjustRightInd w:val="0"/>
                    <w:snapToGrid w:val="0"/>
                    <w:spacing w:line="240" w:lineRule="auto"/>
                    <w:ind w:firstLine="0" w:firstLineChars="0"/>
                    <w:jc w:val="center"/>
                    <w:rPr>
                      <w:sz w:val="21"/>
                      <w:szCs w:val="21"/>
                    </w:rPr>
                  </w:pPr>
                  <w:r>
                    <w:rPr>
                      <w:sz w:val="21"/>
                      <w:szCs w:val="21"/>
                    </w:rPr>
                    <w:t>78</w:t>
                  </w:r>
                </w:p>
              </w:tc>
            </w:tr>
            <w:tr w14:paraId="26D27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109E4097">
                  <w:pPr>
                    <w:adjustRightInd w:val="0"/>
                    <w:snapToGrid w:val="0"/>
                    <w:spacing w:line="240" w:lineRule="auto"/>
                    <w:ind w:firstLine="0" w:firstLineChars="0"/>
                    <w:jc w:val="center"/>
                    <w:rPr>
                      <w:sz w:val="21"/>
                      <w:szCs w:val="21"/>
                    </w:rPr>
                  </w:pPr>
                  <w:r>
                    <w:rPr>
                      <w:sz w:val="21"/>
                      <w:szCs w:val="21"/>
                    </w:rPr>
                    <w:t>4</w:t>
                  </w:r>
                </w:p>
              </w:tc>
              <w:tc>
                <w:tcPr>
                  <w:tcW w:w="1997" w:type="pct"/>
                  <w:vAlign w:val="center"/>
                </w:tcPr>
                <w:p w14:paraId="17B0E7F6">
                  <w:pPr>
                    <w:adjustRightInd w:val="0"/>
                    <w:snapToGrid w:val="0"/>
                    <w:spacing w:line="240" w:lineRule="auto"/>
                    <w:ind w:firstLine="0" w:firstLineChars="0"/>
                    <w:jc w:val="center"/>
                    <w:rPr>
                      <w:sz w:val="21"/>
                      <w:szCs w:val="21"/>
                    </w:rPr>
                  </w:pPr>
                  <w:r>
                    <w:rPr>
                      <w:rFonts w:hint="eastAsia"/>
                      <w:sz w:val="21"/>
                      <w:szCs w:val="21"/>
                    </w:rPr>
                    <w:t>铜</w:t>
                  </w:r>
                </w:p>
              </w:tc>
              <w:tc>
                <w:tcPr>
                  <w:tcW w:w="965" w:type="pct"/>
                  <w:vAlign w:val="center"/>
                </w:tcPr>
                <w:p w14:paraId="45C8A001">
                  <w:pPr>
                    <w:adjustRightInd w:val="0"/>
                    <w:snapToGrid w:val="0"/>
                    <w:spacing w:line="240" w:lineRule="auto"/>
                    <w:ind w:firstLine="0" w:firstLineChars="0"/>
                    <w:jc w:val="center"/>
                    <w:rPr>
                      <w:sz w:val="21"/>
                      <w:szCs w:val="21"/>
                    </w:rPr>
                  </w:pPr>
                  <w:r>
                    <w:rPr>
                      <w:sz w:val="21"/>
                      <w:szCs w:val="21"/>
                    </w:rPr>
                    <w:t>18000</w:t>
                  </w:r>
                </w:p>
              </w:tc>
              <w:tc>
                <w:tcPr>
                  <w:tcW w:w="1119" w:type="pct"/>
                  <w:vAlign w:val="center"/>
                </w:tcPr>
                <w:p w14:paraId="3B0CED19">
                  <w:pPr>
                    <w:adjustRightInd w:val="0"/>
                    <w:snapToGrid w:val="0"/>
                    <w:spacing w:line="240" w:lineRule="auto"/>
                    <w:ind w:firstLine="0" w:firstLineChars="0"/>
                    <w:jc w:val="center"/>
                    <w:rPr>
                      <w:sz w:val="21"/>
                      <w:szCs w:val="21"/>
                    </w:rPr>
                  </w:pPr>
                  <w:r>
                    <w:rPr>
                      <w:sz w:val="21"/>
                      <w:szCs w:val="21"/>
                    </w:rPr>
                    <w:t>36000</w:t>
                  </w:r>
                </w:p>
              </w:tc>
            </w:tr>
            <w:tr w14:paraId="0E46B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1C52925D">
                  <w:pPr>
                    <w:adjustRightInd w:val="0"/>
                    <w:snapToGrid w:val="0"/>
                    <w:spacing w:line="240" w:lineRule="auto"/>
                    <w:ind w:firstLine="0" w:firstLineChars="0"/>
                    <w:jc w:val="center"/>
                    <w:rPr>
                      <w:sz w:val="21"/>
                      <w:szCs w:val="21"/>
                    </w:rPr>
                  </w:pPr>
                  <w:r>
                    <w:rPr>
                      <w:sz w:val="21"/>
                      <w:szCs w:val="21"/>
                    </w:rPr>
                    <w:t>5</w:t>
                  </w:r>
                </w:p>
              </w:tc>
              <w:tc>
                <w:tcPr>
                  <w:tcW w:w="1997" w:type="pct"/>
                  <w:vAlign w:val="center"/>
                </w:tcPr>
                <w:p w14:paraId="6234ABBA">
                  <w:pPr>
                    <w:adjustRightInd w:val="0"/>
                    <w:snapToGrid w:val="0"/>
                    <w:spacing w:line="240" w:lineRule="auto"/>
                    <w:ind w:firstLine="0" w:firstLineChars="0"/>
                    <w:jc w:val="center"/>
                    <w:rPr>
                      <w:sz w:val="21"/>
                      <w:szCs w:val="21"/>
                    </w:rPr>
                  </w:pPr>
                  <w:r>
                    <w:rPr>
                      <w:rFonts w:hint="eastAsia"/>
                      <w:sz w:val="21"/>
                      <w:szCs w:val="21"/>
                    </w:rPr>
                    <w:t>铅</w:t>
                  </w:r>
                </w:p>
              </w:tc>
              <w:tc>
                <w:tcPr>
                  <w:tcW w:w="965" w:type="pct"/>
                  <w:vAlign w:val="center"/>
                </w:tcPr>
                <w:p w14:paraId="22304339">
                  <w:pPr>
                    <w:adjustRightInd w:val="0"/>
                    <w:snapToGrid w:val="0"/>
                    <w:spacing w:line="240" w:lineRule="auto"/>
                    <w:ind w:firstLine="0" w:firstLineChars="0"/>
                    <w:jc w:val="center"/>
                    <w:rPr>
                      <w:sz w:val="21"/>
                      <w:szCs w:val="21"/>
                    </w:rPr>
                  </w:pPr>
                  <w:r>
                    <w:rPr>
                      <w:sz w:val="21"/>
                      <w:szCs w:val="21"/>
                    </w:rPr>
                    <w:t>800</w:t>
                  </w:r>
                </w:p>
              </w:tc>
              <w:tc>
                <w:tcPr>
                  <w:tcW w:w="1119" w:type="pct"/>
                  <w:vAlign w:val="center"/>
                </w:tcPr>
                <w:p w14:paraId="5CE728D9">
                  <w:pPr>
                    <w:adjustRightInd w:val="0"/>
                    <w:snapToGrid w:val="0"/>
                    <w:spacing w:line="240" w:lineRule="auto"/>
                    <w:ind w:firstLine="0" w:firstLineChars="0"/>
                    <w:jc w:val="center"/>
                    <w:rPr>
                      <w:sz w:val="21"/>
                      <w:szCs w:val="21"/>
                    </w:rPr>
                  </w:pPr>
                  <w:r>
                    <w:rPr>
                      <w:sz w:val="21"/>
                      <w:szCs w:val="21"/>
                    </w:rPr>
                    <w:t>2500</w:t>
                  </w:r>
                </w:p>
              </w:tc>
            </w:tr>
            <w:tr w14:paraId="53871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4806EB3">
                  <w:pPr>
                    <w:adjustRightInd w:val="0"/>
                    <w:snapToGrid w:val="0"/>
                    <w:spacing w:line="240" w:lineRule="auto"/>
                    <w:ind w:firstLine="0" w:firstLineChars="0"/>
                    <w:jc w:val="center"/>
                    <w:rPr>
                      <w:sz w:val="21"/>
                      <w:szCs w:val="21"/>
                    </w:rPr>
                  </w:pPr>
                  <w:r>
                    <w:rPr>
                      <w:sz w:val="21"/>
                      <w:szCs w:val="21"/>
                    </w:rPr>
                    <w:t>6</w:t>
                  </w:r>
                </w:p>
              </w:tc>
              <w:tc>
                <w:tcPr>
                  <w:tcW w:w="1997" w:type="pct"/>
                  <w:vAlign w:val="center"/>
                </w:tcPr>
                <w:p w14:paraId="7087F8DA">
                  <w:pPr>
                    <w:adjustRightInd w:val="0"/>
                    <w:snapToGrid w:val="0"/>
                    <w:spacing w:line="240" w:lineRule="auto"/>
                    <w:ind w:firstLine="0" w:firstLineChars="0"/>
                    <w:jc w:val="center"/>
                    <w:rPr>
                      <w:sz w:val="21"/>
                      <w:szCs w:val="21"/>
                    </w:rPr>
                  </w:pPr>
                  <w:r>
                    <w:rPr>
                      <w:rFonts w:hint="eastAsia"/>
                      <w:sz w:val="21"/>
                      <w:szCs w:val="21"/>
                    </w:rPr>
                    <w:t>汞</w:t>
                  </w:r>
                </w:p>
              </w:tc>
              <w:tc>
                <w:tcPr>
                  <w:tcW w:w="965" w:type="pct"/>
                  <w:vAlign w:val="center"/>
                </w:tcPr>
                <w:p w14:paraId="522ACBC9">
                  <w:pPr>
                    <w:adjustRightInd w:val="0"/>
                    <w:snapToGrid w:val="0"/>
                    <w:spacing w:line="240" w:lineRule="auto"/>
                    <w:ind w:firstLine="0" w:firstLineChars="0"/>
                    <w:jc w:val="center"/>
                    <w:rPr>
                      <w:sz w:val="21"/>
                      <w:szCs w:val="21"/>
                    </w:rPr>
                  </w:pPr>
                  <w:r>
                    <w:rPr>
                      <w:sz w:val="21"/>
                      <w:szCs w:val="21"/>
                    </w:rPr>
                    <w:t>38</w:t>
                  </w:r>
                </w:p>
              </w:tc>
              <w:tc>
                <w:tcPr>
                  <w:tcW w:w="1119" w:type="pct"/>
                  <w:vAlign w:val="center"/>
                </w:tcPr>
                <w:p w14:paraId="2FAF90C4">
                  <w:pPr>
                    <w:adjustRightInd w:val="0"/>
                    <w:snapToGrid w:val="0"/>
                    <w:spacing w:line="240" w:lineRule="auto"/>
                    <w:ind w:firstLine="0" w:firstLineChars="0"/>
                    <w:jc w:val="center"/>
                    <w:rPr>
                      <w:sz w:val="21"/>
                      <w:szCs w:val="21"/>
                    </w:rPr>
                  </w:pPr>
                  <w:r>
                    <w:rPr>
                      <w:sz w:val="21"/>
                      <w:szCs w:val="21"/>
                    </w:rPr>
                    <w:t>82</w:t>
                  </w:r>
                </w:p>
              </w:tc>
            </w:tr>
            <w:tr w14:paraId="118FD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AC1C42A">
                  <w:pPr>
                    <w:adjustRightInd w:val="0"/>
                    <w:snapToGrid w:val="0"/>
                    <w:spacing w:line="240" w:lineRule="auto"/>
                    <w:ind w:firstLine="0" w:firstLineChars="0"/>
                    <w:jc w:val="center"/>
                    <w:rPr>
                      <w:sz w:val="21"/>
                      <w:szCs w:val="21"/>
                    </w:rPr>
                  </w:pPr>
                  <w:r>
                    <w:rPr>
                      <w:sz w:val="21"/>
                      <w:szCs w:val="21"/>
                    </w:rPr>
                    <w:t>7</w:t>
                  </w:r>
                </w:p>
              </w:tc>
              <w:tc>
                <w:tcPr>
                  <w:tcW w:w="1997" w:type="pct"/>
                  <w:vAlign w:val="center"/>
                </w:tcPr>
                <w:p w14:paraId="34DC0762">
                  <w:pPr>
                    <w:adjustRightInd w:val="0"/>
                    <w:snapToGrid w:val="0"/>
                    <w:spacing w:line="240" w:lineRule="auto"/>
                    <w:ind w:firstLine="0" w:firstLineChars="0"/>
                    <w:jc w:val="center"/>
                    <w:rPr>
                      <w:sz w:val="21"/>
                      <w:szCs w:val="21"/>
                    </w:rPr>
                  </w:pPr>
                  <w:r>
                    <w:rPr>
                      <w:rFonts w:hint="eastAsia"/>
                      <w:sz w:val="21"/>
                      <w:szCs w:val="21"/>
                    </w:rPr>
                    <w:t>镍</w:t>
                  </w:r>
                </w:p>
              </w:tc>
              <w:tc>
                <w:tcPr>
                  <w:tcW w:w="965" w:type="pct"/>
                  <w:vAlign w:val="center"/>
                </w:tcPr>
                <w:p w14:paraId="51DD7AA0">
                  <w:pPr>
                    <w:adjustRightInd w:val="0"/>
                    <w:snapToGrid w:val="0"/>
                    <w:spacing w:line="240" w:lineRule="auto"/>
                    <w:ind w:firstLine="0" w:firstLineChars="0"/>
                    <w:jc w:val="center"/>
                    <w:rPr>
                      <w:sz w:val="21"/>
                      <w:szCs w:val="21"/>
                    </w:rPr>
                  </w:pPr>
                  <w:r>
                    <w:rPr>
                      <w:sz w:val="21"/>
                      <w:szCs w:val="21"/>
                    </w:rPr>
                    <w:t>900</w:t>
                  </w:r>
                </w:p>
              </w:tc>
              <w:tc>
                <w:tcPr>
                  <w:tcW w:w="1119" w:type="pct"/>
                  <w:vAlign w:val="center"/>
                </w:tcPr>
                <w:p w14:paraId="46D06480">
                  <w:pPr>
                    <w:adjustRightInd w:val="0"/>
                    <w:snapToGrid w:val="0"/>
                    <w:spacing w:line="240" w:lineRule="auto"/>
                    <w:ind w:firstLine="0" w:firstLineChars="0"/>
                    <w:jc w:val="center"/>
                    <w:rPr>
                      <w:sz w:val="21"/>
                      <w:szCs w:val="21"/>
                    </w:rPr>
                  </w:pPr>
                  <w:r>
                    <w:rPr>
                      <w:sz w:val="21"/>
                      <w:szCs w:val="21"/>
                    </w:rPr>
                    <w:t>2000</w:t>
                  </w:r>
                </w:p>
              </w:tc>
            </w:tr>
            <w:tr w14:paraId="05A11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gridSpan w:val="4"/>
                  <w:vAlign w:val="center"/>
                </w:tcPr>
                <w:p w14:paraId="1FE0C559">
                  <w:pPr>
                    <w:adjustRightInd w:val="0"/>
                    <w:snapToGrid w:val="0"/>
                    <w:spacing w:line="240" w:lineRule="auto"/>
                    <w:ind w:firstLine="0" w:firstLineChars="0"/>
                    <w:jc w:val="center"/>
                    <w:rPr>
                      <w:sz w:val="21"/>
                      <w:szCs w:val="21"/>
                    </w:rPr>
                  </w:pPr>
                  <w:r>
                    <w:rPr>
                      <w:rFonts w:hint="eastAsia"/>
                      <w:sz w:val="21"/>
                      <w:szCs w:val="21"/>
                    </w:rPr>
                    <w:t>挥发性有机物</w:t>
                  </w:r>
                </w:p>
              </w:tc>
            </w:tr>
            <w:tr w14:paraId="667C2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7DA193D">
                  <w:pPr>
                    <w:adjustRightInd w:val="0"/>
                    <w:snapToGrid w:val="0"/>
                    <w:spacing w:line="240" w:lineRule="auto"/>
                    <w:ind w:firstLine="0" w:firstLineChars="0"/>
                    <w:jc w:val="center"/>
                    <w:rPr>
                      <w:sz w:val="21"/>
                      <w:szCs w:val="21"/>
                    </w:rPr>
                  </w:pPr>
                  <w:r>
                    <w:rPr>
                      <w:sz w:val="21"/>
                      <w:szCs w:val="21"/>
                    </w:rPr>
                    <w:t>8</w:t>
                  </w:r>
                </w:p>
              </w:tc>
              <w:tc>
                <w:tcPr>
                  <w:tcW w:w="1997" w:type="pct"/>
                  <w:vAlign w:val="center"/>
                </w:tcPr>
                <w:p w14:paraId="1B099133">
                  <w:pPr>
                    <w:adjustRightInd w:val="0"/>
                    <w:snapToGrid w:val="0"/>
                    <w:spacing w:line="240" w:lineRule="auto"/>
                    <w:ind w:firstLine="0" w:firstLineChars="0"/>
                    <w:jc w:val="center"/>
                    <w:rPr>
                      <w:sz w:val="21"/>
                      <w:szCs w:val="21"/>
                    </w:rPr>
                  </w:pPr>
                  <w:r>
                    <w:rPr>
                      <w:rFonts w:hint="eastAsia"/>
                      <w:sz w:val="21"/>
                      <w:szCs w:val="21"/>
                    </w:rPr>
                    <w:t>四氯化碳</w:t>
                  </w:r>
                </w:p>
              </w:tc>
              <w:tc>
                <w:tcPr>
                  <w:tcW w:w="965" w:type="pct"/>
                  <w:vAlign w:val="center"/>
                </w:tcPr>
                <w:p w14:paraId="3A8FE54B">
                  <w:pPr>
                    <w:adjustRightInd w:val="0"/>
                    <w:snapToGrid w:val="0"/>
                    <w:spacing w:line="240" w:lineRule="auto"/>
                    <w:ind w:firstLine="0" w:firstLineChars="0"/>
                    <w:jc w:val="center"/>
                    <w:rPr>
                      <w:sz w:val="21"/>
                      <w:szCs w:val="21"/>
                    </w:rPr>
                  </w:pPr>
                  <w:r>
                    <w:rPr>
                      <w:sz w:val="21"/>
                      <w:szCs w:val="21"/>
                    </w:rPr>
                    <w:t>2.8</w:t>
                  </w:r>
                </w:p>
              </w:tc>
              <w:tc>
                <w:tcPr>
                  <w:tcW w:w="1119" w:type="pct"/>
                  <w:vAlign w:val="center"/>
                </w:tcPr>
                <w:p w14:paraId="03DAE334">
                  <w:pPr>
                    <w:adjustRightInd w:val="0"/>
                    <w:snapToGrid w:val="0"/>
                    <w:spacing w:line="240" w:lineRule="auto"/>
                    <w:ind w:firstLine="0" w:firstLineChars="0"/>
                    <w:jc w:val="center"/>
                    <w:rPr>
                      <w:sz w:val="21"/>
                      <w:szCs w:val="21"/>
                    </w:rPr>
                  </w:pPr>
                  <w:r>
                    <w:rPr>
                      <w:sz w:val="21"/>
                      <w:szCs w:val="21"/>
                    </w:rPr>
                    <w:t>36</w:t>
                  </w:r>
                </w:p>
              </w:tc>
            </w:tr>
            <w:tr w14:paraId="1E487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3E34E4C">
                  <w:pPr>
                    <w:adjustRightInd w:val="0"/>
                    <w:snapToGrid w:val="0"/>
                    <w:spacing w:line="240" w:lineRule="auto"/>
                    <w:ind w:firstLine="0" w:firstLineChars="0"/>
                    <w:jc w:val="center"/>
                    <w:rPr>
                      <w:sz w:val="21"/>
                      <w:szCs w:val="21"/>
                    </w:rPr>
                  </w:pPr>
                  <w:r>
                    <w:rPr>
                      <w:sz w:val="21"/>
                      <w:szCs w:val="21"/>
                    </w:rPr>
                    <w:t>9</w:t>
                  </w:r>
                </w:p>
              </w:tc>
              <w:tc>
                <w:tcPr>
                  <w:tcW w:w="1997" w:type="pct"/>
                  <w:vAlign w:val="center"/>
                </w:tcPr>
                <w:p w14:paraId="0276C589">
                  <w:pPr>
                    <w:adjustRightInd w:val="0"/>
                    <w:snapToGrid w:val="0"/>
                    <w:spacing w:line="240" w:lineRule="auto"/>
                    <w:ind w:firstLine="0" w:firstLineChars="0"/>
                    <w:jc w:val="center"/>
                    <w:rPr>
                      <w:sz w:val="21"/>
                      <w:szCs w:val="21"/>
                    </w:rPr>
                  </w:pPr>
                  <w:r>
                    <w:rPr>
                      <w:rFonts w:hint="eastAsia"/>
                      <w:sz w:val="21"/>
                      <w:szCs w:val="21"/>
                    </w:rPr>
                    <w:t>氯仿</w:t>
                  </w:r>
                </w:p>
              </w:tc>
              <w:tc>
                <w:tcPr>
                  <w:tcW w:w="965" w:type="pct"/>
                  <w:vAlign w:val="center"/>
                </w:tcPr>
                <w:p w14:paraId="326753CA">
                  <w:pPr>
                    <w:adjustRightInd w:val="0"/>
                    <w:snapToGrid w:val="0"/>
                    <w:spacing w:line="240" w:lineRule="auto"/>
                    <w:ind w:firstLine="0" w:firstLineChars="0"/>
                    <w:jc w:val="center"/>
                    <w:rPr>
                      <w:sz w:val="21"/>
                      <w:szCs w:val="21"/>
                    </w:rPr>
                  </w:pPr>
                  <w:r>
                    <w:rPr>
                      <w:sz w:val="21"/>
                      <w:szCs w:val="21"/>
                    </w:rPr>
                    <w:t>0.9</w:t>
                  </w:r>
                </w:p>
              </w:tc>
              <w:tc>
                <w:tcPr>
                  <w:tcW w:w="1119" w:type="pct"/>
                  <w:vAlign w:val="center"/>
                </w:tcPr>
                <w:p w14:paraId="5AC132CD">
                  <w:pPr>
                    <w:adjustRightInd w:val="0"/>
                    <w:snapToGrid w:val="0"/>
                    <w:spacing w:line="240" w:lineRule="auto"/>
                    <w:ind w:firstLine="0" w:firstLineChars="0"/>
                    <w:jc w:val="center"/>
                    <w:rPr>
                      <w:sz w:val="21"/>
                      <w:szCs w:val="21"/>
                    </w:rPr>
                  </w:pPr>
                  <w:r>
                    <w:rPr>
                      <w:sz w:val="21"/>
                      <w:szCs w:val="21"/>
                    </w:rPr>
                    <w:t>10</w:t>
                  </w:r>
                </w:p>
              </w:tc>
            </w:tr>
            <w:tr w14:paraId="77218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16CEBCC8">
                  <w:pPr>
                    <w:adjustRightInd w:val="0"/>
                    <w:snapToGrid w:val="0"/>
                    <w:spacing w:line="240" w:lineRule="auto"/>
                    <w:ind w:firstLine="0" w:firstLineChars="0"/>
                    <w:jc w:val="center"/>
                    <w:rPr>
                      <w:sz w:val="21"/>
                      <w:szCs w:val="21"/>
                    </w:rPr>
                  </w:pPr>
                  <w:r>
                    <w:rPr>
                      <w:sz w:val="21"/>
                      <w:szCs w:val="21"/>
                    </w:rPr>
                    <w:t>10</w:t>
                  </w:r>
                </w:p>
              </w:tc>
              <w:tc>
                <w:tcPr>
                  <w:tcW w:w="1997" w:type="pct"/>
                  <w:vAlign w:val="center"/>
                </w:tcPr>
                <w:p w14:paraId="1FA11EF9">
                  <w:pPr>
                    <w:adjustRightInd w:val="0"/>
                    <w:snapToGrid w:val="0"/>
                    <w:spacing w:line="240" w:lineRule="auto"/>
                    <w:ind w:firstLine="0" w:firstLineChars="0"/>
                    <w:jc w:val="center"/>
                    <w:rPr>
                      <w:sz w:val="21"/>
                      <w:szCs w:val="21"/>
                    </w:rPr>
                  </w:pPr>
                  <w:r>
                    <w:rPr>
                      <w:rFonts w:hint="eastAsia"/>
                      <w:sz w:val="21"/>
                      <w:szCs w:val="21"/>
                    </w:rPr>
                    <w:t>氯甲烷</w:t>
                  </w:r>
                </w:p>
              </w:tc>
              <w:tc>
                <w:tcPr>
                  <w:tcW w:w="965" w:type="pct"/>
                  <w:vAlign w:val="center"/>
                </w:tcPr>
                <w:p w14:paraId="24F152A3">
                  <w:pPr>
                    <w:adjustRightInd w:val="0"/>
                    <w:snapToGrid w:val="0"/>
                    <w:spacing w:line="240" w:lineRule="auto"/>
                    <w:ind w:firstLine="0" w:firstLineChars="0"/>
                    <w:jc w:val="center"/>
                    <w:rPr>
                      <w:sz w:val="21"/>
                      <w:szCs w:val="21"/>
                    </w:rPr>
                  </w:pPr>
                  <w:r>
                    <w:rPr>
                      <w:sz w:val="21"/>
                      <w:szCs w:val="21"/>
                    </w:rPr>
                    <w:t>37</w:t>
                  </w:r>
                </w:p>
              </w:tc>
              <w:tc>
                <w:tcPr>
                  <w:tcW w:w="1119" w:type="pct"/>
                  <w:vAlign w:val="center"/>
                </w:tcPr>
                <w:p w14:paraId="02BB3416">
                  <w:pPr>
                    <w:adjustRightInd w:val="0"/>
                    <w:snapToGrid w:val="0"/>
                    <w:spacing w:line="240" w:lineRule="auto"/>
                    <w:ind w:firstLine="0" w:firstLineChars="0"/>
                    <w:jc w:val="center"/>
                    <w:rPr>
                      <w:sz w:val="21"/>
                      <w:szCs w:val="21"/>
                    </w:rPr>
                  </w:pPr>
                  <w:r>
                    <w:rPr>
                      <w:sz w:val="21"/>
                      <w:szCs w:val="21"/>
                    </w:rPr>
                    <w:t>120</w:t>
                  </w:r>
                </w:p>
              </w:tc>
            </w:tr>
            <w:tr w14:paraId="67CEE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0697657">
                  <w:pPr>
                    <w:adjustRightInd w:val="0"/>
                    <w:snapToGrid w:val="0"/>
                    <w:spacing w:line="240" w:lineRule="auto"/>
                    <w:ind w:firstLine="0" w:firstLineChars="0"/>
                    <w:jc w:val="center"/>
                    <w:rPr>
                      <w:sz w:val="21"/>
                      <w:szCs w:val="21"/>
                    </w:rPr>
                  </w:pPr>
                  <w:r>
                    <w:rPr>
                      <w:sz w:val="21"/>
                      <w:szCs w:val="21"/>
                    </w:rPr>
                    <w:t>11</w:t>
                  </w:r>
                </w:p>
              </w:tc>
              <w:tc>
                <w:tcPr>
                  <w:tcW w:w="1997" w:type="pct"/>
                  <w:vAlign w:val="center"/>
                </w:tcPr>
                <w:p w14:paraId="2C9BB1BF">
                  <w:pPr>
                    <w:adjustRightInd w:val="0"/>
                    <w:snapToGrid w:val="0"/>
                    <w:spacing w:line="240" w:lineRule="auto"/>
                    <w:ind w:firstLine="0" w:firstLineChars="0"/>
                    <w:jc w:val="center"/>
                    <w:rPr>
                      <w:sz w:val="21"/>
                      <w:szCs w:val="21"/>
                    </w:rPr>
                  </w:pPr>
                  <w:r>
                    <w:rPr>
                      <w:sz w:val="21"/>
                      <w:szCs w:val="21"/>
                    </w:rPr>
                    <w:t>1,1-</w:t>
                  </w:r>
                  <w:r>
                    <w:rPr>
                      <w:rFonts w:hint="eastAsia"/>
                      <w:sz w:val="21"/>
                      <w:szCs w:val="21"/>
                    </w:rPr>
                    <w:t>二氯乙烷</w:t>
                  </w:r>
                </w:p>
              </w:tc>
              <w:tc>
                <w:tcPr>
                  <w:tcW w:w="965" w:type="pct"/>
                  <w:vAlign w:val="center"/>
                </w:tcPr>
                <w:p w14:paraId="090C26F0">
                  <w:pPr>
                    <w:adjustRightInd w:val="0"/>
                    <w:snapToGrid w:val="0"/>
                    <w:spacing w:line="240" w:lineRule="auto"/>
                    <w:ind w:firstLine="0" w:firstLineChars="0"/>
                    <w:jc w:val="center"/>
                    <w:rPr>
                      <w:sz w:val="21"/>
                      <w:szCs w:val="21"/>
                    </w:rPr>
                  </w:pPr>
                  <w:r>
                    <w:rPr>
                      <w:sz w:val="21"/>
                      <w:szCs w:val="21"/>
                    </w:rPr>
                    <w:t>9</w:t>
                  </w:r>
                </w:p>
              </w:tc>
              <w:tc>
                <w:tcPr>
                  <w:tcW w:w="1119" w:type="pct"/>
                  <w:vAlign w:val="center"/>
                </w:tcPr>
                <w:p w14:paraId="3D2B7518">
                  <w:pPr>
                    <w:adjustRightInd w:val="0"/>
                    <w:snapToGrid w:val="0"/>
                    <w:spacing w:line="240" w:lineRule="auto"/>
                    <w:ind w:firstLine="0" w:firstLineChars="0"/>
                    <w:jc w:val="center"/>
                    <w:rPr>
                      <w:sz w:val="21"/>
                      <w:szCs w:val="21"/>
                    </w:rPr>
                  </w:pPr>
                  <w:r>
                    <w:rPr>
                      <w:sz w:val="21"/>
                      <w:szCs w:val="21"/>
                    </w:rPr>
                    <w:t>100</w:t>
                  </w:r>
                </w:p>
              </w:tc>
            </w:tr>
            <w:tr w14:paraId="51CEB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FDCE911">
                  <w:pPr>
                    <w:adjustRightInd w:val="0"/>
                    <w:snapToGrid w:val="0"/>
                    <w:spacing w:line="240" w:lineRule="auto"/>
                    <w:ind w:firstLine="0" w:firstLineChars="0"/>
                    <w:jc w:val="center"/>
                    <w:rPr>
                      <w:sz w:val="21"/>
                      <w:szCs w:val="21"/>
                    </w:rPr>
                  </w:pPr>
                  <w:r>
                    <w:rPr>
                      <w:sz w:val="21"/>
                      <w:szCs w:val="21"/>
                    </w:rPr>
                    <w:t>12</w:t>
                  </w:r>
                </w:p>
              </w:tc>
              <w:tc>
                <w:tcPr>
                  <w:tcW w:w="1997" w:type="pct"/>
                  <w:vAlign w:val="center"/>
                </w:tcPr>
                <w:p w14:paraId="6706A35C">
                  <w:pPr>
                    <w:adjustRightInd w:val="0"/>
                    <w:snapToGrid w:val="0"/>
                    <w:spacing w:line="240" w:lineRule="auto"/>
                    <w:ind w:firstLine="0" w:firstLineChars="0"/>
                    <w:jc w:val="center"/>
                    <w:rPr>
                      <w:sz w:val="21"/>
                      <w:szCs w:val="21"/>
                    </w:rPr>
                  </w:pPr>
                  <w:r>
                    <w:rPr>
                      <w:sz w:val="21"/>
                      <w:szCs w:val="21"/>
                    </w:rPr>
                    <w:t>1,2-</w:t>
                  </w:r>
                  <w:r>
                    <w:rPr>
                      <w:rFonts w:hint="eastAsia"/>
                      <w:sz w:val="21"/>
                      <w:szCs w:val="21"/>
                    </w:rPr>
                    <w:t>二氯乙烷</w:t>
                  </w:r>
                </w:p>
              </w:tc>
              <w:tc>
                <w:tcPr>
                  <w:tcW w:w="965" w:type="pct"/>
                  <w:vAlign w:val="center"/>
                </w:tcPr>
                <w:p w14:paraId="34B40FA4">
                  <w:pPr>
                    <w:adjustRightInd w:val="0"/>
                    <w:snapToGrid w:val="0"/>
                    <w:spacing w:line="240" w:lineRule="auto"/>
                    <w:ind w:firstLine="0" w:firstLineChars="0"/>
                    <w:jc w:val="center"/>
                    <w:rPr>
                      <w:sz w:val="21"/>
                      <w:szCs w:val="21"/>
                    </w:rPr>
                  </w:pPr>
                  <w:r>
                    <w:rPr>
                      <w:sz w:val="21"/>
                      <w:szCs w:val="21"/>
                    </w:rPr>
                    <w:t>5</w:t>
                  </w:r>
                </w:p>
              </w:tc>
              <w:tc>
                <w:tcPr>
                  <w:tcW w:w="1119" w:type="pct"/>
                  <w:vAlign w:val="center"/>
                </w:tcPr>
                <w:p w14:paraId="47E0C68C">
                  <w:pPr>
                    <w:adjustRightInd w:val="0"/>
                    <w:snapToGrid w:val="0"/>
                    <w:spacing w:line="240" w:lineRule="auto"/>
                    <w:ind w:firstLine="0" w:firstLineChars="0"/>
                    <w:jc w:val="center"/>
                    <w:rPr>
                      <w:sz w:val="21"/>
                      <w:szCs w:val="21"/>
                    </w:rPr>
                  </w:pPr>
                  <w:r>
                    <w:rPr>
                      <w:sz w:val="21"/>
                      <w:szCs w:val="21"/>
                    </w:rPr>
                    <w:t>21</w:t>
                  </w:r>
                </w:p>
              </w:tc>
            </w:tr>
            <w:tr w14:paraId="6E35C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8AFDA2A">
                  <w:pPr>
                    <w:adjustRightInd w:val="0"/>
                    <w:snapToGrid w:val="0"/>
                    <w:spacing w:line="240" w:lineRule="auto"/>
                    <w:ind w:firstLine="0" w:firstLineChars="0"/>
                    <w:jc w:val="center"/>
                    <w:rPr>
                      <w:sz w:val="21"/>
                      <w:szCs w:val="21"/>
                    </w:rPr>
                  </w:pPr>
                  <w:r>
                    <w:rPr>
                      <w:sz w:val="21"/>
                      <w:szCs w:val="21"/>
                    </w:rPr>
                    <w:t>13</w:t>
                  </w:r>
                </w:p>
              </w:tc>
              <w:tc>
                <w:tcPr>
                  <w:tcW w:w="1997" w:type="pct"/>
                  <w:vAlign w:val="center"/>
                </w:tcPr>
                <w:p w14:paraId="4718F6C5">
                  <w:pPr>
                    <w:adjustRightInd w:val="0"/>
                    <w:snapToGrid w:val="0"/>
                    <w:spacing w:line="240" w:lineRule="auto"/>
                    <w:ind w:firstLine="0" w:firstLineChars="0"/>
                    <w:jc w:val="center"/>
                    <w:rPr>
                      <w:sz w:val="21"/>
                      <w:szCs w:val="21"/>
                    </w:rPr>
                  </w:pPr>
                  <w:r>
                    <w:rPr>
                      <w:sz w:val="21"/>
                      <w:szCs w:val="21"/>
                    </w:rPr>
                    <w:t>1,1-</w:t>
                  </w:r>
                  <w:r>
                    <w:rPr>
                      <w:rFonts w:hint="eastAsia"/>
                      <w:sz w:val="21"/>
                      <w:szCs w:val="21"/>
                    </w:rPr>
                    <w:t>二氯乙烯</w:t>
                  </w:r>
                </w:p>
              </w:tc>
              <w:tc>
                <w:tcPr>
                  <w:tcW w:w="965" w:type="pct"/>
                  <w:vAlign w:val="center"/>
                </w:tcPr>
                <w:p w14:paraId="39002D4C">
                  <w:pPr>
                    <w:adjustRightInd w:val="0"/>
                    <w:snapToGrid w:val="0"/>
                    <w:spacing w:line="240" w:lineRule="auto"/>
                    <w:ind w:firstLine="0" w:firstLineChars="0"/>
                    <w:jc w:val="center"/>
                    <w:rPr>
                      <w:sz w:val="21"/>
                      <w:szCs w:val="21"/>
                    </w:rPr>
                  </w:pPr>
                  <w:r>
                    <w:rPr>
                      <w:sz w:val="21"/>
                      <w:szCs w:val="21"/>
                    </w:rPr>
                    <w:t>66</w:t>
                  </w:r>
                </w:p>
              </w:tc>
              <w:tc>
                <w:tcPr>
                  <w:tcW w:w="1119" w:type="pct"/>
                  <w:vAlign w:val="center"/>
                </w:tcPr>
                <w:p w14:paraId="4FC8B8DA">
                  <w:pPr>
                    <w:adjustRightInd w:val="0"/>
                    <w:snapToGrid w:val="0"/>
                    <w:spacing w:line="240" w:lineRule="auto"/>
                    <w:ind w:firstLine="0" w:firstLineChars="0"/>
                    <w:jc w:val="center"/>
                    <w:rPr>
                      <w:sz w:val="21"/>
                      <w:szCs w:val="21"/>
                    </w:rPr>
                  </w:pPr>
                  <w:r>
                    <w:rPr>
                      <w:sz w:val="21"/>
                      <w:szCs w:val="21"/>
                    </w:rPr>
                    <w:t>200</w:t>
                  </w:r>
                </w:p>
              </w:tc>
            </w:tr>
            <w:tr w14:paraId="32F6E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8E192BD">
                  <w:pPr>
                    <w:adjustRightInd w:val="0"/>
                    <w:snapToGrid w:val="0"/>
                    <w:spacing w:line="240" w:lineRule="auto"/>
                    <w:ind w:firstLine="0" w:firstLineChars="0"/>
                    <w:jc w:val="center"/>
                    <w:rPr>
                      <w:sz w:val="21"/>
                      <w:szCs w:val="21"/>
                    </w:rPr>
                  </w:pPr>
                  <w:r>
                    <w:rPr>
                      <w:sz w:val="21"/>
                      <w:szCs w:val="21"/>
                    </w:rPr>
                    <w:t>14</w:t>
                  </w:r>
                </w:p>
              </w:tc>
              <w:tc>
                <w:tcPr>
                  <w:tcW w:w="1997" w:type="pct"/>
                  <w:vAlign w:val="center"/>
                </w:tcPr>
                <w:p w14:paraId="71A97902">
                  <w:pPr>
                    <w:adjustRightInd w:val="0"/>
                    <w:snapToGrid w:val="0"/>
                    <w:spacing w:line="240" w:lineRule="auto"/>
                    <w:ind w:firstLine="0" w:firstLineChars="0"/>
                    <w:jc w:val="center"/>
                    <w:rPr>
                      <w:sz w:val="21"/>
                      <w:szCs w:val="21"/>
                    </w:rPr>
                  </w:pPr>
                  <w:r>
                    <w:rPr>
                      <w:rFonts w:hint="eastAsia"/>
                      <w:sz w:val="21"/>
                      <w:szCs w:val="21"/>
                    </w:rPr>
                    <w:t>顺</w:t>
                  </w:r>
                  <w:r>
                    <w:rPr>
                      <w:sz w:val="21"/>
                      <w:szCs w:val="21"/>
                    </w:rPr>
                    <w:t>-1,2-</w:t>
                  </w:r>
                  <w:r>
                    <w:rPr>
                      <w:rFonts w:hint="eastAsia"/>
                      <w:sz w:val="21"/>
                      <w:szCs w:val="21"/>
                    </w:rPr>
                    <w:t>二氯乙烯</w:t>
                  </w:r>
                </w:p>
              </w:tc>
              <w:tc>
                <w:tcPr>
                  <w:tcW w:w="965" w:type="pct"/>
                  <w:vAlign w:val="center"/>
                </w:tcPr>
                <w:p w14:paraId="4FF1DF31">
                  <w:pPr>
                    <w:adjustRightInd w:val="0"/>
                    <w:snapToGrid w:val="0"/>
                    <w:spacing w:line="240" w:lineRule="auto"/>
                    <w:ind w:firstLine="0" w:firstLineChars="0"/>
                    <w:jc w:val="center"/>
                    <w:rPr>
                      <w:sz w:val="21"/>
                      <w:szCs w:val="21"/>
                    </w:rPr>
                  </w:pPr>
                  <w:r>
                    <w:rPr>
                      <w:sz w:val="21"/>
                      <w:szCs w:val="21"/>
                    </w:rPr>
                    <w:t>596</w:t>
                  </w:r>
                </w:p>
              </w:tc>
              <w:tc>
                <w:tcPr>
                  <w:tcW w:w="1119" w:type="pct"/>
                  <w:vAlign w:val="center"/>
                </w:tcPr>
                <w:p w14:paraId="64EF9BD5">
                  <w:pPr>
                    <w:adjustRightInd w:val="0"/>
                    <w:snapToGrid w:val="0"/>
                    <w:spacing w:line="240" w:lineRule="auto"/>
                    <w:ind w:firstLine="0" w:firstLineChars="0"/>
                    <w:jc w:val="center"/>
                    <w:rPr>
                      <w:sz w:val="21"/>
                      <w:szCs w:val="21"/>
                    </w:rPr>
                  </w:pPr>
                  <w:r>
                    <w:rPr>
                      <w:sz w:val="21"/>
                      <w:szCs w:val="21"/>
                    </w:rPr>
                    <w:t>2000</w:t>
                  </w:r>
                </w:p>
              </w:tc>
            </w:tr>
            <w:tr w14:paraId="11B06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497EC3A">
                  <w:pPr>
                    <w:adjustRightInd w:val="0"/>
                    <w:snapToGrid w:val="0"/>
                    <w:spacing w:line="240" w:lineRule="auto"/>
                    <w:ind w:firstLine="0" w:firstLineChars="0"/>
                    <w:jc w:val="center"/>
                    <w:rPr>
                      <w:sz w:val="21"/>
                      <w:szCs w:val="21"/>
                    </w:rPr>
                  </w:pPr>
                  <w:r>
                    <w:rPr>
                      <w:sz w:val="21"/>
                      <w:szCs w:val="21"/>
                    </w:rPr>
                    <w:t>15</w:t>
                  </w:r>
                </w:p>
              </w:tc>
              <w:tc>
                <w:tcPr>
                  <w:tcW w:w="1997" w:type="pct"/>
                  <w:vAlign w:val="center"/>
                </w:tcPr>
                <w:p w14:paraId="068A544A">
                  <w:pPr>
                    <w:adjustRightInd w:val="0"/>
                    <w:snapToGrid w:val="0"/>
                    <w:spacing w:line="240" w:lineRule="auto"/>
                    <w:ind w:firstLine="0" w:firstLineChars="0"/>
                    <w:jc w:val="center"/>
                    <w:rPr>
                      <w:sz w:val="21"/>
                      <w:szCs w:val="21"/>
                    </w:rPr>
                  </w:pPr>
                  <w:r>
                    <w:rPr>
                      <w:rFonts w:hint="eastAsia"/>
                      <w:sz w:val="21"/>
                      <w:szCs w:val="21"/>
                    </w:rPr>
                    <w:t>反</w:t>
                  </w:r>
                  <w:r>
                    <w:rPr>
                      <w:sz w:val="21"/>
                      <w:szCs w:val="21"/>
                    </w:rPr>
                    <w:t>-1,2-</w:t>
                  </w:r>
                  <w:r>
                    <w:rPr>
                      <w:rFonts w:hint="eastAsia"/>
                      <w:sz w:val="21"/>
                      <w:szCs w:val="21"/>
                    </w:rPr>
                    <w:t>二氯乙烯</w:t>
                  </w:r>
                </w:p>
              </w:tc>
              <w:tc>
                <w:tcPr>
                  <w:tcW w:w="965" w:type="pct"/>
                  <w:vAlign w:val="center"/>
                </w:tcPr>
                <w:p w14:paraId="472B1A75">
                  <w:pPr>
                    <w:adjustRightInd w:val="0"/>
                    <w:snapToGrid w:val="0"/>
                    <w:spacing w:line="240" w:lineRule="auto"/>
                    <w:ind w:firstLine="0" w:firstLineChars="0"/>
                    <w:jc w:val="center"/>
                    <w:rPr>
                      <w:sz w:val="21"/>
                      <w:szCs w:val="21"/>
                    </w:rPr>
                  </w:pPr>
                  <w:r>
                    <w:rPr>
                      <w:sz w:val="21"/>
                      <w:szCs w:val="21"/>
                    </w:rPr>
                    <w:t>54</w:t>
                  </w:r>
                </w:p>
              </w:tc>
              <w:tc>
                <w:tcPr>
                  <w:tcW w:w="1119" w:type="pct"/>
                  <w:vAlign w:val="center"/>
                </w:tcPr>
                <w:p w14:paraId="6BC945A1">
                  <w:pPr>
                    <w:adjustRightInd w:val="0"/>
                    <w:snapToGrid w:val="0"/>
                    <w:spacing w:line="240" w:lineRule="auto"/>
                    <w:ind w:firstLine="0" w:firstLineChars="0"/>
                    <w:jc w:val="center"/>
                    <w:rPr>
                      <w:sz w:val="21"/>
                      <w:szCs w:val="21"/>
                    </w:rPr>
                  </w:pPr>
                  <w:r>
                    <w:rPr>
                      <w:sz w:val="21"/>
                      <w:szCs w:val="21"/>
                    </w:rPr>
                    <w:t>163</w:t>
                  </w:r>
                </w:p>
              </w:tc>
            </w:tr>
            <w:tr w14:paraId="61E73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D7FE0DA">
                  <w:pPr>
                    <w:adjustRightInd w:val="0"/>
                    <w:snapToGrid w:val="0"/>
                    <w:spacing w:line="240" w:lineRule="auto"/>
                    <w:ind w:firstLine="0" w:firstLineChars="0"/>
                    <w:jc w:val="center"/>
                    <w:rPr>
                      <w:sz w:val="21"/>
                      <w:szCs w:val="21"/>
                    </w:rPr>
                  </w:pPr>
                  <w:r>
                    <w:rPr>
                      <w:sz w:val="21"/>
                      <w:szCs w:val="21"/>
                    </w:rPr>
                    <w:t>16</w:t>
                  </w:r>
                </w:p>
              </w:tc>
              <w:tc>
                <w:tcPr>
                  <w:tcW w:w="1997" w:type="pct"/>
                  <w:vAlign w:val="center"/>
                </w:tcPr>
                <w:p w14:paraId="459C2ED9">
                  <w:pPr>
                    <w:adjustRightInd w:val="0"/>
                    <w:snapToGrid w:val="0"/>
                    <w:spacing w:line="240" w:lineRule="auto"/>
                    <w:ind w:firstLine="0" w:firstLineChars="0"/>
                    <w:jc w:val="center"/>
                    <w:rPr>
                      <w:sz w:val="21"/>
                      <w:szCs w:val="21"/>
                    </w:rPr>
                  </w:pPr>
                  <w:r>
                    <w:rPr>
                      <w:rFonts w:hint="eastAsia"/>
                      <w:sz w:val="21"/>
                      <w:szCs w:val="21"/>
                    </w:rPr>
                    <w:t>二氯甲烷</w:t>
                  </w:r>
                </w:p>
              </w:tc>
              <w:tc>
                <w:tcPr>
                  <w:tcW w:w="965" w:type="pct"/>
                  <w:vAlign w:val="center"/>
                </w:tcPr>
                <w:p w14:paraId="29F8480F">
                  <w:pPr>
                    <w:adjustRightInd w:val="0"/>
                    <w:snapToGrid w:val="0"/>
                    <w:spacing w:line="240" w:lineRule="auto"/>
                    <w:ind w:firstLine="0" w:firstLineChars="0"/>
                    <w:jc w:val="center"/>
                    <w:rPr>
                      <w:sz w:val="21"/>
                      <w:szCs w:val="21"/>
                    </w:rPr>
                  </w:pPr>
                  <w:r>
                    <w:rPr>
                      <w:sz w:val="21"/>
                      <w:szCs w:val="21"/>
                    </w:rPr>
                    <w:t>616</w:t>
                  </w:r>
                </w:p>
              </w:tc>
              <w:tc>
                <w:tcPr>
                  <w:tcW w:w="1119" w:type="pct"/>
                  <w:vAlign w:val="center"/>
                </w:tcPr>
                <w:p w14:paraId="4B884F8E">
                  <w:pPr>
                    <w:adjustRightInd w:val="0"/>
                    <w:snapToGrid w:val="0"/>
                    <w:spacing w:line="240" w:lineRule="auto"/>
                    <w:ind w:firstLine="0" w:firstLineChars="0"/>
                    <w:jc w:val="center"/>
                    <w:rPr>
                      <w:sz w:val="21"/>
                      <w:szCs w:val="21"/>
                    </w:rPr>
                  </w:pPr>
                  <w:r>
                    <w:rPr>
                      <w:sz w:val="21"/>
                      <w:szCs w:val="21"/>
                    </w:rPr>
                    <w:t>2000</w:t>
                  </w:r>
                </w:p>
              </w:tc>
            </w:tr>
            <w:tr w14:paraId="0A419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0A108F1C">
                  <w:pPr>
                    <w:adjustRightInd w:val="0"/>
                    <w:snapToGrid w:val="0"/>
                    <w:spacing w:line="240" w:lineRule="auto"/>
                    <w:ind w:firstLine="0" w:firstLineChars="0"/>
                    <w:jc w:val="center"/>
                    <w:rPr>
                      <w:sz w:val="21"/>
                      <w:szCs w:val="21"/>
                    </w:rPr>
                  </w:pPr>
                  <w:r>
                    <w:rPr>
                      <w:sz w:val="21"/>
                      <w:szCs w:val="21"/>
                    </w:rPr>
                    <w:t>17</w:t>
                  </w:r>
                </w:p>
              </w:tc>
              <w:tc>
                <w:tcPr>
                  <w:tcW w:w="1997" w:type="pct"/>
                  <w:vAlign w:val="center"/>
                </w:tcPr>
                <w:p w14:paraId="67FE7D75">
                  <w:pPr>
                    <w:adjustRightInd w:val="0"/>
                    <w:snapToGrid w:val="0"/>
                    <w:spacing w:line="240" w:lineRule="auto"/>
                    <w:ind w:firstLine="0" w:firstLineChars="0"/>
                    <w:jc w:val="center"/>
                    <w:rPr>
                      <w:sz w:val="21"/>
                      <w:szCs w:val="21"/>
                    </w:rPr>
                  </w:pPr>
                  <w:r>
                    <w:rPr>
                      <w:sz w:val="21"/>
                      <w:szCs w:val="21"/>
                    </w:rPr>
                    <w:t>1,2-</w:t>
                  </w:r>
                  <w:r>
                    <w:rPr>
                      <w:rFonts w:hint="eastAsia"/>
                      <w:sz w:val="21"/>
                      <w:szCs w:val="21"/>
                    </w:rPr>
                    <w:t>二氯丙烷</w:t>
                  </w:r>
                </w:p>
              </w:tc>
              <w:tc>
                <w:tcPr>
                  <w:tcW w:w="965" w:type="pct"/>
                  <w:vAlign w:val="center"/>
                </w:tcPr>
                <w:p w14:paraId="0721BDE4">
                  <w:pPr>
                    <w:adjustRightInd w:val="0"/>
                    <w:snapToGrid w:val="0"/>
                    <w:spacing w:line="240" w:lineRule="auto"/>
                    <w:ind w:firstLine="0" w:firstLineChars="0"/>
                    <w:jc w:val="center"/>
                    <w:rPr>
                      <w:sz w:val="21"/>
                      <w:szCs w:val="21"/>
                    </w:rPr>
                  </w:pPr>
                  <w:r>
                    <w:rPr>
                      <w:sz w:val="21"/>
                      <w:szCs w:val="21"/>
                    </w:rPr>
                    <w:t>5</w:t>
                  </w:r>
                </w:p>
              </w:tc>
              <w:tc>
                <w:tcPr>
                  <w:tcW w:w="1119" w:type="pct"/>
                  <w:vAlign w:val="center"/>
                </w:tcPr>
                <w:p w14:paraId="6CBA8273">
                  <w:pPr>
                    <w:adjustRightInd w:val="0"/>
                    <w:snapToGrid w:val="0"/>
                    <w:spacing w:line="240" w:lineRule="auto"/>
                    <w:ind w:firstLine="0" w:firstLineChars="0"/>
                    <w:jc w:val="center"/>
                    <w:rPr>
                      <w:sz w:val="21"/>
                      <w:szCs w:val="21"/>
                    </w:rPr>
                  </w:pPr>
                  <w:r>
                    <w:rPr>
                      <w:sz w:val="21"/>
                      <w:szCs w:val="21"/>
                    </w:rPr>
                    <w:t>47</w:t>
                  </w:r>
                </w:p>
              </w:tc>
            </w:tr>
            <w:tr w14:paraId="5E5DC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B120BCA">
                  <w:pPr>
                    <w:adjustRightInd w:val="0"/>
                    <w:snapToGrid w:val="0"/>
                    <w:spacing w:line="240" w:lineRule="auto"/>
                    <w:ind w:firstLine="0" w:firstLineChars="0"/>
                    <w:jc w:val="center"/>
                    <w:rPr>
                      <w:sz w:val="21"/>
                      <w:szCs w:val="21"/>
                    </w:rPr>
                  </w:pPr>
                  <w:r>
                    <w:rPr>
                      <w:sz w:val="21"/>
                      <w:szCs w:val="21"/>
                    </w:rPr>
                    <w:t>18</w:t>
                  </w:r>
                </w:p>
              </w:tc>
              <w:tc>
                <w:tcPr>
                  <w:tcW w:w="1997" w:type="pct"/>
                  <w:vAlign w:val="center"/>
                </w:tcPr>
                <w:p w14:paraId="18F8BA71">
                  <w:pPr>
                    <w:adjustRightInd w:val="0"/>
                    <w:snapToGrid w:val="0"/>
                    <w:spacing w:line="240" w:lineRule="auto"/>
                    <w:ind w:firstLine="0" w:firstLineChars="0"/>
                    <w:jc w:val="center"/>
                    <w:rPr>
                      <w:sz w:val="21"/>
                      <w:szCs w:val="21"/>
                    </w:rPr>
                  </w:pPr>
                  <w:r>
                    <w:rPr>
                      <w:sz w:val="21"/>
                      <w:szCs w:val="21"/>
                    </w:rPr>
                    <w:t>1,1,1,2-</w:t>
                  </w:r>
                  <w:r>
                    <w:rPr>
                      <w:rFonts w:hint="eastAsia"/>
                      <w:sz w:val="21"/>
                      <w:szCs w:val="21"/>
                    </w:rPr>
                    <w:t>四氯乙烷</w:t>
                  </w:r>
                </w:p>
              </w:tc>
              <w:tc>
                <w:tcPr>
                  <w:tcW w:w="965" w:type="pct"/>
                  <w:vAlign w:val="center"/>
                </w:tcPr>
                <w:p w14:paraId="6105DD18">
                  <w:pPr>
                    <w:adjustRightInd w:val="0"/>
                    <w:snapToGrid w:val="0"/>
                    <w:spacing w:line="240" w:lineRule="auto"/>
                    <w:ind w:firstLine="0" w:firstLineChars="0"/>
                    <w:jc w:val="center"/>
                    <w:rPr>
                      <w:sz w:val="21"/>
                      <w:szCs w:val="21"/>
                    </w:rPr>
                  </w:pPr>
                  <w:r>
                    <w:rPr>
                      <w:sz w:val="21"/>
                      <w:szCs w:val="21"/>
                    </w:rPr>
                    <w:t>10</w:t>
                  </w:r>
                </w:p>
              </w:tc>
              <w:tc>
                <w:tcPr>
                  <w:tcW w:w="1119" w:type="pct"/>
                  <w:vAlign w:val="center"/>
                </w:tcPr>
                <w:p w14:paraId="739FDB2D">
                  <w:pPr>
                    <w:adjustRightInd w:val="0"/>
                    <w:snapToGrid w:val="0"/>
                    <w:spacing w:line="240" w:lineRule="auto"/>
                    <w:ind w:firstLine="0" w:firstLineChars="0"/>
                    <w:jc w:val="center"/>
                    <w:rPr>
                      <w:sz w:val="21"/>
                      <w:szCs w:val="21"/>
                    </w:rPr>
                  </w:pPr>
                  <w:r>
                    <w:rPr>
                      <w:sz w:val="21"/>
                      <w:szCs w:val="21"/>
                    </w:rPr>
                    <w:t>100</w:t>
                  </w:r>
                </w:p>
              </w:tc>
            </w:tr>
            <w:tr w14:paraId="3583F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E52D3E7">
                  <w:pPr>
                    <w:adjustRightInd w:val="0"/>
                    <w:snapToGrid w:val="0"/>
                    <w:spacing w:line="240" w:lineRule="auto"/>
                    <w:ind w:firstLine="0" w:firstLineChars="0"/>
                    <w:jc w:val="center"/>
                    <w:rPr>
                      <w:sz w:val="21"/>
                      <w:szCs w:val="21"/>
                    </w:rPr>
                  </w:pPr>
                  <w:r>
                    <w:rPr>
                      <w:sz w:val="21"/>
                      <w:szCs w:val="21"/>
                    </w:rPr>
                    <w:t>19</w:t>
                  </w:r>
                </w:p>
              </w:tc>
              <w:tc>
                <w:tcPr>
                  <w:tcW w:w="1997" w:type="pct"/>
                  <w:vAlign w:val="center"/>
                </w:tcPr>
                <w:p w14:paraId="54D51D6C">
                  <w:pPr>
                    <w:adjustRightInd w:val="0"/>
                    <w:snapToGrid w:val="0"/>
                    <w:spacing w:line="240" w:lineRule="auto"/>
                    <w:ind w:firstLine="0" w:firstLineChars="0"/>
                    <w:jc w:val="center"/>
                    <w:rPr>
                      <w:sz w:val="21"/>
                      <w:szCs w:val="21"/>
                    </w:rPr>
                  </w:pPr>
                  <w:r>
                    <w:rPr>
                      <w:sz w:val="21"/>
                      <w:szCs w:val="21"/>
                    </w:rPr>
                    <w:t>1,1,2,2-</w:t>
                  </w:r>
                  <w:r>
                    <w:rPr>
                      <w:rFonts w:hint="eastAsia"/>
                      <w:sz w:val="21"/>
                      <w:szCs w:val="21"/>
                    </w:rPr>
                    <w:t>四氯乙烷</w:t>
                  </w:r>
                </w:p>
              </w:tc>
              <w:tc>
                <w:tcPr>
                  <w:tcW w:w="965" w:type="pct"/>
                  <w:vAlign w:val="center"/>
                </w:tcPr>
                <w:p w14:paraId="4681651E">
                  <w:pPr>
                    <w:adjustRightInd w:val="0"/>
                    <w:snapToGrid w:val="0"/>
                    <w:spacing w:line="240" w:lineRule="auto"/>
                    <w:ind w:firstLine="0" w:firstLineChars="0"/>
                    <w:jc w:val="center"/>
                    <w:rPr>
                      <w:sz w:val="21"/>
                      <w:szCs w:val="21"/>
                    </w:rPr>
                  </w:pPr>
                  <w:r>
                    <w:rPr>
                      <w:sz w:val="21"/>
                      <w:szCs w:val="21"/>
                    </w:rPr>
                    <w:t>6.8</w:t>
                  </w:r>
                </w:p>
              </w:tc>
              <w:tc>
                <w:tcPr>
                  <w:tcW w:w="1119" w:type="pct"/>
                  <w:vAlign w:val="center"/>
                </w:tcPr>
                <w:p w14:paraId="23B9C033">
                  <w:pPr>
                    <w:adjustRightInd w:val="0"/>
                    <w:snapToGrid w:val="0"/>
                    <w:spacing w:line="240" w:lineRule="auto"/>
                    <w:ind w:firstLine="0" w:firstLineChars="0"/>
                    <w:jc w:val="center"/>
                    <w:rPr>
                      <w:sz w:val="21"/>
                      <w:szCs w:val="21"/>
                    </w:rPr>
                  </w:pPr>
                  <w:r>
                    <w:rPr>
                      <w:sz w:val="21"/>
                      <w:szCs w:val="21"/>
                    </w:rPr>
                    <w:t>50</w:t>
                  </w:r>
                </w:p>
              </w:tc>
            </w:tr>
            <w:tr w14:paraId="32B42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1AC4D952">
                  <w:pPr>
                    <w:adjustRightInd w:val="0"/>
                    <w:snapToGrid w:val="0"/>
                    <w:spacing w:line="240" w:lineRule="auto"/>
                    <w:ind w:firstLine="0" w:firstLineChars="0"/>
                    <w:jc w:val="center"/>
                    <w:rPr>
                      <w:sz w:val="21"/>
                      <w:szCs w:val="21"/>
                    </w:rPr>
                  </w:pPr>
                  <w:r>
                    <w:rPr>
                      <w:sz w:val="21"/>
                      <w:szCs w:val="21"/>
                    </w:rPr>
                    <w:t>20</w:t>
                  </w:r>
                </w:p>
              </w:tc>
              <w:tc>
                <w:tcPr>
                  <w:tcW w:w="1997" w:type="pct"/>
                  <w:vAlign w:val="center"/>
                </w:tcPr>
                <w:p w14:paraId="2EDED15B">
                  <w:pPr>
                    <w:adjustRightInd w:val="0"/>
                    <w:snapToGrid w:val="0"/>
                    <w:spacing w:line="240" w:lineRule="auto"/>
                    <w:ind w:firstLine="0" w:firstLineChars="0"/>
                    <w:jc w:val="center"/>
                    <w:rPr>
                      <w:sz w:val="21"/>
                      <w:szCs w:val="21"/>
                    </w:rPr>
                  </w:pPr>
                  <w:r>
                    <w:rPr>
                      <w:rFonts w:hint="eastAsia"/>
                      <w:sz w:val="21"/>
                      <w:szCs w:val="21"/>
                    </w:rPr>
                    <w:t>四氯乙烯</w:t>
                  </w:r>
                </w:p>
              </w:tc>
              <w:tc>
                <w:tcPr>
                  <w:tcW w:w="965" w:type="pct"/>
                  <w:vAlign w:val="center"/>
                </w:tcPr>
                <w:p w14:paraId="763064E0">
                  <w:pPr>
                    <w:adjustRightInd w:val="0"/>
                    <w:snapToGrid w:val="0"/>
                    <w:spacing w:line="240" w:lineRule="auto"/>
                    <w:ind w:firstLine="0" w:firstLineChars="0"/>
                    <w:jc w:val="center"/>
                    <w:rPr>
                      <w:sz w:val="21"/>
                      <w:szCs w:val="21"/>
                    </w:rPr>
                  </w:pPr>
                  <w:r>
                    <w:rPr>
                      <w:sz w:val="21"/>
                      <w:szCs w:val="21"/>
                    </w:rPr>
                    <w:t>53</w:t>
                  </w:r>
                </w:p>
              </w:tc>
              <w:tc>
                <w:tcPr>
                  <w:tcW w:w="1119" w:type="pct"/>
                  <w:vAlign w:val="center"/>
                </w:tcPr>
                <w:p w14:paraId="5B0F6890">
                  <w:pPr>
                    <w:adjustRightInd w:val="0"/>
                    <w:snapToGrid w:val="0"/>
                    <w:spacing w:line="240" w:lineRule="auto"/>
                    <w:ind w:firstLine="0" w:firstLineChars="0"/>
                    <w:jc w:val="center"/>
                    <w:rPr>
                      <w:sz w:val="21"/>
                      <w:szCs w:val="21"/>
                    </w:rPr>
                  </w:pPr>
                  <w:r>
                    <w:rPr>
                      <w:sz w:val="21"/>
                      <w:szCs w:val="21"/>
                    </w:rPr>
                    <w:t>183</w:t>
                  </w:r>
                </w:p>
              </w:tc>
            </w:tr>
            <w:tr w14:paraId="0FBBB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C05A78C">
                  <w:pPr>
                    <w:adjustRightInd w:val="0"/>
                    <w:snapToGrid w:val="0"/>
                    <w:spacing w:line="240" w:lineRule="auto"/>
                    <w:ind w:firstLine="0" w:firstLineChars="0"/>
                    <w:jc w:val="center"/>
                    <w:rPr>
                      <w:sz w:val="21"/>
                      <w:szCs w:val="21"/>
                    </w:rPr>
                  </w:pPr>
                  <w:r>
                    <w:rPr>
                      <w:sz w:val="21"/>
                      <w:szCs w:val="21"/>
                    </w:rPr>
                    <w:t>21</w:t>
                  </w:r>
                </w:p>
              </w:tc>
              <w:tc>
                <w:tcPr>
                  <w:tcW w:w="1997" w:type="pct"/>
                  <w:vAlign w:val="center"/>
                </w:tcPr>
                <w:p w14:paraId="0C504FDC">
                  <w:pPr>
                    <w:adjustRightInd w:val="0"/>
                    <w:snapToGrid w:val="0"/>
                    <w:spacing w:line="240" w:lineRule="auto"/>
                    <w:ind w:firstLine="0" w:firstLineChars="0"/>
                    <w:jc w:val="center"/>
                    <w:rPr>
                      <w:sz w:val="21"/>
                      <w:szCs w:val="21"/>
                    </w:rPr>
                  </w:pPr>
                  <w:r>
                    <w:rPr>
                      <w:sz w:val="21"/>
                      <w:szCs w:val="21"/>
                    </w:rPr>
                    <w:t>1,1,1-</w:t>
                  </w:r>
                  <w:r>
                    <w:rPr>
                      <w:rFonts w:hint="eastAsia"/>
                      <w:sz w:val="21"/>
                      <w:szCs w:val="21"/>
                    </w:rPr>
                    <w:t>三氯乙烷</w:t>
                  </w:r>
                </w:p>
              </w:tc>
              <w:tc>
                <w:tcPr>
                  <w:tcW w:w="965" w:type="pct"/>
                  <w:vAlign w:val="center"/>
                </w:tcPr>
                <w:p w14:paraId="60DE79E8">
                  <w:pPr>
                    <w:adjustRightInd w:val="0"/>
                    <w:snapToGrid w:val="0"/>
                    <w:spacing w:line="240" w:lineRule="auto"/>
                    <w:ind w:firstLine="0" w:firstLineChars="0"/>
                    <w:jc w:val="center"/>
                    <w:rPr>
                      <w:sz w:val="21"/>
                      <w:szCs w:val="21"/>
                    </w:rPr>
                  </w:pPr>
                  <w:r>
                    <w:rPr>
                      <w:sz w:val="21"/>
                      <w:szCs w:val="21"/>
                    </w:rPr>
                    <w:t>840</w:t>
                  </w:r>
                </w:p>
              </w:tc>
              <w:tc>
                <w:tcPr>
                  <w:tcW w:w="1119" w:type="pct"/>
                  <w:vAlign w:val="center"/>
                </w:tcPr>
                <w:p w14:paraId="601EE9E1">
                  <w:pPr>
                    <w:adjustRightInd w:val="0"/>
                    <w:snapToGrid w:val="0"/>
                    <w:spacing w:line="240" w:lineRule="auto"/>
                    <w:ind w:firstLine="0" w:firstLineChars="0"/>
                    <w:jc w:val="center"/>
                    <w:rPr>
                      <w:sz w:val="21"/>
                      <w:szCs w:val="21"/>
                    </w:rPr>
                  </w:pPr>
                  <w:r>
                    <w:rPr>
                      <w:sz w:val="21"/>
                      <w:szCs w:val="21"/>
                    </w:rPr>
                    <w:t>840</w:t>
                  </w:r>
                </w:p>
              </w:tc>
            </w:tr>
            <w:tr w14:paraId="3FEFB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B31006D">
                  <w:pPr>
                    <w:adjustRightInd w:val="0"/>
                    <w:snapToGrid w:val="0"/>
                    <w:spacing w:line="240" w:lineRule="auto"/>
                    <w:ind w:firstLine="0" w:firstLineChars="0"/>
                    <w:jc w:val="center"/>
                    <w:rPr>
                      <w:sz w:val="21"/>
                      <w:szCs w:val="21"/>
                    </w:rPr>
                  </w:pPr>
                  <w:r>
                    <w:rPr>
                      <w:sz w:val="21"/>
                      <w:szCs w:val="21"/>
                    </w:rPr>
                    <w:t>22</w:t>
                  </w:r>
                </w:p>
              </w:tc>
              <w:tc>
                <w:tcPr>
                  <w:tcW w:w="1997" w:type="pct"/>
                  <w:vAlign w:val="center"/>
                </w:tcPr>
                <w:p w14:paraId="7917F0EA">
                  <w:pPr>
                    <w:adjustRightInd w:val="0"/>
                    <w:snapToGrid w:val="0"/>
                    <w:spacing w:line="240" w:lineRule="auto"/>
                    <w:ind w:firstLine="0" w:firstLineChars="0"/>
                    <w:jc w:val="center"/>
                    <w:rPr>
                      <w:sz w:val="21"/>
                      <w:szCs w:val="21"/>
                    </w:rPr>
                  </w:pPr>
                  <w:r>
                    <w:rPr>
                      <w:sz w:val="21"/>
                      <w:szCs w:val="21"/>
                    </w:rPr>
                    <w:t>1,1,2-</w:t>
                  </w:r>
                  <w:r>
                    <w:rPr>
                      <w:rFonts w:hint="eastAsia"/>
                      <w:sz w:val="21"/>
                      <w:szCs w:val="21"/>
                    </w:rPr>
                    <w:t>三氯乙烷</w:t>
                  </w:r>
                </w:p>
              </w:tc>
              <w:tc>
                <w:tcPr>
                  <w:tcW w:w="965" w:type="pct"/>
                  <w:vAlign w:val="center"/>
                </w:tcPr>
                <w:p w14:paraId="4E591775">
                  <w:pPr>
                    <w:adjustRightInd w:val="0"/>
                    <w:snapToGrid w:val="0"/>
                    <w:spacing w:line="240" w:lineRule="auto"/>
                    <w:ind w:firstLine="0" w:firstLineChars="0"/>
                    <w:jc w:val="center"/>
                    <w:rPr>
                      <w:sz w:val="21"/>
                      <w:szCs w:val="21"/>
                    </w:rPr>
                  </w:pPr>
                  <w:r>
                    <w:rPr>
                      <w:sz w:val="21"/>
                      <w:szCs w:val="21"/>
                    </w:rPr>
                    <w:t>2.8</w:t>
                  </w:r>
                </w:p>
              </w:tc>
              <w:tc>
                <w:tcPr>
                  <w:tcW w:w="1119" w:type="pct"/>
                  <w:vAlign w:val="center"/>
                </w:tcPr>
                <w:p w14:paraId="30A6415F">
                  <w:pPr>
                    <w:adjustRightInd w:val="0"/>
                    <w:snapToGrid w:val="0"/>
                    <w:spacing w:line="240" w:lineRule="auto"/>
                    <w:ind w:firstLine="0" w:firstLineChars="0"/>
                    <w:jc w:val="center"/>
                    <w:rPr>
                      <w:sz w:val="21"/>
                      <w:szCs w:val="21"/>
                    </w:rPr>
                  </w:pPr>
                  <w:r>
                    <w:rPr>
                      <w:sz w:val="21"/>
                      <w:szCs w:val="21"/>
                    </w:rPr>
                    <w:t>15</w:t>
                  </w:r>
                </w:p>
              </w:tc>
            </w:tr>
            <w:tr w14:paraId="00472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CBB4EA8">
                  <w:pPr>
                    <w:adjustRightInd w:val="0"/>
                    <w:snapToGrid w:val="0"/>
                    <w:spacing w:line="240" w:lineRule="auto"/>
                    <w:ind w:firstLine="0" w:firstLineChars="0"/>
                    <w:jc w:val="center"/>
                    <w:rPr>
                      <w:sz w:val="21"/>
                      <w:szCs w:val="21"/>
                    </w:rPr>
                  </w:pPr>
                  <w:r>
                    <w:rPr>
                      <w:sz w:val="21"/>
                      <w:szCs w:val="21"/>
                    </w:rPr>
                    <w:t>23</w:t>
                  </w:r>
                </w:p>
              </w:tc>
              <w:tc>
                <w:tcPr>
                  <w:tcW w:w="1997" w:type="pct"/>
                  <w:vAlign w:val="center"/>
                </w:tcPr>
                <w:p w14:paraId="46A7C881">
                  <w:pPr>
                    <w:adjustRightInd w:val="0"/>
                    <w:snapToGrid w:val="0"/>
                    <w:spacing w:line="240" w:lineRule="auto"/>
                    <w:ind w:firstLine="0" w:firstLineChars="0"/>
                    <w:jc w:val="center"/>
                    <w:rPr>
                      <w:sz w:val="21"/>
                      <w:szCs w:val="21"/>
                    </w:rPr>
                  </w:pPr>
                  <w:r>
                    <w:rPr>
                      <w:rFonts w:hint="eastAsia"/>
                      <w:sz w:val="21"/>
                      <w:szCs w:val="21"/>
                    </w:rPr>
                    <w:t>三氯乙烯</w:t>
                  </w:r>
                </w:p>
              </w:tc>
              <w:tc>
                <w:tcPr>
                  <w:tcW w:w="965" w:type="pct"/>
                  <w:vAlign w:val="center"/>
                </w:tcPr>
                <w:p w14:paraId="1264C392">
                  <w:pPr>
                    <w:adjustRightInd w:val="0"/>
                    <w:snapToGrid w:val="0"/>
                    <w:spacing w:line="240" w:lineRule="auto"/>
                    <w:ind w:firstLine="0" w:firstLineChars="0"/>
                    <w:jc w:val="center"/>
                    <w:rPr>
                      <w:sz w:val="21"/>
                      <w:szCs w:val="21"/>
                    </w:rPr>
                  </w:pPr>
                  <w:r>
                    <w:rPr>
                      <w:sz w:val="21"/>
                      <w:szCs w:val="21"/>
                    </w:rPr>
                    <w:t>2.8</w:t>
                  </w:r>
                </w:p>
              </w:tc>
              <w:tc>
                <w:tcPr>
                  <w:tcW w:w="1119" w:type="pct"/>
                  <w:vAlign w:val="center"/>
                </w:tcPr>
                <w:p w14:paraId="63DE2B51">
                  <w:pPr>
                    <w:adjustRightInd w:val="0"/>
                    <w:snapToGrid w:val="0"/>
                    <w:spacing w:line="240" w:lineRule="auto"/>
                    <w:ind w:firstLine="0" w:firstLineChars="0"/>
                    <w:jc w:val="center"/>
                    <w:rPr>
                      <w:sz w:val="21"/>
                      <w:szCs w:val="21"/>
                    </w:rPr>
                  </w:pPr>
                  <w:r>
                    <w:rPr>
                      <w:sz w:val="21"/>
                      <w:szCs w:val="21"/>
                    </w:rPr>
                    <w:t>20</w:t>
                  </w:r>
                </w:p>
              </w:tc>
            </w:tr>
            <w:tr w14:paraId="7F4AF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056AB7A">
                  <w:pPr>
                    <w:adjustRightInd w:val="0"/>
                    <w:snapToGrid w:val="0"/>
                    <w:spacing w:line="240" w:lineRule="auto"/>
                    <w:ind w:firstLine="0" w:firstLineChars="0"/>
                    <w:jc w:val="center"/>
                    <w:rPr>
                      <w:sz w:val="21"/>
                      <w:szCs w:val="21"/>
                    </w:rPr>
                  </w:pPr>
                  <w:r>
                    <w:rPr>
                      <w:sz w:val="21"/>
                      <w:szCs w:val="21"/>
                    </w:rPr>
                    <w:t>24</w:t>
                  </w:r>
                </w:p>
              </w:tc>
              <w:tc>
                <w:tcPr>
                  <w:tcW w:w="1997" w:type="pct"/>
                  <w:vAlign w:val="center"/>
                </w:tcPr>
                <w:p w14:paraId="49250096">
                  <w:pPr>
                    <w:adjustRightInd w:val="0"/>
                    <w:snapToGrid w:val="0"/>
                    <w:spacing w:line="240" w:lineRule="auto"/>
                    <w:ind w:firstLine="0" w:firstLineChars="0"/>
                    <w:jc w:val="center"/>
                    <w:rPr>
                      <w:sz w:val="21"/>
                      <w:szCs w:val="21"/>
                    </w:rPr>
                  </w:pPr>
                  <w:r>
                    <w:rPr>
                      <w:sz w:val="21"/>
                      <w:szCs w:val="21"/>
                    </w:rPr>
                    <w:t>1,2,3-</w:t>
                  </w:r>
                  <w:r>
                    <w:rPr>
                      <w:rFonts w:hint="eastAsia"/>
                      <w:sz w:val="21"/>
                      <w:szCs w:val="21"/>
                    </w:rPr>
                    <w:t>三氯丙烷</w:t>
                  </w:r>
                </w:p>
              </w:tc>
              <w:tc>
                <w:tcPr>
                  <w:tcW w:w="965" w:type="pct"/>
                  <w:vAlign w:val="center"/>
                </w:tcPr>
                <w:p w14:paraId="0851A0DE">
                  <w:pPr>
                    <w:adjustRightInd w:val="0"/>
                    <w:snapToGrid w:val="0"/>
                    <w:spacing w:line="240" w:lineRule="auto"/>
                    <w:ind w:firstLine="0" w:firstLineChars="0"/>
                    <w:jc w:val="center"/>
                    <w:rPr>
                      <w:sz w:val="21"/>
                      <w:szCs w:val="21"/>
                    </w:rPr>
                  </w:pPr>
                  <w:r>
                    <w:rPr>
                      <w:sz w:val="21"/>
                      <w:szCs w:val="21"/>
                    </w:rPr>
                    <w:t>0.5</w:t>
                  </w:r>
                </w:p>
              </w:tc>
              <w:tc>
                <w:tcPr>
                  <w:tcW w:w="1119" w:type="pct"/>
                  <w:vAlign w:val="center"/>
                </w:tcPr>
                <w:p w14:paraId="1C965459">
                  <w:pPr>
                    <w:adjustRightInd w:val="0"/>
                    <w:snapToGrid w:val="0"/>
                    <w:spacing w:line="240" w:lineRule="auto"/>
                    <w:ind w:firstLine="0" w:firstLineChars="0"/>
                    <w:jc w:val="center"/>
                    <w:rPr>
                      <w:sz w:val="21"/>
                      <w:szCs w:val="21"/>
                    </w:rPr>
                  </w:pPr>
                  <w:r>
                    <w:rPr>
                      <w:sz w:val="21"/>
                      <w:szCs w:val="21"/>
                    </w:rPr>
                    <w:t>5</w:t>
                  </w:r>
                </w:p>
              </w:tc>
            </w:tr>
            <w:tr w14:paraId="19030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1488A479">
                  <w:pPr>
                    <w:adjustRightInd w:val="0"/>
                    <w:snapToGrid w:val="0"/>
                    <w:spacing w:line="240" w:lineRule="auto"/>
                    <w:ind w:firstLine="0" w:firstLineChars="0"/>
                    <w:jc w:val="center"/>
                    <w:rPr>
                      <w:sz w:val="21"/>
                      <w:szCs w:val="21"/>
                    </w:rPr>
                  </w:pPr>
                  <w:r>
                    <w:rPr>
                      <w:sz w:val="21"/>
                      <w:szCs w:val="21"/>
                    </w:rPr>
                    <w:t>25</w:t>
                  </w:r>
                </w:p>
              </w:tc>
              <w:tc>
                <w:tcPr>
                  <w:tcW w:w="1997" w:type="pct"/>
                  <w:vAlign w:val="center"/>
                </w:tcPr>
                <w:p w14:paraId="0AD5DDCB">
                  <w:pPr>
                    <w:adjustRightInd w:val="0"/>
                    <w:snapToGrid w:val="0"/>
                    <w:spacing w:line="240" w:lineRule="auto"/>
                    <w:ind w:firstLine="0" w:firstLineChars="0"/>
                    <w:jc w:val="center"/>
                    <w:rPr>
                      <w:sz w:val="21"/>
                      <w:szCs w:val="21"/>
                    </w:rPr>
                  </w:pPr>
                  <w:r>
                    <w:rPr>
                      <w:rFonts w:hint="eastAsia"/>
                      <w:sz w:val="21"/>
                      <w:szCs w:val="21"/>
                    </w:rPr>
                    <w:t>氯乙烯</w:t>
                  </w:r>
                </w:p>
              </w:tc>
              <w:tc>
                <w:tcPr>
                  <w:tcW w:w="965" w:type="pct"/>
                  <w:vAlign w:val="center"/>
                </w:tcPr>
                <w:p w14:paraId="3AB3713B">
                  <w:pPr>
                    <w:adjustRightInd w:val="0"/>
                    <w:snapToGrid w:val="0"/>
                    <w:spacing w:line="240" w:lineRule="auto"/>
                    <w:ind w:firstLine="0" w:firstLineChars="0"/>
                    <w:jc w:val="center"/>
                    <w:rPr>
                      <w:sz w:val="21"/>
                      <w:szCs w:val="21"/>
                    </w:rPr>
                  </w:pPr>
                  <w:r>
                    <w:rPr>
                      <w:sz w:val="21"/>
                      <w:szCs w:val="21"/>
                    </w:rPr>
                    <w:t>0.43</w:t>
                  </w:r>
                </w:p>
              </w:tc>
              <w:tc>
                <w:tcPr>
                  <w:tcW w:w="1119" w:type="pct"/>
                  <w:vAlign w:val="center"/>
                </w:tcPr>
                <w:p w14:paraId="311DC244">
                  <w:pPr>
                    <w:adjustRightInd w:val="0"/>
                    <w:snapToGrid w:val="0"/>
                    <w:spacing w:line="240" w:lineRule="auto"/>
                    <w:ind w:firstLine="0" w:firstLineChars="0"/>
                    <w:jc w:val="center"/>
                    <w:rPr>
                      <w:sz w:val="21"/>
                      <w:szCs w:val="21"/>
                    </w:rPr>
                  </w:pPr>
                  <w:r>
                    <w:rPr>
                      <w:sz w:val="21"/>
                      <w:szCs w:val="21"/>
                    </w:rPr>
                    <w:t>4.3</w:t>
                  </w:r>
                </w:p>
              </w:tc>
            </w:tr>
            <w:tr w14:paraId="0AD2C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63DF707">
                  <w:pPr>
                    <w:adjustRightInd w:val="0"/>
                    <w:snapToGrid w:val="0"/>
                    <w:spacing w:line="240" w:lineRule="auto"/>
                    <w:ind w:firstLine="0" w:firstLineChars="0"/>
                    <w:jc w:val="center"/>
                    <w:rPr>
                      <w:sz w:val="21"/>
                      <w:szCs w:val="21"/>
                    </w:rPr>
                  </w:pPr>
                  <w:r>
                    <w:rPr>
                      <w:sz w:val="21"/>
                      <w:szCs w:val="21"/>
                    </w:rPr>
                    <w:t>26</w:t>
                  </w:r>
                </w:p>
              </w:tc>
              <w:tc>
                <w:tcPr>
                  <w:tcW w:w="1997" w:type="pct"/>
                  <w:vAlign w:val="center"/>
                </w:tcPr>
                <w:p w14:paraId="4B9F5A36">
                  <w:pPr>
                    <w:adjustRightInd w:val="0"/>
                    <w:snapToGrid w:val="0"/>
                    <w:spacing w:line="240" w:lineRule="auto"/>
                    <w:ind w:firstLine="0" w:firstLineChars="0"/>
                    <w:jc w:val="center"/>
                    <w:rPr>
                      <w:sz w:val="21"/>
                      <w:szCs w:val="21"/>
                    </w:rPr>
                  </w:pPr>
                  <w:r>
                    <w:rPr>
                      <w:rFonts w:hint="eastAsia"/>
                      <w:sz w:val="21"/>
                      <w:szCs w:val="21"/>
                    </w:rPr>
                    <w:t>苯</w:t>
                  </w:r>
                </w:p>
              </w:tc>
              <w:tc>
                <w:tcPr>
                  <w:tcW w:w="965" w:type="pct"/>
                  <w:vAlign w:val="center"/>
                </w:tcPr>
                <w:p w14:paraId="3C34E42F">
                  <w:pPr>
                    <w:adjustRightInd w:val="0"/>
                    <w:snapToGrid w:val="0"/>
                    <w:spacing w:line="240" w:lineRule="auto"/>
                    <w:ind w:firstLine="0" w:firstLineChars="0"/>
                    <w:jc w:val="center"/>
                    <w:rPr>
                      <w:sz w:val="21"/>
                      <w:szCs w:val="21"/>
                    </w:rPr>
                  </w:pPr>
                  <w:r>
                    <w:rPr>
                      <w:sz w:val="21"/>
                      <w:szCs w:val="21"/>
                    </w:rPr>
                    <w:t>4</w:t>
                  </w:r>
                </w:p>
              </w:tc>
              <w:tc>
                <w:tcPr>
                  <w:tcW w:w="1119" w:type="pct"/>
                  <w:vAlign w:val="center"/>
                </w:tcPr>
                <w:p w14:paraId="5B9418DE">
                  <w:pPr>
                    <w:adjustRightInd w:val="0"/>
                    <w:snapToGrid w:val="0"/>
                    <w:spacing w:line="240" w:lineRule="auto"/>
                    <w:ind w:firstLine="0" w:firstLineChars="0"/>
                    <w:jc w:val="center"/>
                    <w:rPr>
                      <w:sz w:val="21"/>
                      <w:szCs w:val="21"/>
                    </w:rPr>
                  </w:pPr>
                  <w:r>
                    <w:rPr>
                      <w:sz w:val="21"/>
                      <w:szCs w:val="21"/>
                    </w:rPr>
                    <w:t>40</w:t>
                  </w:r>
                </w:p>
              </w:tc>
            </w:tr>
            <w:tr w14:paraId="13D4E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00F05873">
                  <w:pPr>
                    <w:adjustRightInd w:val="0"/>
                    <w:snapToGrid w:val="0"/>
                    <w:spacing w:line="240" w:lineRule="auto"/>
                    <w:ind w:firstLine="0" w:firstLineChars="0"/>
                    <w:jc w:val="center"/>
                    <w:rPr>
                      <w:sz w:val="21"/>
                      <w:szCs w:val="21"/>
                    </w:rPr>
                  </w:pPr>
                  <w:r>
                    <w:rPr>
                      <w:sz w:val="21"/>
                      <w:szCs w:val="21"/>
                    </w:rPr>
                    <w:t>27</w:t>
                  </w:r>
                </w:p>
              </w:tc>
              <w:tc>
                <w:tcPr>
                  <w:tcW w:w="1997" w:type="pct"/>
                  <w:vAlign w:val="center"/>
                </w:tcPr>
                <w:p w14:paraId="5CD45821">
                  <w:pPr>
                    <w:adjustRightInd w:val="0"/>
                    <w:snapToGrid w:val="0"/>
                    <w:spacing w:line="240" w:lineRule="auto"/>
                    <w:ind w:firstLine="0" w:firstLineChars="0"/>
                    <w:jc w:val="center"/>
                    <w:rPr>
                      <w:sz w:val="21"/>
                      <w:szCs w:val="21"/>
                    </w:rPr>
                  </w:pPr>
                  <w:r>
                    <w:rPr>
                      <w:rFonts w:hint="eastAsia"/>
                      <w:sz w:val="21"/>
                      <w:szCs w:val="21"/>
                    </w:rPr>
                    <w:t>氯苯</w:t>
                  </w:r>
                </w:p>
              </w:tc>
              <w:tc>
                <w:tcPr>
                  <w:tcW w:w="965" w:type="pct"/>
                  <w:vAlign w:val="center"/>
                </w:tcPr>
                <w:p w14:paraId="5365DF0C">
                  <w:pPr>
                    <w:adjustRightInd w:val="0"/>
                    <w:snapToGrid w:val="0"/>
                    <w:spacing w:line="240" w:lineRule="auto"/>
                    <w:ind w:firstLine="0" w:firstLineChars="0"/>
                    <w:jc w:val="center"/>
                    <w:rPr>
                      <w:sz w:val="21"/>
                      <w:szCs w:val="21"/>
                    </w:rPr>
                  </w:pPr>
                  <w:r>
                    <w:rPr>
                      <w:sz w:val="21"/>
                      <w:szCs w:val="21"/>
                    </w:rPr>
                    <w:t>270</w:t>
                  </w:r>
                </w:p>
              </w:tc>
              <w:tc>
                <w:tcPr>
                  <w:tcW w:w="1119" w:type="pct"/>
                  <w:vAlign w:val="center"/>
                </w:tcPr>
                <w:p w14:paraId="69F66C45">
                  <w:pPr>
                    <w:adjustRightInd w:val="0"/>
                    <w:snapToGrid w:val="0"/>
                    <w:spacing w:line="240" w:lineRule="auto"/>
                    <w:ind w:firstLine="0" w:firstLineChars="0"/>
                    <w:jc w:val="center"/>
                    <w:rPr>
                      <w:sz w:val="21"/>
                      <w:szCs w:val="21"/>
                    </w:rPr>
                  </w:pPr>
                  <w:r>
                    <w:rPr>
                      <w:sz w:val="21"/>
                      <w:szCs w:val="21"/>
                    </w:rPr>
                    <w:t>1000</w:t>
                  </w:r>
                </w:p>
              </w:tc>
            </w:tr>
            <w:tr w14:paraId="087EF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7111A24D">
                  <w:pPr>
                    <w:adjustRightInd w:val="0"/>
                    <w:snapToGrid w:val="0"/>
                    <w:spacing w:line="240" w:lineRule="auto"/>
                    <w:ind w:firstLine="0" w:firstLineChars="0"/>
                    <w:jc w:val="center"/>
                    <w:rPr>
                      <w:sz w:val="21"/>
                      <w:szCs w:val="21"/>
                    </w:rPr>
                  </w:pPr>
                  <w:r>
                    <w:rPr>
                      <w:sz w:val="21"/>
                      <w:szCs w:val="21"/>
                    </w:rPr>
                    <w:t>28</w:t>
                  </w:r>
                </w:p>
              </w:tc>
              <w:tc>
                <w:tcPr>
                  <w:tcW w:w="1997" w:type="pct"/>
                  <w:vAlign w:val="center"/>
                </w:tcPr>
                <w:p w14:paraId="6D274CA5">
                  <w:pPr>
                    <w:adjustRightInd w:val="0"/>
                    <w:snapToGrid w:val="0"/>
                    <w:spacing w:line="240" w:lineRule="auto"/>
                    <w:ind w:firstLine="0" w:firstLineChars="0"/>
                    <w:jc w:val="center"/>
                    <w:rPr>
                      <w:sz w:val="21"/>
                      <w:szCs w:val="21"/>
                    </w:rPr>
                  </w:pPr>
                  <w:r>
                    <w:rPr>
                      <w:sz w:val="21"/>
                      <w:szCs w:val="21"/>
                    </w:rPr>
                    <w:t>1,2-</w:t>
                  </w:r>
                  <w:r>
                    <w:rPr>
                      <w:rFonts w:hint="eastAsia"/>
                      <w:sz w:val="21"/>
                      <w:szCs w:val="21"/>
                    </w:rPr>
                    <w:t>二氯苯</w:t>
                  </w:r>
                </w:p>
              </w:tc>
              <w:tc>
                <w:tcPr>
                  <w:tcW w:w="965" w:type="pct"/>
                  <w:vAlign w:val="center"/>
                </w:tcPr>
                <w:p w14:paraId="09596903">
                  <w:pPr>
                    <w:adjustRightInd w:val="0"/>
                    <w:snapToGrid w:val="0"/>
                    <w:spacing w:line="240" w:lineRule="auto"/>
                    <w:ind w:firstLine="0" w:firstLineChars="0"/>
                    <w:jc w:val="center"/>
                    <w:rPr>
                      <w:sz w:val="21"/>
                      <w:szCs w:val="21"/>
                    </w:rPr>
                  </w:pPr>
                  <w:r>
                    <w:rPr>
                      <w:sz w:val="21"/>
                      <w:szCs w:val="21"/>
                    </w:rPr>
                    <w:t>560</w:t>
                  </w:r>
                </w:p>
              </w:tc>
              <w:tc>
                <w:tcPr>
                  <w:tcW w:w="1119" w:type="pct"/>
                  <w:vAlign w:val="center"/>
                </w:tcPr>
                <w:p w14:paraId="63ACF350">
                  <w:pPr>
                    <w:adjustRightInd w:val="0"/>
                    <w:snapToGrid w:val="0"/>
                    <w:spacing w:line="240" w:lineRule="auto"/>
                    <w:ind w:firstLine="0" w:firstLineChars="0"/>
                    <w:jc w:val="center"/>
                    <w:rPr>
                      <w:sz w:val="21"/>
                      <w:szCs w:val="21"/>
                    </w:rPr>
                  </w:pPr>
                  <w:r>
                    <w:rPr>
                      <w:sz w:val="21"/>
                      <w:szCs w:val="21"/>
                    </w:rPr>
                    <w:t>560</w:t>
                  </w:r>
                </w:p>
              </w:tc>
            </w:tr>
            <w:tr w14:paraId="17366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5CACDB32">
                  <w:pPr>
                    <w:adjustRightInd w:val="0"/>
                    <w:snapToGrid w:val="0"/>
                    <w:spacing w:line="240" w:lineRule="auto"/>
                    <w:ind w:firstLine="0" w:firstLineChars="0"/>
                    <w:jc w:val="center"/>
                    <w:rPr>
                      <w:sz w:val="21"/>
                      <w:szCs w:val="21"/>
                    </w:rPr>
                  </w:pPr>
                  <w:r>
                    <w:rPr>
                      <w:sz w:val="21"/>
                      <w:szCs w:val="21"/>
                    </w:rPr>
                    <w:t>29</w:t>
                  </w:r>
                </w:p>
              </w:tc>
              <w:tc>
                <w:tcPr>
                  <w:tcW w:w="1997" w:type="pct"/>
                  <w:vAlign w:val="center"/>
                </w:tcPr>
                <w:p w14:paraId="24E964F3">
                  <w:pPr>
                    <w:adjustRightInd w:val="0"/>
                    <w:snapToGrid w:val="0"/>
                    <w:spacing w:line="240" w:lineRule="auto"/>
                    <w:ind w:firstLine="0" w:firstLineChars="0"/>
                    <w:jc w:val="center"/>
                    <w:rPr>
                      <w:sz w:val="21"/>
                      <w:szCs w:val="21"/>
                    </w:rPr>
                  </w:pPr>
                  <w:r>
                    <w:rPr>
                      <w:sz w:val="21"/>
                      <w:szCs w:val="21"/>
                    </w:rPr>
                    <w:t>1,4-</w:t>
                  </w:r>
                  <w:r>
                    <w:rPr>
                      <w:rFonts w:hint="eastAsia"/>
                      <w:sz w:val="21"/>
                      <w:szCs w:val="21"/>
                    </w:rPr>
                    <w:t>二氯苯</w:t>
                  </w:r>
                </w:p>
              </w:tc>
              <w:tc>
                <w:tcPr>
                  <w:tcW w:w="965" w:type="pct"/>
                  <w:vAlign w:val="center"/>
                </w:tcPr>
                <w:p w14:paraId="0B66FA3D">
                  <w:pPr>
                    <w:adjustRightInd w:val="0"/>
                    <w:snapToGrid w:val="0"/>
                    <w:spacing w:line="240" w:lineRule="auto"/>
                    <w:ind w:firstLine="0" w:firstLineChars="0"/>
                    <w:jc w:val="center"/>
                    <w:rPr>
                      <w:sz w:val="21"/>
                      <w:szCs w:val="21"/>
                    </w:rPr>
                  </w:pPr>
                  <w:r>
                    <w:rPr>
                      <w:sz w:val="21"/>
                      <w:szCs w:val="21"/>
                    </w:rPr>
                    <w:t>20</w:t>
                  </w:r>
                </w:p>
              </w:tc>
              <w:tc>
                <w:tcPr>
                  <w:tcW w:w="1119" w:type="pct"/>
                  <w:vAlign w:val="center"/>
                </w:tcPr>
                <w:p w14:paraId="441E6680">
                  <w:pPr>
                    <w:adjustRightInd w:val="0"/>
                    <w:snapToGrid w:val="0"/>
                    <w:spacing w:line="240" w:lineRule="auto"/>
                    <w:ind w:firstLine="0" w:firstLineChars="0"/>
                    <w:jc w:val="center"/>
                    <w:rPr>
                      <w:sz w:val="21"/>
                      <w:szCs w:val="21"/>
                    </w:rPr>
                  </w:pPr>
                  <w:r>
                    <w:rPr>
                      <w:sz w:val="21"/>
                      <w:szCs w:val="21"/>
                    </w:rPr>
                    <w:t>200</w:t>
                  </w:r>
                </w:p>
              </w:tc>
            </w:tr>
            <w:tr w14:paraId="0798B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1A4C047">
                  <w:pPr>
                    <w:adjustRightInd w:val="0"/>
                    <w:snapToGrid w:val="0"/>
                    <w:spacing w:line="240" w:lineRule="auto"/>
                    <w:ind w:firstLine="0" w:firstLineChars="0"/>
                    <w:jc w:val="center"/>
                    <w:rPr>
                      <w:sz w:val="21"/>
                      <w:szCs w:val="21"/>
                    </w:rPr>
                  </w:pPr>
                  <w:r>
                    <w:rPr>
                      <w:sz w:val="21"/>
                      <w:szCs w:val="21"/>
                    </w:rPr>
                    <w:t>30</w:t>
                  </w:r>
                </w:p>
              </w:tc>
              <w:tc>
                <w:tcPr>
                  <w:tcW w:w="1997" w:type="pct"/>
                  <w:vAlign w:val="center"/>
                </w:tcPr>
                <w:p w14:paraId="14C45B2A">
                  <w:pPr>
                    <w:adjustRightInd w:val="0"/>
                    <w:snapToGrid w:val="0"/>
                    <w:spacing w:line="240" w:lineRule="auto"/>
                    <w:ind w:firstLine="0" w:firstLineChars="0"/>
                    <w:jc w:val="center"/>
                    <w:rPr>
                      <w:sz w:val="21"/>
                      <w:szCs w:val="21"/>
                    </w:rPr>
                  </w:pPr>
                  <w:r>
                    <w:rPr>
                      <w:rFonts w:hint="eastAsia"/>
                      <w:sz w:val="21"/>
                      <w:szCs w:val="21"/>
                    </w:rPr>
                    <w:t>乙苯</w:t>
                  </w:r>
                </w:p>
              </w:tc>
              <w:tc>
                <w:tcPr>
                  <w:tcW w:w="965" w:type="pct"/>
                  <w:vAlign w:val="center"/>
                </w:tcPr>
                <w:p w14:paraId="03886D76">
                  <w:pPr>
                    <w:adjustRightInd w:val="0"/>
                    <w:snapToGrid w:val="0"/>
                    <w:spacing w:line="240" w:lineRule="auto"/>
                    <w:ind w:firstLine="0" w:firstLineChars="0"/>
                    <w:jc w:val="center"/>
                    <w:rPr>
                      <w:sz w:val="21"/>
                      <w:szCs w:val="21"/>
                    </w:rPr>
                  </w:pPr>
                  <w:r>
                    <w:rPr>
                      <w:sz w:val="21"/>
                      <w:szCs w:val="21"/>
                    </w:rPr>
                    <w:t>28</w:t>
                  </w:r>
                </w:p>
              </w:tc>
              <w:tc>
                <w:tcPr>
                  <w:tcW w:w="1119" w:type="pct"/>
                  <w:vAlign w:val="center"/>
                </w:tcPr>
                <w:p w14:paraId="3005DCF8">
                  <w:pPr>
                    <w:adjustRightInd w:val="0"/>
                    <w:snapToGrid w:val="0"/>
                    <w:spacing w:line="240" w:lineRule="auto"/>
                    <w:ind w:firstLine="0" w:firstLineChars="0"/>
                    <w:jc w:val="center"/>
                    <w:rPr>
                      <w:sz w:val="21"/>
                      <w:szCs w:val="21"/>
                    </w:rPr>
                  </w:pPr>
                  <w:r>
                    <w:rPr>
                      <w:sz w:val="21"/>
                      <w:szCs w:val="21"/>
                    </w:rPr>
                    <w:t>280</w:t>
                  </w:r>
                </w:p>
              </w:tc>
            </w:tr>
            <w:tr w14:paraId="62960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9C3F2F5">
                  <w:pPr>
                    <w:adjustRightInd w:val="0"/>
                    <w:snapToGrid w:val="0"/>
                    <w:spacing w:line="240" w:lineRule="auto"/>
                    <w:ind w:firstLine="0" w:firstLineChars="0"/>
                    <w:jc w:val="center"/>
                    <w:rPr>
                      <w:sz w:val="21"/>
                      <w:szCs w:val="21"/>
                    </w:rPr>
                  </w:pPr>
                  <w:r>
                    <w:rPr>
                      <w:sz w:val="21"/>
                      <w:szCs w:val="21"/>
                    </w:rPr>
                    <w:t>31</w:t>
                  </w:r>
                </w:p>
              </w:tc>
              <w:tc>
                <w:tcPr>
                  <w:tcW w:w="1997" w:type="pct"/>
                  <w:vAlign w:val="center"/>
                </w:tcPr>
                <w:p w14:paraId="3C38B7D1">
                  <w:pPr>
                    <w:adjustRightInd w:val="0"/>
                    <w:snapToGrid w:val="0"/>
                    <w:spacing w:line="240" w:lineRule="auto"/>
                    <w:ind w:firstLine="0" w:firstLineChars="0"/>
                    <w:jc w:val="center"/>
                    <w:rPr>
                      <w:sz w:val="21"/>
                      <w:szCs w:val="21"/>
                    </w:rPr>
                  </w:pPr>
                  <w:r>
                    <w:rPr>
                      <w:rFonts w:hint="eastAsia"/>
                      <w:sz w:val="21"/>
                      <w:szCs w:val="21"/>
                    </w:rPr>
                    <w:t>苯乙烯</w:t>
                  </w:r>
                </w:p>
              </w:tc>
              <w:tc>
                <w:tcPr>
                  <w:tcW w:w="965" w:type="pct"/>
                  <w:vAlign w:val="center"/>
                </w:tcPr>
                <w:p w14:paraId="4471563B">
                  <w:pPr>
                    <w:adjustRightInd w:val="0"/>
                    <w:snapToGrid w:val="0"/>
                    <w:spacing w:line="240" w:lineRule="auto"/>
                    <w:ind w:firstLine="0" w:firstLineChars="0"/>
                    <w:jc w:val="center"/>
                    <w:rPr>
                      <w:sz w:val="21"/>
                      <w:szCs w:val="21"/>
                    </w:rPr>
                  </w:pPr>
                  <w:r>
                    <w:rPr>
                      <w:sz w:val="21"/>
                      <w:szCs w:val="21"/>
                    </w:rPr>
                    <w:t>1290</w:t>
                  </w:r>
                </w:p>
              </w:tc>
              <w:tc>
                <w:tcPr>
                  <w:tcW w:w="1119" w:type="pct"/>
                  <w:vAlign w:val="center"/>
                </w:tcPr>
                <w:p w14:paraId="4FBADA1E">
                  <w:pPr>
                    <w:adjustRightInd w:val="0"/>
                    <w:snapToGrid w:val="0"/>
                    <w:spacing w:line="240" w:lineRule="auto"/>
                    <w:ind w:firstLine="0" w:firstLineChars="0"/>
                    <w:jc w:val="center"/>
                    <w:rPr>
                      <w:sz w:val="21"/>
                      <w:szCs w:val="21"/>
                    </w:rPr>
                  </w:pPr>
                  <w:r>
                    <w:rPr>
                      <w:sz w:val="21"/>
                      <w:szCs w:val="21"/>
                    </w:rPr>
                    <w:t>1290</w:t>
                  </w:r>
                </w:p>
              </w:tc>
            </w:tr>
            <w:tr w14:paraId="65351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14812E02">
                  <w:pPr>
                    <w:adjustRightInd w:val="0"/>
                    <w:snapToGrid w:val="0"/>
                    <w:spacing w:line="240" w:lineRule="auto"/>
                    <w:ind w:firstLine="0" w:firstLineChars="0"/>
                    <w:jc w:val="center"/>
                    <w:rPr>
                      <w:sz w:val="21"/>
                      <w:szCs w:val="21"/>
                    </w:rPr>
                  </w:pPr>
                  <w:r>
                    <w:rPr>
                      <w:sz w:val="21"/>
                      <w:szCs w:val="21"/>
                    </w:rPr>
                    <w:t>32</w:t>
                  </w:r>
                </w:p>
              </w:tc>
              <w:tc>
                <w:tcPr>
                  <w:tcW w:w="1997" w:type="pct"/>
                  <w:vAlign w:val="center"/>
                </w:tcPr>
                <w:p w14:paraId="0F82C25C">
                  <w:pPr>
                    <w:adjustRightInd w:val="0"/>
                    <w:snapToGrid w:val="0"/>
                    <w:spacing w:line="240" w:lineRule="auto"/>
                    <w:ind w:firstLine="0" w:firstLineChars="0"/>
                    <w:jc w:val="center"/>
                    <w:rPr>
                      <w:sz w:val="21"/>
                      <w:szCs w:val="21"/>
                    </w:rPr>
                  </w:pPr>
                  <w:r>
                    <w:rPr>
                      <w:rFonts w:hint="eastAsia"/>
                      <w:sz w:val="21"/>
                      <w:szCs w:val="21"/>
                    </w:rPr>
                    <w:t>甲苯</w:t>
                  </w:r>
                </w:p>
              </w:tc>
              <w:tc>
                <w:tcPr>
                  <w:tcW w:w="965" w:type="pct"/>
                  <w:vAlign w:val="center"/>
                </w:tcPr>
                <w:p w14:paraId="33C0751C">
                  <w:pPr>
                    <w:adjustRightInd w:val="0"/>
                    <w:snapToGrid w:val="0"/>
                    <w:spacing w:line="240" w:lineRule="auto"/>
                    <w:ind w:firstLine="0" w:firstLineChars="0"/>
                    <w:jc w:val="center"/>
                    <w:rPr>
                      <w:sz w:val="21"/>
                      <w:szCs w:val="21"/>
                    </w:rPr>
                  </w:pPr>
                  <w:r>
                    <w:rPr>
                      <w:sz w:val="21"/>
                      <w:szCs w:val="21"/>
                    </w:rPr>
                    <w:t>1200</w:t>
                  </w:r>
                </w:p>
              </w:tc>
              <w:tc>
                <w:tcPr>
                  <w:tcW w:w="1119" w:type="pct"/>
                  <w:vAlign w:val="center"/>
                </w:tcPr>
                <w:p w14:paraId="37A7F604">
                  <w:pPr>
                    <w:adjustRightInd w:val="0"/>
                    <w:snapToGrid w:val="0"/>
                    <w:spacing w:line="240" w:lineRule="auto"/>
                    <w:ind w:firstLine="0" w:firstLineChars="0"/>
                    <w:jc w:val="center"/>
                    <w:rPr>
                      <w:sz w:val="21"/>
                      <w:szCs w:val="21"/>
                    </w:rPr>
                  </w:pPr>
                  <w:r>
                    <w:rPr>
                      <w:sz w:val="21"/>
                      <w:szCs w:val="21"/>
                    </w:rPr>
                    <w:t>1200</w:t>
                  </w:r>
                </w:p>
              </w:tc>
            </w:tr>
            <w:tr w14:paraId="2A31C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6B2EAAE">
                  <w:pPr>
                    <w:adjustRightInd w:val="0"/>
                    <w:snapToGrid w:val="0"/>
                    <w:spacing w:line="240" w:lineRule="auto"/>
                    <w:ind w:firstLine="0" w:firstLineChars="0"/>
                    <w:jc w:val="center"/>
                    <w:rPr>
                      <w:sz w:val="21"/>
                      <w:szCs w:val="21"/>
                    </w:rPr>
                  </w:pPr>
                  <w:r>
                    <w:rPr>
                      <w:sz w:val="21"/>
                      <w:szCs w:val="21"/>
                    </w:rPr>
                    <w:t>33</w:t>
                  </w:r>
                </w:p>
              </w:tc>
              <w:tc>
                <w:tcPr>
                  <w:tcW w:w="1997" w:type="pct"/>
                  <w:vAlign w:val="center"/>
                </w:tcPr>
                <w:p w14:paraId="1A55D6EF">
                  <w:pPr>
                    <w:adjustRightInd w:val="0"/>
                    <w:snapToGrid w:val="0"/>
                    <w:spacing w:line="240" w:lineRule="auto"/>
                    <w:ind w:firstLine="0" w:firstLineChars="0"/>
                    <w:jc w:val="center"/>
                    <w:rPr>
                      <w:sz w:val="21"/>
                      <w:szCs w:val="21"/>
                    </w:rPr>
                  </w:pPr>
                  <w:r>
                    <w:rPr>
                      <w:rFonts w:hint="eastAsia"/>
                      <w:sz w:val="21"/>
                      <w:szCs w:val="21"/>
                    </w:rPr>
                    <w:t>间二甲苯</w:t>
                  </w:r>
                  <w:r>
                    <w:rPr>
                      <w:sz w:val="21"/>
                      <w:szCs w:val="21"/>
                    </w:rPr>
                    <w:t>+</w:t>
                  </w:r>
                  <w:r>
                    <w:rPr>
                      <w:rFonts w:hint="eastAsia"/>
                      <w:sz w:val="21"/>
                      <w:szCs w:val="21"/>
                    </w:rPr>
                    <w:t>对二甲苯</w:t>
                  </w:r>
                </w:p>
              </w:tc>
              <w:tc>
                <w:tcPr>
                  <w:tcW w:w="965" w:type="pct"/>
                  <w:vAlign w:val="center"/>
                </w:tcPr>
                <w:p w14:paraId="1B22D056">
                  <w:pPr>
                    <w:adjustRightInd w:val="0"/>
                    <w:snapToGrid w:val="0"/>
                    <w:spacing w:line="240" w:lineRule="auto"/>
                    <w:ind w:firstLine="0" w:firstLineChars="0"/>
                    <w:jc w:val="center"/>
                    <w:rPr>
                      <w:sz w:val="21"/>
                      <w:szCs w:val="21"/>
                    </w:rPr>
                  </w:pPr>
                  <w:r>
                    <w:rPr>
                      <w:sz w:val="21"/>
                      <w:szCs w:val="21"/>
                    </w:rPr>
                    <w:t>570</w:t>
                  </w:r>
                </w:p>
              </w:tc>
              <w:tc>
                <w:tcPr>
                  <w:tcW w:w="1119" w:type="pct"/>
                  <w:vAlign w:val="center"/>
                </w:tcPr>
                <w:p w14:paraId="0ECBA638">
                  <w:pPr>
                    <w:adjustRightInd w:val="0"/>
                    <w:snapToGrid w:val="0"/>
                    <w:spacing w:line="240" w:lineRule="auto"/>
                    <w:ind w:firstLine="0" w:firstLineChars="0"/>
                    <w:jc w:val="center"/>
                    <w:rPr>
                      <w:sz w:val="21"/>
                      <w:szCs w:val="21"/>
                    </w:rPr>
                  </w:pPr>
                  <w:r>
                    <w:rPr>
                      <w:sz w:val="21"/>
                      <w:szCs w:val="21"/>
                    </w:rPr>
                    <w:t>570</w:t>
                  </w:r>
                </w:p>
              </w:tc>
            </w:tr>
            <w:tr w14:paraId="4E9A1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0844E63">
                  <w:pPr>
                    <w:adjustRightInd w:val="0"/>
                    <w:snapToGrid w:val="0"/>
                    <w:spacing w:line="240" w:lineRule="auto"/>
                    <w:ind w:firstLine="0" w:firstLineChars="0"/>
                    <w:jc w:val="center"/>
                    <w:rPr>
                      <w:sz w:val="21"/>
                      <w:szCs w:val="21"/>
                    </w:rPr>
                  </w:pPr>
                  <w:r>
                    <w:rPr>
                      <w:sz w:val="21"/>
                      <w:szCs w:val="21"/>
                    </w:rPr>
                    <w:t>34</w:t>
                  </w:r>
                </w:p>
              </w:tc>
              <w:tc>
                <w:tcPr>
                  <w:tcW w:w="1997" w:type="pct"/>
                  <w:vAlign w:val="center"/>
                </w:tcPr>
                <w:p w14:paraId="5B60294F">
                  <w:pPr>
                    <w:adjustRightInd w:val="0"/>
                    <w:snapToGrid w:val="0"/>
                    <w:spacing w:line="240" w:lineRule="auto"/>
                    <w:ind w:firstLine="0" w:firstLineChars="0"/>
                    <w:jc w:val="center"/>
                    <w:rPr>
                      <w:sz w:val="21"/>
                      <w:szCs w:val="21"/>
                    </w:rPr>
                  </w:pPr>
                  <w:r>
                    <w:rPr>
                      <w:rFonts w:hint="eastAsia"/>
                      <w:sz w:val="21"/>
                      <w:szCs w:val="21"/>
                    </w:rPr>
                    <w:t>邻二甲苯</w:t>
                  </w:r>
                </w:p>
              </w:tc>
              <w:tc>
                <w:tcPr>
                  <w:tcW w:w="965" w:type="pct"/>
                  <w:vAlign w:val="center"/>
                </w:tcPr>
                <w:p w14:paraId="50F9AC5D">
                  <w:pPr>
                    <w:adjustRightInd w:val="0"/>
                    <w:snapToGrid w:val="0"/>
                    <w:spacing w:line="240" w:lineRule="auto"/>
                    <w:ind w:firstLine="0" w:firstLineChars="0"/>
                    <w:jc w:val="center"/>
                    <w:rPr>
                      <w:sz w:val="21"/>
                      <w:szCs w:val="21"/>
                    </w:rPr>
                  </w:pPr>
                  <w:r>
                    <w:rPr>
                      <w:sz w:val="21"/>
                      <w:szCs w:val="21"/>
                    </w:rPr>
                    <w:t>640</w:t>
                  </w:r>
                </w:p>
              </w:tc>
              <w:tc>
                <w:tcPr>
                  <w:tcW w:w="1119" w:type="pct"/>
                  <w:vAlign w:val="center"/>
                </w:tcPr>
                <w:p w14:paraId="7B0FB567">
                  <w:pPr>
                    <w:adjustRightInd w:val="0"/>
                    <w:snapToGrid w:val="0"/>
                    <w:spacing w:line="240" w:lineRule="auto"/>
                    <w:ind w:firstLine="0" w:firstLineChars="0"/>
                    <w:jc w:val="center"/>
                    <w:rPr>
                      <w:sz w:val="21"/>
                      <w:szCs w:val="21"/>
                    </w:rPr>
                  </w:pPr>
                  <w:r>
                    <w:rPr>
                      <w:sz w:val="21"/>
                      <w:szCs w:val="21"/>
                    </w:rPr>
                    <w:t>640</w:t>
                  </w:r>
                </w:p>
              </w:tc>
            </w:tr>
            <w:tr w14:paraId="3F670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gridSpan w:val="4"/>
                  <w:vAlign w:val="center"/>
                </w:tcPr>
                <w:p w14:paraId="2B1E5527">
                  <w:pPr>
                    <w:adjustRightInd w:val="0"/>
                    <w:snapToGrid w:val="0"/>
                    <w:spacing w:line="240" w:lineRule="auto"/>
                    <w:ind w:firstLine="0" w:firstLineChars="0"/>
                    <w:jc w:val="center"/>
                    <w:rPr>
                      <w:sz w:val="21"/>
                      <w:szCs w:val="21"/>
                    </w:rPr>
                  </w:pPr>
                  <w:r>
                    <w:rPr>
                      <w:rFonts w:hint="eastAsia"/>
                      <w:sz w:val="21"/>
                      <w:szCs w:val="21"/>
                    </w:rPr>
                    <w:t>半挥发性有机物</w:t>
                  </w:r>
                </w:p>
              </w:tc>
            </w:tr>
            <w:tr w14:paraId="3E497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6F9B5F9">
                  <w:pPr>
                    <w:adjustRightInd w:val="0"/>
                    <w:snapToGrid w:val="0"/>
                    <w:spacing w:line="240" w:lineRule="auto"/>
                    <w:ind w:firstLine="0" w:firstLineChars="0"/>
                    <w:jc w:val="center"/>
                    <w:rPr>
                      <w:sz w:val="21"/>
                      <w:szCs w:val="21"/>
                    </w:rPr>
                  </w:pPr>
                  <w:r>
                    <w:rPr>
                      <w:sz w:val="21"/>
                      <w:szCs w:val="21"/>
                    </w:rPr>
                    <w:t>35</w:t>
                  </w:r>
                </w:p>
              </w:tc>
              <w:tc>
                <w:tcPr>
                  <w:tcW w:w="1997" w:type="pct"/>
                  <w:vAlign w:val="center"/>
                </w:tcPr>
                <w:p w14:paraId="2855E9FF">
                  <w:pPr>
                    <w:adjustRightInd w:val="0"/>
                    <w:snapToGrid w:val="0"/>
                    <w:spacing w:line="240" w:lineRule="auto"/>
                    <w:ind w:firstLine="0" w:firstLineChars="0"/>
                    <w:jc w:val="center"/>
                    <w:rPr>
                      <w:sz w:val="21"/>
                      <w:szCs w:val="21"/>
                    </w:rPr>
                  </w:pPr>
                  <w:r>
                    <w:rPr>
                      <w:rFonts w:hint="eastAsia"/>
                      <w:sz w:val="21"/>
                      <w:szCs w:val="21"/>
                    </w:rPr>
                    <w:t>硝基苯</w:t>
                  </w:r>
                </w:p>
              </w:tc>
              <w:tc>
                <w:tcPr>
                  <w:tcW w:w="965" w:type="pct"/>
                  <w:vAlign w:val="center"/>
                </w:tcPr>
                <w:p w14:paraId="0640341F">
                  <w:pPr>
                    <w:adjustRightInd w:val="0"/>
                    <w:snapToGrid w:val="0"/>
                    <w:spacing w:line="240" w:lineRule="auto"/>
                    <w:ind w:firstLine="0" w:firstLineChars="0"/>
                    <w:jc w:val="center"/>
                    <w:rPr>
                      <w:sz w:val="21"/>
                      <w:szCs w:val="21"/>
                    </w:rPr>
                  </w:pPr>
                  <w:r>
                    <w:rPr>
                      <w:sz w:val="21"/>
                      <w:szCs w:val="21"/>
                    </w:rPr>
                    <w:t>190</w:t>
                  </w:r>
                </w:p>
              </w:tc>
              <w:tc>
                <w:tcPr>
                  <w:tcW w:w="1119" w:type="pct"/>
                  <w:vAlign w:val="center"/>
                </w:tcPr>
                <w:p w14:paraId="63D10D58">
                  <w:pPr>
                    <w:adjustRightInd w:val="0"/>
                    <w:snapToGrid w:val="0"/>
                    <w:spacing w:line="240" w:lineRule="auto"/>
                    <w:ind w:firstLine="0" w:firstLineChars="0"/>
                    <w:jc w:val="center"/>
                    <w:rPr>
                      <w:sz w:val="21"/>
                      <w:szCs w:val="21"/>
                    </w:rPr>
                  </w:pPr>
                  <w:r>
                    <w:rPr>
                      <w:sz w:val="21"/>
                      <w:szCs w:val="21"/>
                    </w:rPr>
                    <w:t>760</w:t>
                  </w:r>
                </w:p>
              </w:tc>
            </w:tr>
            <w:tr w14:paraId="37812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4B113350">
                  <w:pPr>
                    <w:adjustRightInd w:val="0"/>
                    <w:snapToGrid w:val="0"/>
                    <w:spacing w:line="240" w:lineRule="auto"/>
                    <w:ind w:firstLine="0" w:firstLineChars="0"/>
                    <w:jc w:val="center"/>
                    <w:rPr>
                      <w:sz w:val="21"/>
                      <w:szCs w:val="21"/>
                    </w:rPr>
                  </w:pPr>
                  <w:r>
                    <w:rPr>
                      <w:sz w:val="21"/>
                      <w:szCs w:val="21"/>
                    </w:rPr>
                    <w:t>36</w:t>
                  </w:r>
                </w:p>
              </w:tc>
              <w:tc>
                <w:tcPr>
                  <w:tcW w:w="1997" w:type="pct"/>
                  <w:vAlign w:val="center"/>
                </w:tcPr>
                <w:p w14:paraId="5D63739A">
                  <w:pPr>
                    <w:adjustRightInd w:val="0"/>
                    <w:snapToGrid w:val="0"/>
                    <w:spacing w:line="240" w:lineRule="auto"/>
                    <w:ind w:firstLine="0" w:firstLineChars="0"/>
                    <w:jc w:val="center"/>
                    <w:rPr>
                      <w:sz w:val="21"/>
                      <w:szCs w:val="21"/>
                    </w:rPr>
                  </w:pPr>
                  <w:r>
                    <w:rPr>
                      <w:rFonts w:hint="eastAsia"/>
                      <w:sz w:val="21"/>
                      <w:szCs w:val="21"/>
                    </w:rPr>
                    <w:t>苯胺</w:t>
                  </w:r>
                </w:p>
              </w:tc>
              <w:tc>
                <w:tcPr>
                  <w:tcW w:w="965" w:type="pct"/>
                  <w:vAlign w:val="center"/>
                </w:tcPr>
                <w:p w14:paraId="207122B4">
                  <w:pPr>
                    <w:adjustRightInd w:val="0"/>
                    <w:snapToGrid w:val="0"/>
                    <w:spacing w:line="240" w:lineRule="auto"/>
                    <w:ind w:firstLine="0" w:firstLineChars="0"/>
                    <w:jc w:val="center"/>
                    <w:rPr>
                      <w:sz w:val="21"/>
                      <w:szCs w:val="21"/>
                    </w:rPr>
                  </w:pPr>
                  <w:r>
                    <w:rPr>
                      <w:sz w:val="21"/>
                      <w:szCs w:val="21"/>
                    </w:rPr>
                    <w:t>211</w:t>
                  </w:r>
                </w:p>
              </w:tc>
              <w:tc>
                <w:tcPr>
                  <w:tcW w:w="1119" w:type="pct"/>
                  <w:vAlign w:val="center"/>
                </w:tcPr>
                <w:p w14:paraId="286D17B0">
                  <w:pPr>
                    <w:adjustRightInd w:val="0"/>
                    <w:snapToGrid w:val="0"/>
                    <w:spacing w:line="240" w:lineRule="auto"/>
                    <w:ind w:firstLine="0" w:firstLineChars="0"/>
                    <w:jc w:val="center"/>
                    <w:rPr>
                      <w:sz w:val="21"/>
                      <w:szCs w:val="21"/>
                    </w:rPr>
                  </w:pPr>
                  <w:r>
                    <w:rPr>
                      <w:sz w:val="21"/>
                      <w:szCs w:val="21"/>
                    </w:rPr>
                    <w:t>663</w:t>
                  </w:r>
                </w:p>
              </w:tc>
            </w:tr>
            <w:tr w14:paraId="41C50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BA77DC0">
                  <w:pPr>
                    <w:adjustRightInd w:val="0"/>
                    <w:snapToGrid w:val="0"/>
                    <w:spacing w:line="240" w:lineRule="auto"/>
                    <w:ind w:firstLine="0" w:firstLineChars="0"/>
                    <w:jc w:val="center"/>
                    <w:rPr>
                      <w:sz w:val="21"/>
                      <w:szCs w:val="21"/>
                    </w:rPr>
                  </w:pPr>
                  <w:r>
                    <w:rPr>
                      <w:sz w:val="21"/>
                      <w:szCs w:val="21"/>
                    </w:rPr>
                    <w:t>37</w:t>
                  </w:r>
                </w:p>
              </w:tc>
              <w:tc>
                <w:tcPr>
                  <w:tcW w:w="1997" w:type="pct"/>
                  <w:vAlign w:val="center"/>
                </w:tcPr>
                <w:p w14:paraId="663EA832">
                  <w:pPr>
                    <w:adjustRightInd w:val="0"/>
                    <w:snapToGrid w:val="0"/>
                    <w:spacing w:line="240" w:lineRule="auto"/>
                    <w:ind w:firstLine="0" w:firstLineChars="0"/>
                    <w:jc w:val="center"/>
                    <w:rPr>
                      <w:sz w:val="21"/>
                      <w:szCs w:val="21"/>
                    </w:rPr>
                  </w:pPr>
                  <w:r>
                    <w:rPr>
                      <w:sz w:val="21"/>
                      <w:szCs w:val="21"/>
                    </w:rPr>
                    <w:t>2-</w:t>
                  </w:r>
                  <w:r>
                    <w:rPr>
                      <w:rFonts w:hint="eastAsia"/>
                      <w:sz w:val="21"/>
                      <w:szCs w:val="21"/>
                    </w:rPr>
                    <w:t>氯酚</w:t>
                  </w:r>
                </w:p>
              </w:tc>
              <w:tc>
                <w:tcPr>
                  <w:tcW w:w="965" w:type="pct"/>
                  <w:vAlign w:val="center"/>
                </w:tcPr>
                <w:p w14:paraId="73C21CDE">
                  <w:pPr>
                    <w:adjustRightInd w:val="0"/>
                    <w:snapToGrid w:val="0"/>
                    <w:spacing w:line="240" w:lineRule="auto"/>
                    <w:ind w:firstLine="0" w:firstLineChars="0"/>
                    <w:jc w:val="center"/>
                    <w:rPr>
                      <w:sz w:val="21"/>
                      <w:szCs w:val="21"/>
                    </w:rPr>
                  </w:pPr>
                  <w:r>
                    <w:rPr>
                      <w:sz w:val="21"/>
                      <w:szCs w:val="21"/>
                    </w:rPr>
                    <w:t>500</w:t>
                  </w:r>
                </w:p>
              </w:tc>
              <w:tc>
                <w:tcPr>
                  <w:tcW w:w="1119" w:type="pct"/>
                  <w:vAlign w:val="center"/>
                </w:tcPr>
                <w:p w14:paraId="476EE438">
                  <w:pPr>
                    <w:adjustRightInd w:val="0"/>
                    <w:snapToGrid w:val="0"/>
                    <w:spacing w:line="240" w:lineRule="auto"/>
                    <w:ind w:firstLine="0" w:firstLineChars="0"/>
                    <w:jc w:val="center"/>
                    <w:rPr>
                      <w:sz w:val="21"/>
                      <w:szCs w:val="21"/>
                    </w:rPr>
                  </w:pPr>
                  <w:r>
                    <w:rPr>
                      <w:sz w:val="21"/>
                      <w:szCs w:val="21"/>
                    </w:rPr>
                    <w:t>4500</w:t>
                  </w:r>
                </w:p>
              </w:tc>
            </w:tr>
            <w:tr w14:paraId="143F2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71B2946B">
                  <w:pPr>
                    <w:adjustRightInd w:val="0"/>
                    <w:snapToGrid w:val="0"/>
                    <w:spacing w:line="240" w:lineRule="auto"/>
                    <w:ind w:firstLine="0" w:firstLineChars="0"/>
                    <w:jc w:val="center"/>
                    <w:rPr>
                      <w:sz w:val="21"/>
                      <w:szCs w:val="21"/>
                    </w:rPr>
                  </w:pPr>
                  <w:r>
                    <w:rPr>
                      <w:sz w:val="21"/>
                      <w:szCs w:val="21"/>
                    </w:rPr>
                    <w:t>38</w:t>
                  </w:r>
                </w:p>
              </w:tc>
              <w:tc>
                <w:tcPr>
                  <w:tcW w:w="1997" w:type="pct"/>
                  <w:vAlign w:val="center"/>
                </w:tcPr>
                <w:p w14:paraId="29D14C8D">
                  <w:pPr>
                    <w:adjustRightInd w:val="0"/>
                    <w:snapToGrid w:val="0"/>
                    <w:spacing w:line="240" w:lineRule="auto"/>
                    <w:ind w:firstLine="0" w:firstLineChars="0"/>
                    <w:jc w:val="center"/>
                    <w:rPr>
                      <w:sz w:val="21"/>
                      <w:szCs w:val="21"/>
                    </w:rPr>
                  </w:pPr>
                  <w:r>
                    <w:rPr>
                      <w:rFonts w:hint="eastAsia"/>
                      <w:sz w:val="21"/>
                      <w:szCs w:val="21"/>
                    </w:rPr>
                    <w:t>苯并</w:t>
                  </w:r>
                  <w:r>
                    <w:rPr>
                      <w:sz w:val="21"/>
                      <w:szCs w:val="21"/>
                    </w:rPr>
                    <w:t>[a]</w:t>
                  </w:r>
                  <w:r>
                    <w:rPr>
                      <w:rFonts w:hint="eastAsia"/>
                      <w:sz w:val="21"/>
                      <w:szCs w:val="21"/>
                    </w:rPr>
                    <w:t>蒽</w:t>
                  </w:r>
                </w:p>
              </w:tc>
              <w:tc>
                <w:tcPr>
                  <w:tcW w:w="965" w:type="pct"/>
                  <w:vAlign w:val="center"/>
                </w:tcPr>
                <w:p w14:paraId="6553F4FA">
                  <w:pPr>
                    <w:adjustRightInd w:val="0"/>
                    <w:snapToGrid w:val="0"/>
                    <w:spacing w:line="240" w:lineRule="auto"/>
                    <w:ind w:firstLine="0" w:firstLineChars="0"/>
                    <w:jc w:val="center"/>
                    <w:rPr>
                      <w:sz w:val="21"/>
                      <w:szCs w:val="21"/>
                    </w:rPr>
                  </w:pPr>
                  <w:r>
                    <w:rPr>
                      <w:sz w:val="21"/>
                      <w:szCs w:val="21"/>
                    </w:rPr>
                    <w:t>55</w:t>
                  </w:r>
                </w:p>
              </w:tc>
              <w:tc>
                <w:tcPr>
                  <w:tcW w:w="1119" w:type="pct"/>
                  <w:vAlign w:val="center"/>
                </w:tcPr>
                <w:p w14:paraId="47608301">
                  <w:pPr>
                    <w:adjustRightInd w:val="0"/>
                    <w:snapToGrid w:val="0"/>
                    <w:spacing w:line="240" w:lineRule="auto"/>
                    <w:ind w:firstLine="0" w:firstLineChars="0"/>
                    <w:jc w:val="center"/>
                    <w:rPr>
                      <w:sz w:val="21"/>
                      <w:szCs w:val="21"/>
                    </w:rPr>
                  </w:pPr>
                  <w:r>
                    <w:rPr>
                      <w:sz w:val="21"/>
                      <w:szCs w:val="21"/>
                    </w:rPr>
                    <w:t>151</w:t>
                  </w:r>
                </w:p>
              </w:tc>
            </w:tr>
            <w:tr w14:paraId="7741D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19" w:type="pct"/>
                  <w:vAlign w:val="center"/>
                </w:tcPr>
                <w:p w14:paraId="0FC98DDB">
                  <w:pPr>
                    <w:adjustRightInd w:val="0"/>
                    <w:snapToGrid w:val="0"/>
                    <w:spacing w:line="240" w:lineRule="auto"/>
                    <w:ind w:firstLine="0" w:firstLineChars="0"/>
                    <w:jc w:val="center"/>
                    <w:rPr>
                      <w:sz w:val="21"/>
                      <w:szCs w:val="21"/>
                    </w:rPr>
                  </w:pPr>
                  <w:r>
                    <w:rPr>
                      <w:sz w:val="21"/>
                      <w:szCs w:val="21"/>
                    </w:rPr>
                    <w:t>39</w:t>
                  </w:r>
                </w:p>
              </w:tc>
              <w:tc>
                <w:tcPr>
                  <w:tcW w:w="1997" w:type="pct"/>
                  <w:vAlign w:val="center"/>
                </w:tcPr>
                <w:p w14:paraId="5BB5B398">
                  <w:pPr>
                    <w:adjustRightInd w:val="0"/>
                    <w:snapToGrid w:val="0"/>
                    <w:spacing w:line="240" w:lineRule="auto"/>
                    <w:ind w:firstLine="0" w:firstLineChars="0"/>
                    <w:jc w:val="center"/>
                    <w:rPr>
                      <w:sz w:val="21"/>
                      <w:szCs w:val="21"/>
                    </w:rPr>
                  </w:pPr>
                  <w:r>
                    <w:rPr>
                      <w:rFonts w:hint="eastAsia"/>
                      <w:sz w:val="21"/>
                      <w:szCs w:val="21"/>
                    </w:rPr>
                    <w:t>苯并</w:t>
                  </w:r>
                  <w:r>
                    <w:rPr>
                      <w:sz w:val="21"/>
                      <w:szCs w:val="21"/>
                    </w:rPr>
                    <w:t>[a]</w:t>
                  </w:r>
                  <w:r>
                    <w:rPr>
                      <w:rFonts w:hint="eastAsia"/>
                      <w:sz w:val="21"/>
                      <w:szCs w:val="21"/>
                    </w:rPr>
                    <w:t>芘</w:t>
                  </w:r>
                </w:p>
              </w:tc>
              <w:tc>
                <w:tcPr>
                  <w:tcW w:w="965" w:type="pct"/>
                  <w:vAlign w:val="center"/>
                </w:tcPr>
                <w:p w14:paraId="785B9E5A">
                  <w:pPr>
                    <w:adjustRightInd w:val="0"/>
                    <w:snapToGrid w:val="0"/>
                    <w:spacing w:line="240" w:lineRule="auto"/>
                    <w:ind w:firstLine="0" w:firstLineChars="0"/>
                    <w:jc w:val="center"/>
                    <w:rPr>
                      <w:sz w:val="21"/>
                      <w:szCs w:val="21"/>
                    </w:rPr>
                  </w:pPr>
                  <w:r>
                    <w:rPr>
                      <w:sz w:val="21"/>
                      <w:szCs w:val="21"/>
                    </w:rPr>
                    <w:t>5.5</w:t>
                  </w:r>
                </w:p>
              </w:tc>
              <w:tc>
                <w:tcPr>
                  <w:tcW w:w="1119" w:type="pct"/>
                  <w:vAlign w:val="center"/>
                </w:tcPr>
                <w:p w14:paraId="5B545E6A">
                  <w:pPr>
                    <w:adjustRightInd w:val="0"/>
                    <w:snapToGrid w:val="0"/>
                    <w:spacing w:line="240" w:lineRule="auto"/>
                    <w:ind w:firstLine="0" w:firstLineChars="0"/>
                    <w:jc w:val="center"/>
                    <w:rPr>
                      <w:sz w:val="21"/>
                      <w:szCs w:val="21"/>
                    </w:rPr>
                  </w:pPr>
                  <w:r>
                    <w:rPr>
                      <w:sz w:val="21"/>
                      <w:szCs w:val="21"/>
                    </w:rPr>
                    <w:t>15</w:t>
                  </w:r>
                </w:p>
              </w:tc>
            </w:tr>
            <w:tr w14:paraId="7F060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54AE4FC8">
                  <w:pPr>
                    <w:adjustRightInd w:val="0"/>
                    <w:snapToGrid w:val="0"/>
                    <w:spacing w:line="240" w:lineRule="auto"/>
                    <w:ind w:firstLine="0" w:firstLineChars="0"/>
                    <w:jc w:val="center"/>
                    <w:rPr>
                      <w:sz w:val="21"/>
                      <w:szCs w:val="21"/>
                    </w:rPr>
                  </w:pPr>
                  <w:r>
                    <w:rPr>
                      <w:sz w:val="21"/>
                      <w:szCs w:val="21"/>
                    </w:rPr>
                    <w:t>40</w:t>
                  </w:r>
                </w:p>
              </w:tc>
              <w:tc>
                <w:tcPr>
                  <w:tcW w:w="1997" w:type="pct"/>
                  <w:vAlign w:val="center"/>
                </w:tcPr>
                <w:p w14:paraId="5D7AC732">
                  <w:pPr>
                    <w:adjustRightInd w:val="0"/>
                    <w:snapToGrid w:val="0"/>
                    <w:spacing w:line="240" w:lineRule="auto"/>
                    <w:ind w:firstLine="0" w:firstLineChars="0"/>
                    <w:jc w:val="center"/>
                    <w:rPr>
                      <w:sz w:val="21"/>
                      <w:szCs w:val="21"/>
                    </w:rPr>
                  </w:pPr>
                  <w:r>
                    <w:rPr>
                      <w:rFonts w:hint="eastAsia"/>
                      <w:sz w:val="21"/>
                      <w:szCs w:val="21"/>
                    </w:rPr>
                    <w:t>苯并</w:t>
                  </w:r>
                  <w:r>
                    <w:rPr>
                      <w:sz w:val="21"/>
                      <w:szCs w:val="21"/>
                    </w:rPr>
                    <w:t>[b]</w:t>
                  </w:r>
                  <w:r>
                    <w:rPr>
                      <w:rFonts w:hint="eastAsia"/>
                      <w:sz w:val="21"/>
                      <w:szCs w:val="21"/>
                    </w:rPr>
                    <w:t>荧蒽</w:t>
                  </w:r>
                </w:p>
              </w:tc>
              <w:tc>
                <w:tcPr>
                  <w:tcW w:w="965" w:type="pct"/>
                  <w:vAlign w:val="center"/>
                </w:tcPr>
                <w:p w14:paraId="0282E049">
                  <w:pPr>
                    <w:adjustRightInd w:val="0"/>
                    <w:snapToGrid w:val="0"/>
                    <w:spacing w:line="240" w:lineRule="auto"/>
                    <w:ind w:firstLine="0" w:firstLineChars="0"/>
                    <w:jc w:val="center"/>
                    <w:rPr>
                      <w:sz w:val="21"/>
                      <w:szCs w:val="21"/>
                    </w:rPr>
                  </w:pPr>
                  <w:r>
                    <w:rPr>
                      <w:sz w:val="21"/>
                      <w:szCs w:val="21"/>
                    </w:rPr>
                    <w:t>55</w:t>
                  </w:r>
                </w:p>
              </w:tc>
              <w:tc>
                <w:tcPr>
                  <w:tcW w:w="1119" w:type="pct"/>
                  <w:vAlign w:val="center"/>
                </w:tcPr>
                <w:p w14:paraId="0FB4A56C">
                  <w:pPr>
                    <w:adjustRightInd w:val="0"/>
                    <w:snapToGrid w:val="0"/>
                    <w:spacing w:line="240" w:lineRule="auto"/>
                    <w:ind w:firstLine="0" w:firstLineChars="0"/>
                    <w:jc w:val="center"/>
                    <w:rPr>
                      <w:sz w:val="21"/>
                      <w:szCs w:val="21"/>
                    </w:rPr>
                  </w:pPr>
                  <w:r>
                    <w:rPr>
                      <w:sz w:val="21"/>
                      <w:szCs w:val="21"/>
                    </w:rPr>
                    <w:t>151</w:t>
                  </w:r>
                </w:p>
              </w:tc>
            </w:tr>
            <w:tr w14:paraId="7F659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096C6180">
                  <w:pPr>
                    <w:adjustRightInd w:val="0"/>
                    <w:snapToGrid w:val="0"/>
                    <w:spacing w:line="240" w:lineRule="auto"/>
                    <w:ind w:firstLine="0" w:firstLineChars="0"/>
                    <w:jc w:val="center"/>
                    <w:rPr>
                      <w:sz w:val="21"/>
                      <w:szCs w:val="21"/>
                    </w:rPr>
                  </w:pPr>
                  <w:r>
                    <w:rPr>
                      <w:sz w:val="21"/>
                      <w:szCs w:val="21"/>
                    </w:rPr>
                    <w:t>41</w:t>
                  </w:r>
                </w:p>
              </w:tc>
              <w:tc>
                <w:tcPr>
                  <w:tcW w:w="1997" w:type="pct"/>
                  <w:vAlign w:val="center"/>
                </w:tcPr>
                <w:p w14:paraId="5E1ADD6B">
                  <w:pPr>
                    <w:adjustRightInd w:val="0"/>
                    <w:snapToGrid w:val="0"/>
                    <w:spacing w:line="240" w:lineRule="auto"/>
                    <w:ind w:firstLine="0" w:firstLineChars="0"/>
                    <w:jc w:val="center"/>
                    <w:rPr>
                      <w:sz w:val="21"/>
                      <w:szCs w:val="21"/>
                    </w:rPr>
                  </w:pPr>
                  <w:r>
                    <w:rPr>
                      <w:rFonts w:hint="eastAsia"/>
                      <w:sz w:val="21"/>
                      <w:szCs w:val="21"/>
                    </w:rPr>
                    <w:t>苯并</w:t>
                  </w:r>
                  <w:r>
                    <w:rPr>
                      <w:sz w:val="21"/>
                      <w:szCs w:val="21"/>
                    </w:rPr>
                    <w:t>[k]</w:t>
                  </w:r>
                  <w:r>
                    <w:rPr>
                      <w:rFonts w:hint="eastAsia"/>
                      <w:sz w:val="21"/>
                      <w:szCs w:val="21"/>
                    </w:rPr>
                    <w:t>荧蒽</w:t>
                  </w:r>
                </w:p>
              </w:tc>
              <w:tc>
                <w:tcPr>
                  <w:tcW w:w="965" w:type="pct"/>
                  <w:vAlign w:val="center"/>
                </w:tcPr>
                <w:p w14:paraId="69AEA63B">
                  <w:pPr>
                    <w:adjustRightInd w:val="0"/>
                    <w:snapToGrid w:val="0"/>
                    <w:spacing w:line="240" w:lineRule="auto"/>
                    <w:ind w:firstLine="0" w:firstLineChars="0"/>
                    <w:jc w:val="center"/>
                    <w:rPr>
                      <w:sz w:val="21"/>
                      <w:szCs w:val="21"/>
                    </w:rPr>
                  </w:pPr>
                  <w:r>
                    <w:rPr>
                      <w:sz w:val="21"/>
                      <w:szCs w:val="21"/>
                    </w:rPr>
                    <w:t>550</w:t>
                  </w:r>
                </w:p>
              </w:tc>
              <w:tc>
                <w:tcPr>
                  <w:tcW w:w="1119" w:type="pct"/>
                  <w:vAlign w:val="center"/>
                </w:tcPr>
                <w:p w14:paraId="26AD63DC">
                  <w:pPr>
                    <w:adjustRightInd w:val="0"/>
                    <w:snapToGrid w:val="0"/>
                    <w:spacing w:line="240" w:lineRule="auto"/>
                    <w:ind w:firstLine="0" w:firstLineChars="0"/>
                    <w:jc w:val="center"/>
                    <w:rPr>
                      <w:sz w:val="21"/>
                      <w:szCs w:val="21"/>
                    </w:rPr>
                  </w:pPr>
                  <w:r>
                    <w:rPr>
                      <w:sz w:val="21"/>
                      <w:szCs w:val="21"/>
                    </w:rPr>
                    <w:t>1500</w:t>
                  </w:r>
                </w:p>
              </w:tc>
            </w:tr>
            <w:tr w14:paraId="3AA60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598A25F9">
                  <w:pPr>
                    <w:adjustRightInd w:val="0"/>
                    <w:snapToGrid w:val="0"/>
                    <w:spacing w:line="240" w:lineRule="auto"/>
                    <w:ind w:firstLine="0" w:firstLineChars="0"/>
                    <w:jc w:val="center"/>
                    <w:rPr>
                      <w:sz w:val="21"/>
                      <w:szCs w:val="21"/>
                    </w:rPr>
                  </w:pPr>
                  <w:r>
                    <w:rPr>
                      <w:sz w:val="21"/>
                      <w:szCs w:val="21"/>
                    </w:rPr>
                    <w:t>42</w:t>
                  </w:r>
                </w:p>
              </w:tc>
              <w:tc>
                <w:tcPr>
                  <w:tcW w:w="1997" w:type="pct"/>
                  <w:vAlign w:val="center"/>
                </w:tcPr>
                <w:p w14:paraId="6E23307B">
                  <w:pPr>
                    <w:adjustRightInd w:val="0"/>
                    <w:snapToGrid w:val="0"/>
                    <w:spacing w:line="240" w:lineRule="auto"/>
                    <w:ind w:firstLine="0" w:firstLineChars="0"/>
                    <w:jc w:val="center"/>
                    <w:rPr>
                      <w:sz w:val="21"/>
                      <w:szCs w:val="21"/>
                    </w:rPr>
                  </w:pPr>
                  <w:r>
                    <w:rPr>
                      <w:rFonts w:hint="eastAsia"/>
                      <w:sz w:val="21"/>
                      <w:szCs w:val="21"/>
                    </w:rPr>
                    <w:t>䓛</w:t>
                  </w:r>
                </w:p>
              </w:tc>
              <w:tc>
                <w:tcPr>
                  <w:tcW w:w="965" w:type="pct"/>
                  <w:vAlign w:val="center"/>
                </w:tcPr>
                <w:p w14:paraId="0BA174B6">
                  <w:pPr>
                    <w:adjustRightInd w:val="0"/>
                    <w:snapToGrid w:val="0"/>
                    <w:spacing w:line="240" w:lineRule="auto"/>
                    <w:ind w:firstLine="0" w:firstLineChars="0"/>
                    <w:jc w:val="center"/>
                    <w:rPr>
                      <w:sz w:val="21"/>
                      <w:szCs w:val="21"/>
                    </w:rPr>
                  </w:pPr>
                  <w:r>
                    <w:rPr>
                      <w:sz w:val="21"/>
                      <w:szCs w:val="21"/>
                    </w:rPr>
                    <w:t>4900</w:t>
                  </w:r>
                </w:p>
              </w:tc>
              <w:tc>
                <w:tcPr>
                  <w:tcW w:w="1119" w:type="pct"/>
                  <w:vAlign w:val="center"/>
                </w:tcPr>
                <w:p w14:paraId="687734BC">
                  <w:pPr>
                    <w:adjustRightInd w:val="0"/>
                    <w:snapToGrid w:val="0"/>
                    <w:spacing w:line="240" w:lineRule="auto"/>
                    <w:ind w:firstLine="0" w:firstLineChars="0"/>
                    <w:jc w:val="center"/>
                    <w:rPr>
                      <w:sz w:val="21"/>
                      <w:szCs w:val="21"/>
                    </w:rPr>
                  </w:pPr>
                  <w:r>
                    <w:rPr>
                      <w:sz w:val="21"/>
                      <w:szCs w:val="21"/>
                    </w:rPr>
                    <w:t>12900</w:t>
                  </w:r>
                </w:p>
              </w:tc>
            </w:tr>
            <w:tr w14:paraId="04D19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5111E35C">
                  <w:pPr>
                    <w:adjustRightInd w:val="0"/>
                    <w:snapToGrid w:val="0"/>
                    <w:spacing w:line="240" w:lineRule="auto"/>
                    <w:ind w:firstLine="0" w:firstLineChars="0"/>
                    <w:jc w:val="center"/>
                    <w:rPr>
                      <w:sz w:val="21"/>
                      <w:szCs w:val="21"/>
                    </w:rPr>
                  </w:pPr>
                  <w:r>
                    <w:rPr>
                      <w:sz w:val="21"/>
                      <w:szCs w:val="21"/>
                    </w:rPr>
                    <w:t>43</w:t>
                  </w:r>
                </w:p>
              </w:tc>
              <w:tc>
                <w:tcPr>
                  <w:tcW w:w="1997" w:type="pct"/>
                  <w:vAlign w:val="center"/>
                </w:tcPr>
                <w:p w14:paraId="1CBC2B1E">
                  <w:pPr>
                    <w:adjustRightInd w:val="0"/>
                    <w:snapToGrid w:val="0"/>
                    <w:spacing w:line="240" w:lineRule="auto"/>
                    <w:ind w:firstLine="0" w:firstLineChars="0"/>
                    <w:jc w:val="center"/>
                    <w:rPr>
                      <w:sz w:val="21"/>
                      <w:szCs w:val="21"/>
                    </w:rPr>
                  </w:pPr>
                  <w:r>
                    <w:rPr>
                      <w:rFonts w:hint="eastAsia"/>
                      <w:sz w:val="21"/>
                      <w:szCs w:val="21"/>
                    </w:rPr>
                    <w:t>二苯并</w:t>
                  </w:r>
                  <w:r>
                    <w:rPr>
                      <w:sz w:val="21"/>
                      <w:szCs w:val="21"/>
                    </w:rPr>
                    <w:t>[a,h]</w:t>
                  </w:r>
                  <w:r>
                    <w:rPr>
                      <w:rFonts w:hint="eastAsia"/>
                      <w:sz w:val="21"/>
                      <w:szCs w:val="21"/>
                    </w:rPr>
                    <w:t>蒽</w:t>
                  </w:r>
                </w:p>
              </w:tc>
              <w:tc>
                <w:tcPr>
                  <w:tcW w:w="965" w:type="pct"/>
                  <w:vAlign w:val="center"/>
                </w:tcPr>
                <w:p w14:paraId="7192FE2B">
                  <w:pPr>
                    <w:adjustRightInd w:val="0"/>
                    <w:snapToGrid w:val="0"/>
                    <w:spacing w:line="240" w:lineRule="auto"/>
                    <w:ind w:firstLine="0" w:firstLineChars="0"/>
                    <w:jc w:val="center"/>
                    <w:rPr>
                      <w:sz w:val="21"/>
                      <w:szCs w:val="21"/>
                    </w:rPr>
                  </w:pPr>
                  <w:r>
                    <w:rPr>
                      <w:sz w:val="21"/>
                      <w:szCs w:val="21"/>
                    </w:rPr>
                    <w:t>5.5</w:t>
                  </w:r>
                </w:p>
              </w:tc>
              <w:tc>
                <w:tcPr>
                  <w:tcW w:w="1119" w:type="pct"/>
                  <w:vAlign w:val="center"/>
                </w:tcPr>
                <w:p w14:paraId="52187D3E">
                  <w:pPr>
                    <w:adjustRightInd w:val="0"/>
                    <w:snapToGrid w:val="0"/>
                    <w:spacing w:line="240" w:lineRule="auto"/>
                    <w:ind w:firstLine="0" w:firstLineChars="0"/>
                    <w:jc w:val="center"/>
                    <w:rPr>
                      <w:sz w:val="21"/>
                      <w:szCs w:val="21"/>
                    </w:rPr>
                  </w:pPr>
                  <w:r>
                    <w:rPr>
                      <w:sz w:val="21"/>
                      <w:szCs w:val="21"/>
                    </w:rPr>
                    <w:t>15</w:t>
                  </w:r>
                </w:p>
              </w:tc>
            </w:tr>
            <w:tr w14:paraId="7724E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3F377C86">
                  <w:pPr>
                    <w:adjustRightInd w:val="0"/>
                    <w:snapToGrid w:val="0"/>
                    <w:spacing w:line="240" w:lineRule="auto"/>
                    <w:ind w:firstLine="0" w:firstLineChars="0"/>
                    <w:jc w:val="center"/>
                    <w:rPr>
                      <w:sz w:val="21"/>
                      <w:szCs w:val="21"/>
                    </w:rPr>
                  </w:pPr>
                  <w:r>
                    <w:rPr>
                      <w:sz w:val="21"/>
                      <w:szCs w:val="21"/>
                    </w:rPr>
                    <w:t>44</w:t>
                  </w:r>
                </w:p>
              </w:tc>
              <w:tc>
                <w:tcPr>
                  <w:tcW w:w="1997" w:type="pct"/>
                  <w:vAlign w:val="center"/>
                </w:tcPr>
                <w:p w14:paraId="05A00717">
                  <w:pPr>
                    <w:adjustRightInd w:val="0"/>
                    <w:snapToGrid w:val="0"/>
                    <w:spacing w:line="240" w:lineRule="auto"/>
                    <w:ind w:firstLine="0" w:firstLineChars="0"/>
                    <w:jc w:val="center"/>
                    <w:rPr>
                      <w:sz w:val="21"/>
                      <w:szCs w:val="21"/>
                    </w:rPr>
                  </w:pPr>
                  <w:r>
                    <w:rPr>
                      <w:rFonts w:hint="eastAsia"/>
                      <w:sz w:val="21"/>
                      <w:szCs w:val="21"/>
                    </w:rPr>
                    <w:t>茚并</w:t>
                  </w:r>
                  <w:r>
                    <w:rPr>
                      <w:sz w:val="21"/>
                      <w:szCs w:val="21"/>
                    </w:rPr>
                    <w:t>[1,2,3-cd]</w:t>
                  </w:r>
                  <w:r>
                    <w:rPr>
                      <w:rFonts w:hint="eastAsia"/>
                      <w:sz w:val="21"/>
                      <w:szCs w:val="21"/>
                    </w:rPr>
                    <w:t>芘</w:t>
                  </w:r>
                </w:p>
              </w:tc>
              <w:tc>
                <w:tcPr>
                  <w:tcW w:w="965" w:type="pct"/>
                  <w:vAlign w:val="center"/>
                </w:tcPr>
                <w:p w14:paraId="0745AF22">
                  <w:pPr>
                    <w:adjustRightInd w:val="0"/>
                    <w:snapToGrid w:val="0"/>
                    <w:spacing w:line="240" w:lineRule="auto"/>
                    <w:ind w:firstLine="0" w:firstLineChars="0"/>
                    <w:jc w:val="center"/>
                    <w:rPr>
                      <w:sz w:val="21"/>
                      <w:szCs w:val="21"/>
                    </w:rPr>
                  </w:pPr>
                  <w:r>
                    <w:rPr>
                      <w:sz w:val="21"/>
                      <w:szCs w:val="21"/>
                    </w:rPr>
                    <w:t>55</w:t>
                  </w:r>
                </w:p>
              </w:tc>
              <w:tc>
                <w:tcPr>
                  <w:tcW w:w="1119" w:type="pct"/>
                  <w:vAlign w:val="center"/>
                </w:tcPr>
                <w:p w14:paraId="291DD6AB">
                  <w:pPr>
                    <w:adjustRightInd w:val="0"/>
                    <w:snapToGrid w:val="0"/>
                    <w:spacing w:line="240" w:lineRule="auto"/>
                    <w:ind w:firstLine="0" w:firstLineChars="0"/>
                    <w:jc w:val="center"/>
                    <w:rPr>
                      <w:sz w:val="21"/>
                      <w:szCs w:val="21"/>
                    </w:rPr>
                  </w:pPr>
                  <w:r>
                    <w:rPr>
                      <w:sz w:val="21"/>
                      <w:szCs w:val="21"/>
                    </w:rPr>
                    <w:t>151</w:t>
                  </w:r>
                </w:p>
              </w:tc>
            </w:tr>
            <w:tr w14:paraId="1C2F2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2DAF114F">
                  <w:pPr>
                    <w:adjustRightInd w:val="0"/>
                    <w:snapToGrid w:val="0"/>
                    <w:spacing w:line="240" w:lineRule="auto"/>
                    <w:ind w:firstLine="0" w:firstLineChars="0"/>
                    <w:jc w:val="center"/>
                    <w:rPr>
                      <w:sz w:val="21"/>
                      <w:szCs w:val="21"/>
                    </w:rPr>
                  </w:pPr>
                  <w:r>
                    <w:rPr>
                      <w:sz w:val="21"/>
                      <w:szCs w:val="21"/>
                    </w:rPr>
                    <w:t>45</w:t>
                  </w:r>
                </w:p>
              </w:tc>
              <w:tc>
                <w:tcPr>
                  <w:tcW w:w="1997" w:type="pct"/>
                  <w:vAlign w:val="center"/>
                </w:tcPr>
                <w:p w14:paraId="7390E6D7">
                  <w:pPr>
                    <w:adjustRightInd w:val="0"/>
                    <w:snapToGrid w:val="0"/>
                    <w:spacing w:line="240" w:lineRule="auto"/>
                    <w:ind w:firstLine="0" w:firstLineChars="0"/>
                    <w:jc w:val="center"/>
                    <w:rPr>
                      <w:sz w:val="21"/>
                      <w:szCs w:val="21"/>
                    </w:rPr>
                  </w:pPr>
                  <w:r>
                    <w:rPr>
                      <w:rFonts w:hint="eastAsia"/>
                      <w:sz w:val="21"/>
                      <w:szCs w:val="21"/>
                    </w:rPr>
                    <w:t>萘</w:t>
                  </w:r>
                </w:p>
              </w:tc>
              <w:tc>
                <w:tcPr>
                  <w:tcW w:w="965" w:type="pct"/>
                  <w:vAlign w:val="center"/>
                </w:tcPr>
                <w:p w14:paraId="68B6E292">
                  <w:pPr>
                    <w:adjustRightInd w:val="0"/>
                    <w:snapToGrid w:val="0"/>
                    <w:spacing w:line="240" w:lineRule="auto"/>
                    <w:ind w:firstLine="0" w:firstLineChars="0"/>
                    <w:jc w:val="center"/>
                    <w:rPr>
                      <w:sz w:val="21"/>
                      <w:szCs w:val="21"/>
                    </w:rPr>
                  </w:pPr>
                  <w:r>
                    <w:rPr>
                      <w:sz w:val="21"/>
                      <w:szCs w:val="21"/>
                    </w:rPr>
                    <w:t>255</w:t>
                  </w:r>
                </w:p>
              </w:tc>
              <w:tc>
                <w:tcPr>
                  <w:tcW w:w="1119" w:type="pct"/>
                  <w:vAlign w:val="center"/>
                </w:tcPr>
                <w:p w14:paraId="2C289BC5">
                  <w:pPr>
                    <w:adjustRightInd w:val="0"/>
                    <w:snapToGrid w:val="0"/>
                    <w:spacing w:line="240" w:lineRule="auto"/>
                    <w:ind w:firstLine="0" w:firstLineChars="0"/>
                    <w:jc w:val="center"/>
                    <w:rPr>
                      <w:sz w:val="21"/>
                      <w:szCs w:val="21"/>
                    </w:rPr>
                  </w:pPr>
                  <w:r>
                    <w:rPr>
                      <w:sz w:val="21"/>
                      <w:szCs w:val="21"/>
                    </w:rPr>
                    <w:t>700</w:t>
                  </w:r>
                </w:p>
              </w:tc>
            </w:tr>
            <w:tr w14:paraId="294FD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gridSpan w:val="4"/>
                  <w:vAlign w:val="center"/>
                </w:tcPr>
                <w:p w14:paraId="0CF82554">
                  <w:pPr>
                    <w:adjustRightInd w:val="0"/>
                    <w:snapToGrid w:val="0"/>
                    <w:spacing w:line="240" w:lineRule="auto"/>
                    <w:ind w:firstLine="0" w:firstLineChars="0"/>
                    <w:jc w:val="center"/>
                    <w:rPr>
                      <w:sz w:val="21"/>
                      <w:szCs w:val="21"/>
                    </w:rPr>
                  </w:pPr>
                  <w:r>
                    <w:rPr>
                      <w:rFonts w:hint="eastAsia"/>
                      <w:sz w:val="21"/>
                      <w:szCs w:val="21"/>
                    </w:rPr>
                    <w:t>其他</w:t>
                  </w:r>
                </w:p>
              </w:tc>
            </w:tr>
            <w:tr w14:paraId="5AF77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19" w:type="pct"/>
                  <w:vAlign w:val="center"/>
                </w:tcPr>
                <w:p w14:paraId="68EB35D0">
                  <w:pPr>
                    <w:adjustRightInd w:val="0"/>
                    <w:snapToGrid w:val="0"/>
                    <w:spacing w:line="240" w:lineRule="auto"/>
                    <w:ind w:firstLine="0" w:firstLineChars="0"/>
                    <w:jc w:val="center"/>
                    <w:rPr>
                      <w:sz w:val="21"/>
                      <w:szCs w:val="21"/>
                    </w:rPr>
                  </w:pPr>
                  <w:r>
                    <w:rPr>
                      <w:sz w:val="21"/>
                      <w:szCs w:val="21"/>
                    </w:rPr>
                    <w:t>46</w:t>
                  </w:r>
                </w:p>
              </w:tc>
              <w:tc>
                <w:tcPr>
                  <w:tcW w:w="1997" w:type="pct"/>
                  <w:vAlign w:val="center"/>
                </w:tcPr>
                <w:p w14:paraId="2054B9F8">
                  <w:pPr>
                    <w:adjustRightInd w:val="0"/>
                    <w:snapToGrid w:val="0"/>
                    <w:spacing w:line="240" w:lineRule="auto"/>
                    <w:ind w:firstLine="0" w:firstLineChars="0"/>
                    <w:jc w:val="center"/>
                    <w:rPr>
                      <w:sz w:val="21"/>
                      <w:szCs w:val="21"/>
                    </w:rPr>
                  </w:pPr>
                  <w:r>
                    <w:rPr>
                      <w:rFonts w:hint="eastAsia"/>
                      <w:sz w:val="21"/>
                      <w:szCs w:val="21"/>
                    </w:rPr>
                    <w:t>总石油烃</w:t>
                  </w:r>
                </w:p>
              </w:tc>
              <w:tc>
                <w:tcPr>
                  <w:tcW w:w="965" w:type="pct"/>
                  <w:vAlign w:val="center"/>
                </w:tcPr>
                <w:p w14:paraId="0D589D8B">
                  <w:pPr>
                    <w:adjustRightInd w:val="0"/>
                    <w:snapToGrid w:val="0"/>
                    <w:spacing w:line="240" w:lineRule="auto"/>
                    <w:ind w:firstLine="0" w:firstLineChars="0"/>
                    <w:jc w:val="center"/>
                    <w:rPr>
                      <w:sz w:val="21"/>
                      <w:szCs w:val="21"/>
                    </w:rPr>
                  </w:pPr>
                  <w:r>
                    <w:rPr>
                      <w:sz w:val="21"/>
                      <w:szCs w:val="21"/>
                    </w:rPr>
                    <w:t>4500</w:t>
                  </w:r>
                </w:p>
              </w:tc>
              <w:tc>
                <w:tcPr>
                  <w:tcW w:w="1119" w:type="pct"/>
                  <w:vAlign w:val="center"/>
                </w:tcPr>
                <w:p w14:paraId="306720CC">
                  <w:pPr>
                    <w:adjustRightInd w:val="0"/>
                    <w:snapToGrid w:val="0"/>
                    <w:spacing w:line="240" w:lineRule="auto"/>
                    <w:ind w:firstLine="0" w:firstLineChars="0"/>
                    <w:jc w:val="center"/>
                    <w:rPr>
                      <w:sz w:val="21"/>
                      <w:szCs w:val="21"/>
                    </w:rPr>
                  </w:pPr>
                  <w:r>
                    <w:rPr>
                      <w:sz w:val="21"/>
                      <w:szCs w:val="21"/>
                    </w:rPr>
                    <w:t>9000</w:t>
                  </w:r>
                </w:p>
              </w:tc>
            </w:tr>
          </w:tbl>
          <w:p w14:paraId="38FA44E2">
            <w:pPr>
              <w:pStyle w:val="97"/>
              <w:snapToGrid w:val="0"/>
              <w:spacing w:before="120" w:beforeLines="50" w:after="120" w:afterLines="50" w:line="360" w:lineRule="auto"/>
              <w:ind w:firstLine="0"/>
              <w:outlineLvl w:val="1"/>
              <w:rPr>
                <w:rFonts w:eastAsia="宋体"/>
                <w:b/>
                <w:spacing w:val="8"/>
                <w:kern w:val="2"/>
                <w:szCs w:val="28"/>
                <w:lang w:val="en-US" w:eastAsia="zh-CN"/>
              </w:rPr>
            </w:pPr>
            <w:r>
              <w:rPr>
                <w:rFonts w:eastAsia="宋体"/>
                <w:b/>
                <w:spacing w:val="8"/>
                <w:kern w:val="2"/>
                <w:szCs w:val="28"/>
                <w:lang w:val="en-US" w:eastAsia="zh-CN"/>
              </w:rPr>
              <w:t>3.2区域环境质量现状</w:t>
            </w:r>
          </w:p>
          <w:p w14:paraId="355AE978">
            <w:pPr>
              <w:adjustRightInd w:val="0"/>
              <w:snapToGrid w:val="0"/>
              <w:ind w:firstLine="0" w:firstLineChars="0"/>
              <w:outlineLvl w:val="2"/>
              <w:rPr>
                <w:b/>
                <w:bCs/>
              </w:rPr>
            </w:pPr>
            <w:r>
              <w:rPr>
                <w:b/>
                <w:bCs/>
              </w:rPr>
              <w:t>3.2.1大气环境质量现状</w:t>
            </w:r>
          </w:p>
          <w:p w14:paraId="56B00747">
            <w:pPr>
              <w:ind w:firstLine="480"/>
              <w:rPr>
                <w:szCs w:val="22"/>
              </w:rPr>
            </w:pPr>
            <w:r>
              <w:rPr>
                <w:szCs w:val="22"/>
              </w:rPr>
              <w:t>（1）区域空气质量达标区判定</w:t>
            </w:r>
          </w:p>
          <w:p w14:paraId="1207F1BE">
            <w:pPr>
              <w:ind w:firstLine="480"/>
              <w:rPr>
                <w:lang w:val="zh-CN"/>
              </w:rPr>
            </w:pPr>
            <w:r>
              <w:rPr>
                <w:lang w:val="zh-CN"/>
              </w:rPr>
              <w:t>根据《环境影响评价技术导则大气环境》（HJ2.2-2018）要求，城市环境空气质量达标情况评价指标为SO</w:t>
            </w:r>
            <w:r>
              <w:rPr>
                <w:vertAlign w:val="subscript"/>
                <w:lang w:val="zh-CN"/>
              </w:rPr>
              <w:t>2</w:t>
            </w:r>
            <w:r>
              <w:rPr>
                <w:lang w:val="zh-CN"/>
              </w:rPr>
              <w:t>、</w:t>
            </w:r>
            <w:r>
              <w:rPr>
                <w:rFonts w:hint="eastAsia"/>
                <w:lang w:val="zh-CN"/>
              </w:rPr>
              <w:t>NO</w:t>
            </w:r>
            <w:r>
              <w:rPr>
                <w:vertAlign w:val="subscript"/>
                <w:lang w:val="zh-CN"/>
              </w:rPr>
              <w:t>2</w:t>
            </w:r>
            <w:r>
              <w:rPr>
                <w:lang w:val="zh-CN"/>
              </w:rPr>
              <w:t>、PM</w:t>
            </w:r>
            <w:r>
              <w:rPr>
                <w:vertAlign w:val="subscript"/>
                <w:lang w:val="zh-CN"/>
              </w:rPr>
              <w:t>10</w:t>
            </w:r>
            <w:r>
              <w:rPr>
                <w:lang w:val="zh-CN"/>
              </w:rPr>
              <w:t>、PM</w:t>
            </w:r>
            <w:r>
              <w:rPr>
                <w:vertAlign w:val="subscript"/>
                <w:lang w:val="zh-CN"/>
              </w:rPr>
              <w:t>2.5</w:t>
            </w:r>
            <w:r>
              <w:rPr>
                <w:lang w:val="zh-CN"/>
              </w:rPr>
              <w:t>、CO和O</w:t>
            </w:r>
            <w:r>
              <w:rPr>
                <w:vertAlign w:val="subscript"/>
                <w:lang w:val="zh-CN"/>
              </w:rPr>
              <w:t>3</w:t>
            </w:r>
            <w:r>
              <w:rPr>
                <w:lang w:val="zh-CN"/>
              </w:rPr>
              <w:t>，六项污染物全部达标即为城市环境空气质量达标。项目所在区域达标判定，优先采用国家或地方生态环境主管部门公开公布的评价基准年环境质量公告或环境质量报告中的数据或结论。</w:t>
            </w:r>
          </w:p>
          <w:p w14:paraId="116BFA62">
            <w:pPr>
              <w:pStyle w:val="178"/>
              <w:ind w:firstLine="480"/>
              <w:jc w:val="both"/>
              <w:rPr>
                <w:rFonts w:ascii="Times New Roman" w:hAnsi="Times New Roman"/>
                <w:sz w:val="24"/>
                <w:szCs w:val="24"/>
              </w:rPr>
            </w:pPr>
            <w:r>
              <w:rPr>
                <w:rFonts w:ascii="Times New Roman" w:hAnsi="Times New Roman"/>
                <w:sz w:val="24"/>
                <w:szCs w:val="24"/>
              </w:rPr>
              <w:t>根据福清市发布的</w:t>
            </w:r>
            <w:r>
              <w:rPr>
                <w:rFonts w:hint="eastAsia" w:ascii="Times New Roman" w:hAnsi="Times New Roman"/>
                <w:sz w:val="24"/>
                <w:szCs w:val="24"/>
              </w:rPr>
              <w:t>2025</w:t>
            </w:r>
            <w:r>
              <w:rPr>
                <w:rFonts w:ascii="Times New Roman" w:hAnsi="Times New Roman"/>
                <w:sz w:val="24"/>
                <w:szCs w:val="24"/>
              </w:rPr>
              <w:t>年1月~</w:t>
            </w:r>
            <w:r>
              <w:rPr>
                <w:rFonts w:hint="eastAsia" w:ascii="Times New Roman" w:hAnsi="Times New Roman"/>
                <w:sz w:val="24"/>
                <w:szCs w:val="24"/>
              </w:rPr>
              <w:t>2025</w:t>
            </w:r>
            <w:r>
              <w:rPr>
                <w:rFonts w:ascii="Times New Roman" w:hAnsi="Times New Roman"/>
                <w:sz w:val="24"/>
                <w:szCs w:val="24"/>
              </w:rPr>
              <w:t>年12月份福清市环境空气质量月报，202</w:t>
            </w:r>
            <w:r>
              <w:rPr>
                <w:rFonts w:hint="eastAsia" w:ascii="Times New Roman" w:hAnsi="Times New Roman"/>
                <w:sz w:val="24"/>
                <w:szCs w:val="24"/>
              </w:rPr>
              <w:t>5</w:t>
            </w:r>
            <w:r>
              <w:rPr>
                <w:rFonts w:ascii="Times New Roman" w:hAnsi="Times New Roman"/>
                <w:sz w:val="24"/>
                <w:szCs w:val="24"/>
              </w:rPr>
              <w:t>年连续1年的大气常规因子环境空气质量监测数据如下表3.2-1所示。</w:t>
            </w:r>
          </w:p>
          <w:p w14:paraId="25D6BCFA">
            <w:pPr>
              <w:spacing w:line="240" w:lineRule="auto"/>
              <w:ind w:firstLine="0" w:firstLineChars="0"/>
              <w:jc w:val="center"/>
              <w:rPr>
                <w:b/>
                <w:szCs w:val="20"/>
              </w:rPr>
            </w:pPr>
            <w:r>
              <w:rPr>
                <w:b/>
                <w:szCs w:val="20"/>
              </w:rPr>
              <w:t>表3.2-1空气环境监测统计结果</w:t>
            </w:r>
          </w:p>
          <w:tbl>
            <w:tblPr>
              <w:tblStyle w:val="213"/>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142"/>
              <w:gridCol w:w="1142"/>
              <w:gridCol w:w="1142"/>
              <w:gridCol w:w="1578"/>
              <w:gridCol w:w="1090"/>
              <w:gridCol w:w="1147"/>
            </w:tblGrid>
            <w:tr w14:paraId="32ACF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196A09D">
                  <w:pPr>
                    <w:topLinePunct/>
                    <w:adjustRightInd w:val="0"/>
                    <w:snapToGrid w:val="0"/>
                    <w:spacing w:line="240" w:lineRule="auto"/>
                    <w:ind w:firstLine="0" w:firstLineChars="0"/>
                    <w:jc w:val="center"/>
                    <w:rPr>
                      <w:szCs w:val="21"/>
                    </w:rPr>
                  </w:pPr>
                  <w:r>
                    <w:rPr>
                      <w:sz w:val="21"/>
                      <w:szCs w:val="21"/>
                    </w:rPr>
                    <w:t>时间</w:t>
                  </w:r>
                </w:p>
              </w:tc>
              <w:tc>
                <w:tcPr>
                  <w:tcW w:w="1142" w:type="dxa"/>
                  <w:vAlign w:val="center"/>
                </w:tcPr>
                <w:p w14:paraId="3288A7B1">
                  <w:pPr>
                    <w:topLinePunct/>
                    <w:adjustRightInd w:val="0"/>
                    <w:snapToGrid w:val="0"/>
                    <w:spacing w:line="240" w:lineRule="auto"/>
                    <w:ind w:firstLine="0" w:firstLineChars="0"/>
                    <w:jc w:val="center"/>
                    <w:rPr>
                      <w:szCs w:val="21"/>
                    </w:rPr>
                  </w:pPr>
                  <w:r>
                    <w:rPr>
                      <w:sz w:val="21"/>
                      <w:szCs w:val="21"/>
                    </w:rPr>
                    <w:t>SO</w:t>
                  </w:r>
                  <w:r>
                    <w:rPr>
                      <w:sz w:val="21"/>
                      <w:szCs w:val="21"/>
                      <w:vertAlign w:val="subscript"/>
                    </w:rPr>
                    <w:t>2</w:t>
                  </w:r>
                </w:p>
                <w:p w14:paraId="2604710B">
                  <w:pPr>
                    <w:topLinePunct/>
                    <w:adjustRightInd w:val="0"/>
                    <w:snapToGrid w:val="0"/>
                    <w:spacing w:line="240" w:lineRule="auto"/>
                    <w:ind w:firstLine="0" w:firstLineChars="0"/>
                    <w:jc w:val="center"/>
                    <w:rPr>
                      <w:szCs w:val="21"/>
                    </w:rPr>
                  </w:pPr>
                  <w:r>
                    <w:rPr>
                      <w:sz w:val="21"/>
                      <w:szCs w:val="21"/>
                    </w:rPr>
                    <w:t>（mg/m³）</w:t>
                  </w:r>
                </w:p>
              </w:tc>
              <w:tc>
                <w:tcPr>
                  <w:tcW w:w="1142" w:type="dxa"/>
                  <w:vAlign w:val="center"/>
                </w:tcPr>
                <w:p w14:paraId="420234BB">
                  <w:pPr>
                    <w:topLinePunct/>
                    <w:adjustRightInd w:val="0"/>
                    <w:snapToGrid w:val="0"/>
                    <w:spacing w:line="240" w:lineRule="auto"/>
                    <w:ind w:firstLine="0" w:firstLineChars="0"/>
                    <w:jc w:val="center"/>
                    <w:rPr>
                      <w:szCs w:val="21"/>
                    </w:rPr>
                  </w:pPr>
                  <w:r>
                    <w:rPr>
                      <w:sz w:val="21"/>
                      <w:szCs w:val="21"/>
                    </w:rPr>
                    <w:t>NO</w:t>
                  </w:r>
                  <w:r>
                    <w:rPr>
                      <w:sz w:val="21"/>
                      <w:szCs w:val="21"/>
                      <w:vertAlign w:val="subscript"/>
                    </w:rPr>
                    <w:t>2</w:t>
                  </w:r>
                </w:p>
                <w:p w14:paraId="4D618691">
                  <w:pPr>
                    <w:topLinePunct/>
                    <w:adjustRightInd w:val="0"/>
                    <w:snapToGrid w:val="0"/>
                    <w:spacing w:line="240" w:lineRule="auto"/>
                    <w:ind w:firstLine="0" w:firstLineChars="0"/>
                    <w:jc w:val="center"/>
                    <w:rPr>
                      <w:szCs w:val="21"/>
                    </w:rPr>
                  </w:pPr>
                  <w:r>
                    <w:rPr>
                      <w:sz w:val="21"/>
                      <w:szCs w:val="21"/>
                    </w:rPr>
                    <w:t>（mg/m³）</w:t>
                  </w:r>
                </w:p>
              </w:tc>
              <w:tc>
                <w:tcPr>
                  <w:tcW w:w="1142" w:type="dxa"/>
                  <w:vAlign w:val="center"/>
                </w:tcPr>
                <w:p w14:paraId="09C77FF4">
                  <w:pPr>
                    <w:topLinePunct/>
                    <w:adjustRightInd w:val="0"/>
                    <w:snapToGrid w:val="0"/>
                    <w:spacing w:line="240" w:lineRule="auto"/>
                    <w:ind w:firstLine="0" w:firstLineChars="0"/>
                    <w:jc w:val="center"/>
                    <w:rPr>
                      <w:szCs w:val="21"/>
                    </w:rPr>
                  </w:pPr>
                  <w:r>
                    <w:rPr>
                      <w:sz w:val="21"/>
                      <w:szCs w:val="21"/>
                    </w:rPr>
                    <w:t>PM</w:t>
                  </w:r>
                  <w:r>
                    <w:rPr>
                      <w:sz w:val="21"/>
                      <w:szCs w:val="21"/>
                      <w:vertAlign w:val="subscript"/>
                    </w:rPr>
                    <w:t>10</w:t>
                  </w:r>
                </w:p>
                <w:p w14:paraId="5C4455C5">
                  <w:pPr>
                    <w:topLinePunct/>
                    <w:adjustRightInd w:val="0"/>
                    <w:snapToGrid w:val="0"/>
                    <w:spacing w:line="240" w:lineRule="auto"/>
                    <w:ind w:firstLine="0" w:firstLineChars="0"/>
                    <w:jc w:val="center"/>
                    <w:rPr>
                      <w:szCs w:val="21"/>
                    </w:rPr>
                  </w:pPr>
                  <w:r>
                    <w:rPr>
                      <w:sz w:val="21"/>
                      <w:szCs w:val="21"/>
                    </w:rPr>
                    <w:t>（mg/m³）</w:t>
                  </w:r>
                </w:p>
              </w:tc>
              <w:tc>
                <w:tcPr>
                  <w:tcW w:w="1578" w:type="dxa"/>
                  <w:vAlign w:val="center"/>
                </w:tcPr>
                <w:p w14:paraId="10B92670">
                  <w:pPr>
                    <w:topLinePunct/>
                    <w:adjustRightInd w:val="0"/>
                    <w:snapToGrid w:val="0"/>
                    <w:spacing w:line="240" w:lineRule="auto"/>
                    <w:ind w:firstLine="0" w:firstLineChars="0"/>
                    <w:jc w:val="center"/>
                    <w:rPr>
                      <w:szCs w:val="21"/>
                    </w:rPr>
                  </w:pPr>
                  <w:r>
                    <w:rPr>
                      <w:sz w:val="21"/>
                      <w:szCs w:val="21"/>
                    </w:rPr>
                    <w:t>PM</w:t>
                  </w:r>
                  <w:r>
                    <w:rPr>
                      <w:sz w:val="21"/>
                      <w:szCs w:val="21"/>
                      <w:vertAlign w:val="subscript"/>
                    </w:rPr>
                    <w:t>2.5</w:t>
                  </w:r>
                  <w:r>
                    <w:rPr>
                      <w:sz w:val="21"/>
                      <w:szCs w:val="21"/>
                    </w:rPr>
                    <w:t>（mg/m³）</w:t>
                  </w:r>
                </w:p>
              </w:tc>
              <w:tc>
                <w:tcPr>
                  <w:tcW w:w="1090" w:type="dxa"/>
                  <w:vAlign w:val="center"/>
                </w:tcPr>
                <w:p w14:paraId="53CF9923">
                  <w:pPr>
                    <w:topLinePunct/>
                    <w:adjustRightInd w:val="0"/>
                    <w:snapToGrid w:val="0"/>
                    <w:spacing w:line="240" w:lineRule="auto"/>
                    <w:ind w:firstLine="0" w:firstLineChars="0"/>
                    <w:jc w:val="center"/>
                    <w:rPr>
                      <w:szCs w:val="21"/>
                    </w:rPr>
                  </w:pPr>
                  <w:r>
                    <w:rPr>
                      <w:sz w:val="21"/>
                      <w:szCs w:val="21"/>
                    </w:rPr>
                    <w:t>CO</w:t>
                  </w:r>
                </w:p>
                <w:p w14:paraId="35BB6C80">
                  <w:pPr>
                    <w:topLinePunct/>
                    <w:adjustRightInd w:val="0"/>
                    <w:snapToGrid w:val="0"/>
                    <w:spacing w:line="240" w:lineRule="auto"/>
                    <w:ind w:firstLine="0" w:firstLineChars="0"/>
                    <w:jc w:val="center"/>
                    <w:rPr>
                      <w:szCs w:val="21"/>
                    </w:rPr>
                  </w:pPr>
                  <w:r>
                    <w:rPr>
                      <w:sz w:val="21"/>
                      <w:szCs w:val="21"/>
                    </w:rPr>
                    <w:t>（mg/m³）</w:t>
                  </w:r>
                </w:p>
              </w:tc>
              <w:tc>
                <w:tcPr>
                  <w:tcW w:w="1147" w:type="dxa"/>
                  <w:vAlign w:val="center"/>
                </w:tcPr>
                <w:p w14:paraId="73E35020">
                  <w:pPr>
                    <w:topLinePunct/>
                    <w:adjustRightInd w:val="0"/>
                    <w:snapToGrid w:val="0"/>
                    <w:spacing w:line="240" w:lineRule="auto"/>
                    <w:ind w:firstLine="0" w:firstLineChars="0"/>
                    <w:jc w:val="center"/>
                    <w:rPr>
                      <w:szCs w:val="21"/>
                      <w:vertAlign w:val="subscript"/>
                    </w:rPr>
                  </w:pPr>
                  <w:r>
                    <w:rPr>
                      <w:sz w:val="21"/>
                      <w:szCs w:val="21"/>
                    </w:rPr>
                    <w:t>O</w:t>
                  </w:r>
                  <w:r>
                    <w:rPr>
                      <w:sz w:val="21"/>
                      <w:szCs w:val="21"/>
                      <w:vertAlign w:val="subscript"/>
                    </w:rPr>
                    <w:t>3</w:t>
                  </w:r>
                </w:p>
                <w:p w14:paraId="0B1C2FE7">
                  <w:pPr>
                    <w:topLinePunct/>
                    <w:adjustRightInd w:val="0"/>
                    <w:snapToGrid w:val="0"/>
                    <w:spacing w:line="240" w:lineRule="auto"/>
                    <w:ind w:firstLine="0" w:firstLineChars="0"/>
                    <w:jc w:val="center"/>
                    <w:rPr>
                      <w:szCs w:val="21"/>
                    </w:rPr>
                  </w:pPr>
                  <w:r>
                    <w:rPr>
                      <w:sz w:val="21"/>
                      <w:szCs w:val="21"/>
                    </w:rPr>
                    <w:t>（mg/m³）</w:t>
                  </w:r>
                </w:p>
              </w:tc>
            </w:tr>
            <w:tr w14:paraId="63907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8A2F700">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年1月</w:t>
                  </w:r>
                </w:p>
              </w:tc>
              <w:tc>
                <w:tcPr>
                  <w:tcW w:w="1142" w:type="dxa"/>
                  <w:vAlign w:val="center"/>
                </w:tcPr>
                <w:p w14:paraId="45B61636">
                  <w:pPr>
                    <w:topLinePunct/>
                    <w:adjustRightInd w:val="0"/>
                    <w:snapToGrid w:val="0"/>
                    <w:spacing w:line="240" w:lineRule="auto"/>
                    <w:ind w:firstLine="0" w:firstLineChars="0"/>
                    <w:jc w:val="center"/>
                    <w:rPr>
                      <w:szCs w:val="21"/>
                    </w:rPr>
                  </w:pPr>
                  <w:r>
                    <w:rPr>
                      <w:sz w:val="21"/>
                      <w:szCs w:val="21"/>
                    </w:rPr>
                    <w:t>0.003</w:t>
                  </w:r>
                </w:p>
              </w:tc>
              <w:tc>
                <w:tcPr>
                  <w:tcW w:w="1142" w:type="dxa"/>
                  <w:vAlign w:val="center"/>
                </w:tcPr>
                <w:p w14:paraId="210D338E">
                  <w:pPr>
                    <w:topLinePunct/>
                    <w:adjustRightInd w:val="0"/>
                    <w:snapToGrid w:val="0"/>
                    <w:spacing w:line="240" w:lineRule="auto"/>
                    <w:ind w:firstLine="0" w:firstLineChars="0"/>
                    <w:jc w:val="center"/>
                    <w:rPr>
                      <w:szCs w:val="21"/>
                    </w:rPr>
                  </w:pPr>
                  <w:r>
                    <w:rPr>
                      <w:rFonts w:hint="eastAsia"/>
                      <w:sz w:val="21"/>
                      <w:szCs w:val="21"/>
                    </w:rPr>
                    <w:t>0.011</w:t>
                  </w:r>
                </w:p>
              </w:tc>
              <w:tc>
                <w:tcPr>
                  <w:tcW w:w="1142" w:type="dxa"/>
                  <w:vAlign w:val="center"/>
                </w:tcPr>
                <w:p w14:paraId="5BFA3498">
                  <w:pPr>
                    <w:topLinePunct/>
                    <w:adjustRightInd w:val="0"/>
                    <w:snapToGrid w:val="0"/>
                    <w:spacing w:line="240" w:lineRule="auto"/>
                    <w:ind w:firstLine="0" w:firstLineChars="0"/>
                    <w:jc w:val="center"/>
                    <w:rPr>
                      <w:szCs w:val="21"/>
                    </w:rPr>
                  </w:pPr>
                  <w:r>
                    <w:rPr>
                      <w:rFonts w:hint="eastAsia"/>
                      <w:sz w:val="21"/>
                      <w:szCs w:val="21"/>
                    </w:rPr>
                    <w:t>0.043</w:t>
                  </w:r>
                </w:p>
              </w:tc>
              <w:tc>
                <w:tcPr>
                  <w:tcW w:w="1578" w:type="dxa"/>
                  <w:vAlign w:val="center"/>
                </w:tcPr>
                <w:p w14:paraId="1A9876A0">
                  <w:pPr>
                    <w:topLinePunct/>
                    <w:adjustRightInd w:val="0"/>
                    <w:snapToGrid w:val="0"/>
                    <w:spacing w:line="240" w:lineRule="auto"/>
                    <w:ind w:firstLine="0" w:firstLineChars="0"/>
                    <w:jc w:val="center"/>
                    <w:rPr>
                      <w:szCs w:val="21"/>
                    </w:rPr>
                  </w:pPr>
                  <w:r>
                    <w:rPr>
                      <w:rFonts w:hint="eastAsia"/>
                      <w:sz w:val="21"/>
                      <w:szCs w:val="21"/>
                    </w:rPr>
                    <w:t>0.023</w:t>
                  </w:r>
                </w:p>
              </w:tc>
              <w:tc>
                <w:tcPr>
                  <w:tcW w:w="1090" w:type="dxa"/>
                  <w:vAlign w:val="center"/>
                </w:tcPr>
                <w:p w14:paraId="1BDCD322">
                  <w:pPr>
                    <w:topLinePunct/>
                    <w:adjustRightInd w:val="0"/>
                    <w:snapToGrid w:val="0"/>
                    <w:spacing w:line="240" w:lineRule="auto"/>
                    <w:ind w:firstLine="0" w:firstLineChars="0"/>
                    <w:jc w:val="center"/>
                    <w:rPr>
                      <w:szCs w:val="21"/>
                    </w:rPr>
                  </w:pPr>
                  <w:r>
                    <w:rPr>
                      <w:rFonts w:hint="eastAsia"/>
                      <w:sz w:val="21"/>
                      <w:szCs w:val="21"/>
                    </w:rPr>
                    <w:t>0.6</w:t>
                  </w:r>
                </w:p>
              </w:tc>
              <w:tc>
                <w:tcPr>
                  <w:tcW w:w="1147" w:type="dxa"/>
                  <w:vAlign w:val="center"/>
                </w:tcPr>
                <w:p w14:paraId="6DC802E9">
                  <w:pPr>
                    <w:topLinePunct/>
                    <w:adjustRightInd w:val="0"/>
                    <w:snapToGrid w:val="0"/>
                    <w:spacing w:line="240" w:lineRule="auto"/>
                    <w:ind w:firstLine="0" w:firstLineChars="0"/>
                    <w:jc w:val="center"/>
                    <w:rPr>
                      <w:szCs w:val="21"/>
                    </w:rPr>
                  </w:pPr>
                  <w:r>
                    <w:rPr>
                      <w:rFonts w:hint="eastAsia"/>
                      <w:sz w:val="21"/>
                      <w:szCs w:val="21"/>
                    </w:rPr>
                    <w:t>0.109</w:t>
                  </w:r>
                </w:p>
              </w:tc>
            </w:tr>
            <w:tr w14:paraId="17956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26D8155">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年2月</w:t>
                  </w:r>
                </w:p>
              </w:tc>
              <w:tc>
                <w:tcPr>
                  <w:tcW w:w="1142" w:type="dxa"/>
                  <w:vAlign w:val="center"/>
                </w:tcPr>
                <w:p w14:paraId="65B7BFA0">
                  <w:pPr>
                    <w:topLinePunct/>
                    <w:adjustRightInd w:val="0"/>
                    <w:snapToGrid w:val="0"/>
                    <w:spacing w:line="240" w:lineRule="auto"/>
                    <w:ind w:firstLine="0" w:firstLineChars="0"/>
                    <w:jc w:val="center"/>
                    <w:rPr>
                      <w:szCs w:val="21"/>
                    </w:rPr>
                  </w:pPr>
                  <w:r>
                    <w:rPr>
                      <w:sz w:val="21"/>
                      <w:szCs w:val="21"/>
                    </w:rPr>
                    <w:t>0.00</w:t>
                  </w:r>
                  <w:r>
                    <w:rPr>
                      <w:rFonts w:hint="eastAsia"/>
                      <w:sz w:val="21"/>
                      <w:szCs w:val="21"/>
                    </w:rPr>
                    <w:t>2</w:t>
                  </w:r>
                </w:p>
              </w:tc>
              <w:tc>
                <w:tcPr>
                  <w:tcW w:w="1142" w:type="dxa"/>
                  <w:vAlign w:val="center"/>
                </w:tcPr>
                <w:p w14:paraId="152AB044">
                  <w:pPr>
                    <w:topLinePunct/>
                    <w:adjustRightInd w:val="0"/>
                    <w:snapToGrid w:val="0"/>
                    <w:spacing w:line="240" w:lineRule="auto"/>
                    <w:ind w:firstLine="0" w:firstLineChars="0"/>
                    <w:jc w:val="center"/>
                    <w:rPr>
                      <w:szCs w:val="21"/>
                    </w:rPr>
                  </w:pPr>
                  <w:r>
                    <w:rPr>
                      <w:sz w:val="21"/>
                      <w:szCs w:val="21"/>
                    </w:rPr>
                    <w:t>0.0</w:t>
                  </w:r>
                  <w:r>
                    <w:rPr>
                      <w:rFonts w:hint="eastAsia"/>
                      <w:sz w:val="21"/>
                      <w:szCs w:val="21"/>
                    </w:rPr>
                    <w:t>11</w:t>
                  </w:r>
                </w:p>
              </w:tc>
              <w:tc>
                <w:tcPr>
                  <w:tcW w:w="1142" w:type="dxa"/>
                  <w:vAlign w:val="center"/>
                </w:tcPr>
                <w:p w14:paraId="7542DCEF">
                  <w:pPr>
                    <w:topLinePunct/>
                    <w:adjustRightInd w:val="0"/>
                    <w:snapToGrid w:val="0"/>
                    <w:spacing w:line="240" w:lineRule="auto"/>
                    <w:ind w:firstLine="0" w:firstLineChars="0"/>
                    <w:jc w:val="center"/>
                    <w:rPr>
                      <w:szCs w:val="21"/>
                    </w:rPr>
                  </w:pPr>
                  <w:r>
                    <w:rPr>
                      <w:rFonts w:hint="eastAsia"/>
                      <w:sz w:val="21"/>
                      <w:szCs w:val="21"/>
                    </w:rPr>
                    <w:t>0.034</w:t>
                  </w:r>
                </w:p>
              </w:tc>
              <w:tc>
                <w:tcPr>
                  <w:tcW w:w="1578" w:type="dxa"/>
                  <w:vAlign w:val="center"/>
                </w:tcPr>
                <w:p w14:paraId="6B912D93">
                  <w:pPr>
                    <w:topLinePunct/>
                    <w:adjustRightInd w:val="0"/>
                    <w:snapToGrid w:val="0"/>
                    <w:spacing w:line="240" w:lineRule="auto"/>
                    <w:ind w:firstLine="0" w:firstLineChars="0"/>
                    <w:jc w:val="center"/>
                    <w:rPr>
                      <w:szCs w:val="21"/>
                    </w:rPr>
                  </w:pPr>
                  <w:r>
                    <w:rPr>
                      <w:rFonts w:hint="eastAsia"/>
                      <w:sz w:val="21"/>
                      <w:szCs w:val="21"/>
                    </w:rPr>
                    <w:t>0.024</w:t>
                  </w:r>
                </w:p>
              </w:tc>
              <w:tc>
                <w:tcPr>
                  <w:tcW w:w="1090" w:type="dxa"/>
                  <w:vAlign w:val="center"/>
                </w:tcPr>
                <w:p w14:paraId="0EFA00C5">
                  <w:pPr>
                    <w:topLinePunct/>
                    <w:adjustRightInd w:val="0"/>
                    <w:snapToGrid w:val="0"/>
                    <w:spacing w:line="240" w:lineRule="auto"/>
                    <w:ind w:firstLine="0" w:firstLineChars="0"/>
                    <w:jc w:val="center"/>
                    <w:rPr>
                      <w:szCs w:val="21"/>
                    </w:rPr>
                  </w:pPr>
                  <w:r>
                    <w:rPr>
                      <w:rFonts w:hint="eastAsia"/>
                      <w:sz w:val="21"/>
                      <w:szCs w:val="21"/>
                    </w:rPr>
                    <w:t>0.6</w:t>
                  </w:r>
                </w:p>
              </w:tc>
              <w:tc>
                <w:tcPr>
                  <w:tcW w:w="1147" w:type="dxa"/>
                  <w:vAlign w:val="center"/>
                </w:tcPr>
                <w:p w14:paraId="783CE55A">
                  <w:pPr>
                    <w:topLinePunct/>
                    <w:adjustRightInd w:val="0"/>
                    <w:snapToGrid w:val="0"/>
                    <w:spacing w:line="240" w:lineRule="auto"/>
                    <w:ind w:firstLine="0" w:firstLineChars="0"/>
                    <w:jc w:val="center"/>
                    <w:rPr>
                      <w:szCs w:val="21"/>
                    </w:rPr>
                  </w:pPr>
                  <w:r>
                    <w:rPr>
                      <w:rFonts w:hint="eastAsia"/>
                      <w:sz w:val="21"/>
                      <w:szCs w:val="21"/>
                    </w:rPr>
                    <w:t>0.091</w:t>
                  </w:r>
                </w:p>
              </w:tc>
            </w:tr>
            <w:tr w14:paraId="1B4DB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EC1AA51">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年3月</w:t>
                  </w:r>
                </w:p>
              </w:tc>
              <w:tc>
                <w:tcPr>
                  <w:tcW w:w="1142" w:type="dxa"/>
                  <w:vAlign w:val="center"/>
                </w:tcPr>
                <w:p w14:paraId="2AEF1ED9">
                  <w:pPr>
                    <w:topLinePunct/>
                    <w:adjustRightInd w:val="0"/>
                    <w:snapToGrid w:val="0"/>
                    <w:spacing w:line="240" w:lineRule="auto"/>
                    <w:ind w:firstLine="0" w:firstLineChars="0"/>
                    <w:jc w:val="center"/>
                    <w:rPr>
                      <w:szCs w:val="21"/>
                    </w:rPr>
                  </w:pPr>
                  <w:r>
                    <w:rPr>
                      <w:sz w:val="21"/>
                      <w:szCs w:val="21"/>
                    </w:rPr>
                    <w:t>0.00</w:t>
                  </w:r>
                  <w:r>
                    <w:rPr>
                      <w:rFonts w:hint="eastAsia"/>
                      <w:sz w:val="21"/>
                      <w:szCs w:val="21"/>
                    </w:rPr>
                    <w:t>3</w:t>
                  </w:r>
                </w:p>
              </w:tc>
              <w:tc>
                <w:tcPr>
                  <w:tcW w:w="1142" w:type="dxa"/>
                  <w:vAlign w:val="center"/>
                </w:tcPr>
                <w:p w14:paraId="1F2AF41C">
                  <w:pPr>
                    <w:topLinePunct/>
                    <w:adjustRightInd w:val="0"/>
                    <w:snapToGrid w:val="0"/>
                    <w:spacing w:line="240" w:lineRule="auto"/>
                    <w:ind w:firstLine="0" w:firstLineChars="0"/>
                    <w:jc w:val="center"/>
                    <w:rPr>
                      <w:szCs w:val="21"/>
                    </w:rPr>
                  </w:pPr>
                  <w:r>
                    <w:rPr>
                      <w:sz w:val="21"/>
                      <w:szCs w:val="21"/>
                    </w:rPr>
                    <w:t>0.0</w:t>
                  </w:r>
                  <w:r>
                    <w:rPr>
                      <w:rFonts w:hint="eastAsia"/>
                      <w:sz w:val="21"/>
                      <w:szCs w:val="21"/>
                    </w:rPr>
                    <w:t>09</w:t>
                  </w:r>
                </w:p>
              </w:tc>
              <w:tc>
                <w:tcPr>
                  <w:tcW w:w="1142" w:type="dxa"/>
                  <w:vAlign w:val="center"/>
                </w:tcPr>
                <w:p w14:paraId="3A9ADE23">
                  <w:pPr>
                    <w:topLinePunct/>
                    <w:adjustRightInd w:val="0"/>
                    <w:snapToGrid w:val="0"/>
                    <w:spacing w:line="240" w:lineRule="auto"/>
                    <w:ind w:firstLine="0" w:firstLineChars="0"/>
                    <w:jc w:val="center"/>
                    <w:rPr>
                      <w:szCs w:val="21"/>
                    </w:rPr>
                  </w:pPr>
                  <w:r>
                    <w:rPr>
                      <w:sz w:val="21"/>
                      <w:szCs w:val="21"/>
                    </w:rPr>
                    <w:t>0.0</w:t>
                  </w:r>
                  <w:r>
                    <w:rPr>
                      <w:rFonts w:hint="eastAsia"/>
                      <w:sz w:val="21"/>
                      <w:szCs w:val="21"/>
                    </w:rPr>
                    <w:t>35</w:t>
                  </w:r>
                </w:p>
              </w:tc>
              <w:tc>
                <w:tcPr>
                  <w:tcW w:w="1578" w:type="dxa"/>
                  <w:vAlign w:val="center"/>
                </w:tcPr>
                <w:p w14:paraId="1C5E4E92">
                  <w:pPr>
                    <w:topLinePunct/>
                    <w:adjustRightInd w:val="0"/>
                    <w:snapToGrid w:val="0"/>
                    <w:spacing w:line="240" w:lineRule="auto"/>
                    <w:ind w:firstLine="0" w:firstLineChars="0"/>
                    <w:jc w:val="center"/>
                    <w:rPr>
                      <w:szCs w:val="21"/>
                    </w:rPr>
                  </w:pPr>
                  <w:r>
                    <w:rPr>
                      <w:sz w:val="21"/>
                      <w:szCs w:val="21"/>
                    </w:rPr>
                    <w:t>0.0</w:t>
                  </w:r>
                  <w:r>
                    <w:rPr>
                      <w:rFonts w:hint="eastAsia"/>
                      <w:sz w:val="21"/>
                      <w:szCs w:val="21"/>
                    </w:rPr>
                    <w:t>17</w:t>
                  </w:r>
                </w:p>
              </w:tc>
              <w:tc>
                <w:tcPr>
                  <w:tcW w:w="1090" w:type="dxa"/>
                  <w:vAlign w:val="center"/>
                </w:tcPr>
                <w:p w14:paraId="6073B6E7">
                  <w:pPr>
                    <w:topLinePunct/>
                    <w:adjustRightInd w:val="0"/>
                    <w:snapToGrid w:val="0"/>
                    <w:spacing w:line="240" w:lineRule="auto"/>
                    <w:ind w:firstLine="0" w:firstLineChars="0"/>
                    <w:jc w:val="center"/>
                    <w:rPr>
                      <w:szCs w:val="21"/>
                    </w:rPr>
                  </w:pPr>
                  <w:r>
                    <w:rPr>
                      <w:rFonts w:hint="eastAsia"/>
                      <w:sz w:val="21"/>
                      <w:szCs w:val="21"/>
                    </w:rPr>
                    <w:t>0.8</w:t>
                  </w:r>
                </w:p>
              </w:tc>
              <w:tc>
                <w:tcPr>
                  <w:tcW w:w="1147" w:type="dxa"/>
                  <w:vAlign w:val="center"/>
                </w:tcPr>
                <w:p w14:paraId="1E14B090">
                  <w:pPr>
                    <w:topLinePunct/>
                    <w:adjustRightInd w:val="0"/>
                    <w:snapToGrid w:val="0"/>
                    <w:spacing w:line="240" w:lineRule="auto"/>
                    <w:ind w:firstLine="0" w:firstLineChars="0"/>
                    <w:jc w:val="center"/>
                    <w:rPr>
                      <w:szCs w:val="21"/>
                    </w:rPr>
                  </w:pPr>
                  <w:r>
                    <w:rPr>
                      <w:sz w:val="21"/>
                      <w:szCs w:val="21"/>
                    </w:rPr>
                    <w:t>0.</w:t>
                  </w:r>
                  <w:r>
                    <w:rPr>
                      <w:rFonts w:hint="eastAsia"/>
                      <w:sz w:val="21"/>
                      <w:szCs w:val="21"/>
                    </w:rPr>
                    <w:t>133</w:t>
                  </w:r>
                </w:p>
              </w:tc>
            </w:tr>
            <w:tr w14:paraId="51039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59202BC">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年4月</w:t>
                  </w:r>
                </w:p>
              </w:tc>
              <w:tc>
                <w:tcPr>
                  <w:tcW w:w="1142" w:type="dxa"/>
                  <w:vAlign w:val="center"/>
                </w:tcPr>
                <w:p w14:paraId="5F86C3CD">
                  <w:pPr>
                    <w:topLinePunct/>
                    <w:adjustRightInd w:val="0"/>
                    <w:snapToGrid w:val="0"/>
                    <w:spacing w:line="240" w:lineRule="auto"/>
                    <w:ind w:firstLine="0" w:firstLineChars="0"/>
                    <w:jc w:val="center"/>
                    <w:rPr>
                      <w:szCs w:val="21"/>
                    </w:rPr>
                  </w:pPr>
                  <w:r>
                    <w:rPr>
                      <w:sz w:val="21"/>
                      <w:szCs w:val="21"/>
                    </w:rPr>
                    <w:t>0.00</w:t>
                  </w:r>
                  <w:r>
                    <w:rPr>
                      <w:rFonts w:hint="eastAsia"/>
                      <w:sz w:val="21"/>
                      <w:szCs w:val="21"/>
                    </w:rPr>
                    <w:t>2</w:t>
                  </w:r>
                </w:p>
              </w:tc>
              <w:tc>
                <w:tcPr>
                  <w:tcW w:w="1142" w:type="dxa"/>
                  <w:vAlign w:val="center"/>
                </w:tcPr>
                <w:p w14:paraId="389A6B3B">
                  <w:pPr>
                    <w:topLinePunct/>
                    <w:adjustRightInd w:val="0"/>
                    <w:snapToGrid w:val="0"/>
                    <w:spacing w:line="240" w:lineRule="auto"/>
                    <w:ind w:firstLine="0" w:firstLineChars="0"/>
                    <w:jc w:val="center"/>
                    <w:rPr>
                      <w:szCs w:val="21"/>
                    </w:rPr>
                  </w:pPr>
                  <w:r>
                    <w:rPr>
                      <w:sz w:val="21"/>
                      <w:szCs w:val="21"/>
                    </w:rPr>
                    <w:t>0.01</w:t>
                  </w:r>
                  <w:r>
                    <w:rPr>
                      <w:rFonts w:hint="eastAsia"/>
                      <w:sz w:val="21"/>
                      <w:szCs w:val="21"/>
                    </w:rPr>
                    <w:t>5</w:t>
                  </w:r>
                </w:p>
              </w:tc>
              <w:tc>
                <w:tcPr>
                  <w:tcW w:w="1142" w:type="dxa"/>
                  <w:vAlign w:val="center"/>
                </w:tcPr>
                <w:p w14:paraId="0148E66E">
                  <w:pPr>
                    <w:topLinePunct/>
                    <w:adjustRightInd w:val="0"/>
                    <w:snapToGrid w:val="0"/>
                    <w:spacing w:line="240" w:lineRule="auto"/>
                    <w:ind w:firstLine="0" w:firstLineChars="0"/>
                    <w:jc w:val="center"/>
                    <w:rPr>
                      <w:szCs w:val="21"/>
                    </w:rPr>
                  </w:pPr>
                  <w:r>
                    <w:rPr>
                      <w:sz w:val="21"/>
                      <w:szCs w:val="21"/>
                    </w:rPr>
                    <w:t>0.04</w:t>
                  </w:r>
                  <w:r>
                    <w:rPr>
                      <w:rFonts w:hint="eastAsia"/>
                      <w:sz w:val="21"/>
                      <w:szCs w:val="21"/>
                    </w:rPr>
                    <w:t>5</w:t>
                  </w:r>
                </w:p>
              </w:tc>
              <w:tc>
                <w:tcPr>
                  <w:tcW w:w="1578" w:type="dxa"/>
                  <w:vAlign w:val="center"/>
                </w:tcPr>
                <w:p w14:paraId="2CC77AA4">
                  <w:pPr>
                    <w:topLinePunct/>
                    <w:adjustRightInd w:val="0"/>
                    <w:snapToGrid w:val="0"/>
                    <w:spacing w:line="240" w:lineRule="auto"/>
                    <w:ind w:firstLine="0" w:firstLineChars="0"/>
                    <w:jc w:val="center"/>
                    <w:rPr>
                      <w:szCs w:val="21"/>
                    </w:rPr>
                  </w:pPr>
                  <w:r>
                    <w:rPr>
                      <w:sz w:val="21"/>
                      <w:szCs w:val="21"/>
                    </w:rPr>
                    <w:t>0.02</w:t>
                  </w:r>
                  <w:r>
                    <w:rPr>
                      <w:rFonts w:hint="eastAsia"/>
                      <w:sz w:val="21"/>
                      <w:szCs w:val="21"/>
                    </w:rPr>
                    <w:t>4</w:t>
                  </w:r>
                </w:p>
              </w:tc>
              <w:tc>
                <w:tcPr>
                  <w:tcW w:w="1090" w:type="dxa"/>
                  <w:vAlign w:val="center"/>
                </w:tcPr>
                <w:p w14:paraId="6289F296">
                  <w:pPr>
                    <w:topLinePunct/>
                    <w:adjustRightInd w:val="0"/>
                    <w:snapToGrid w:val="0"/>
                    <w:spacing w:line="240" w:lineRule="auto"/>
                    <w:ind w:firstLine="0" w:firstLineChars="0"/>
                    <w:jc w:val="center"/>
                    <w:rPr>
                      <w:szCs w:val="21"/>
                    </w:rPr>
                  </w:pPr>
                  <w:r>
                    <w:rPr>
                      <w:sz w:val="21"/>
                      <w:szCs w:val="21"/>
                    </w:rPr>
                    <w:t>0.</w:t>
                  </w:r>
                  <w:r>
                    <w:rPr>
                      <w:rFonts w:hint="eastAsia"/>
                      <w:sz w:val="21"/>
                      <w:szCs w:val="21"/>
                    </w:rPr>
                    <w:t>8</w:t>
                  </w:r>
                </w:p>
              </w:tc>
              <w:tc>
                <w:tcPr>
                  <w:tcW w:w="1147" w:type="dxa"/>
                  <w:vAlign w:val="center"/>
                </w:tcPr>
                <w:p w14:paraId="4CCC211D">
                  <w:pPr>
                    <w:topLinePunct/>
                    <w:adjustRightInd w:val="0"/>
                    <w:snapToGrid w:val="0"/>
                    <w:spacing w:line="240" w:lineRule="auto"/>
                    <w:ind w:firstLine="0" w:firstLineChars="0"/>
                    <w:jc w:val="center"/>
                    <w:rPr>
                      <w:szCs w:val="21"/>
                    </w:rPr>
                  </w:pPr>
                  <w:r>
                    <w:rPr>
                      <w:sz w:val="21"/>
                      <w:szCs w:val="21"/>
                    </w:rPr>
                    <w:t>0.1</w:t>
                  </w:r>
                  <w:r>
                    <w:rPr>
                      <w:rFonts w:hint="eastAsia"/>
                      <w:sz w:val="21"/>
                      <w:szCs w:val="21"/>
                    </w:rPr>
                    <w:t>44</w:t>
                  </w:r>
                </w:p>
              </w:tc>
            </w:tr>
            <w:tr w14:paraId="610E2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90E3811">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年5月</w:t>
                  </w:r>
                </w:p>
              </w:tc>
              <w:tc>
                <w:tcPr>
                  <w:tcW w:w="1142" w:type="dxa"/>
                  <w:vAlign w:val="center"/>
                </w:tcPr>
                <w:p w14:paraId="1DCE67BE">
                  <w:pPr>
                    <w:topLinePunct/>
                    <w:adjustRightInd w:val="0"/>
                    <w:snapToGrid w:val="0"/>
                    <w:spacing w:line="240" w:lineRule="auto"/>
                    <w:ind w:firstLine="0" w:firstLineChars="0"/>
                    <w:jc w:val="center"/>
                    <w:rPr>
                      <w:szCs w:val="21"/>
                    </w:rPr>
                  </w:pPr>
                  <w:r>
                    <w:rPr>
                      <w:sz w:val="21"/>
                      <w:szCs w:val="21"/>
                    </w:rPr>
                    <w:t>0.002</w:t>
                  </w:r>
                </w:p>
              </w:tc>
              <w:tc>
                <w:tcPr>
                  <w:tcW w:w="1142" w:type="dxa"/>
                  <w:vAlign w:val="center"/>
                </w:tcPr>
                <w:p w14:paraId="3BB9A5DA">
                  <w:pPr>
                    <w:topLinePunct/>
                    <w:adjustRightInd w:val="0"/>
                    <w:snapToGrid w:val="0"/>
                    <w:spacing w:line="240" w:lineRule="auto"/>
                    <w:ind w:firstLine="0" w:firstLineChars="0"/>
                    <w:jc w:val="center"/>
                    <w:rPr>
                      <w:szCs w:val="21"/>
                    </w:rPr>
                  </w:pPr>
                  <w:r>
                    <w:rPr>
                      <w:sz w:val="21"/>
                      <w:szCs w:val="21"/>
                    </w:rPr>
                    <w:t>0.01</w:t>
                  </w:r>
                  <w:r>
                    <w:rPr>
                      <w:rFonts w:hint="eastAsia"/>
                      <w:sz w:val="21"/>
                      <w:szCs w:val="21"/>
                    </w:rPr>
                    <w:t>1</w:t>
                  </w:r>
                </w:p>
              </w:tc>
              <w:tc>
                <w:tcPr>
                  <w:tcW w:w="1142" w:type="dxa"/>
                  <w:vAlign w:val="center"/>
                </w:tcPr>
                <w:p w14:paraId="2ED0DEE4">
                  <w:pPr>
                    <w:topLinePunct/>
                    <w:adjustRightInd w:val="0"/>
                    <w:snapToGrid w:val="0"/>
                    <w:spacing w:line="240" w:lineRule="auto"/>
                    <w:ind w:firstLine="0" w:firstLineChars="0"/>
                    <w:jc w:val="center"/>
                    <w:rPr>
                      <w:szCs w:val="21"/>
                    </w:rPr>
                  </w:pPr>
                  <w:r>
                    <w:rPr>
                      <w:sz w:val="21"/>
                      <w:szCs w:val="21"/>
                    </w:rPr>
                    <w:t>0.0</w:t>
                  </w:r>
                  <w:r>
                    <w:rPr>
                      <w:rFonts w:hint="eastAsia"/>
                      <w:sz w:val="21"/>
                      <w:szCs w:val="21"/>
                    </w:rPr>
                    <w:t>34</w:t>
                  </w:r>
                </w:p>
              </w:tc>
              <w:tc>
                <w:tcPr>
                  <w:tcW w:w="1578" w:type="dxa"/>
                  <w:vAlign w:val="center"/>
                </w:tcPr>
                <w:p w14:paraId="006E0453">
                  <w:pPr>
                    <w:topLinePunct/>
                    <w:adjustRightInd w:val="0"/>
                    <w:snapToGrid w:val="0"/>
                    <w:spacing w:line="240" w:lineRule="auto"/>
                    <w:ind w:firstLine="0" w:firstLineChars="0"/>
                    <w:jc w:val="center"/>
                    <w:rPr>
                      <w:szCs w:val="21"/>
                    </w:rPr>
                  </w:pPr>
                  <w:r>
                    <w:rPr>
                      <w:sz w:val="21"/>
                      <w:szCs w:val="21"/>
                    </w:rPr>
                    <w:t>0.0</w:t>
                  </w:r>
                  <w:r>
                    <w:rPr>
                      <w:rFonts w:hint="eastAsia"/>
                      <w:sz w:val="21"/>
                      <w:szCs w:val="21"/>
                    </w:rPr>
                    <w:t>20</w:t>
                  </w:r>
                </w:p>
              </w:tc>
              <w:tc>
                <w:tcPr>
                  <w:tcW w:w="1090" w:type="dxa"/>
                  <w:vAlign w:val="center"/>
                </w:tcPr>
                <w:p w14:paraId="590A5436">
                  <w:pPr>
                    <w:topLinePunct/>
                    <w:adjustRightInd w:val="0"/>
                    <w:snapToGrid w:val="0"/>
                    <w:spacing w:line="240" w:lineRule="auto"/>
                    <w:ind w:firstLine="0" w:firstLineChars="0"/>
                    <w:jc w:val="center"/>
                    <w:rPr>
                      <w:szCs w:val="21"/>
                    </w:rPr>
                  </w:pPr>
                  <w:r>
                    <w:rPr>
                      <w:sz w:val="21"/>
                      <w:szCs w:val="21"/>
                    </w:rPr>
                    <w:t>0.</w:t>
                  </w:r>
                  <w:r>
                    <w:rPr>
                      <w:rFonts w:hint="eastAsia"/>
                      <w:sz w:val="21"/>
                      <w:szCs w:val="21"/>
                    </w:rPr>
                    <w:t>7</w:t>
                  </w:r>
                </w:p>
              </w:tc>
              <w:tc>
                <w:tcPr>
                  <w:tcW w:w="1147" w:type="dxa"/>
                  <w:vAlign w:val="center"/>
                </w:tcPr>
                <w:p w14:paraId="4D58718C">
                  <w:pPr>
                    <w:topLinePunct/>
                    <w:adjustRightInd w:val="0"/>
                    <w:snapToGrid w:val="0"/>
                    <w:spacing w:line="240" w:lineRule="auto"/>
                    <w:ind w:firstLine="0" w:firstLineChars="0"/>
                    <w:jc w:val="center"/>
                    <w:rPr>
                      <w:szCs w:val="21"/>
                    </w:rPr>
                  </w:pPr>
                  <w:r>
                    <w:rPr>
                      <w:sz w:val="21"/>
                      <w:szCs w:val="21"/>
                    </w:rPr>
                    <w:t>0.1</w:t>
                  </w:r>
                  <w:r>
                    <w:rPr>
                      <w:rFonts w:hint="eastAsia"/>
                      <w:sz w:val="21"/>
                      <w:szCs w:val="21"/>
                    </w:rPr>
                    <w:t>44</w:t>
                  </w:r>
                </w:p>
              </w:tc>
            </w:tr>
            <w:tr w14:paraId="728A2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9961F3E">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年6月</w:t>
                  </w:r>
                </w:p>
              </w:tc>
              <w:tc>
                <w:tcPr>
                  <w:tcW w:w="1142" w:type="dxa"/>
                  <w:vAlign w:val="center"/>
                </w:tcPr>
                <w:p w14:paraId="58C008EB">
                  <w:pPr>
                    <w:topLinePunct/>
                    <w:adjustRightInd w:val="0"/>
                    <w:snapToGrid w:val="0"/>
                    <w:spacing w:line="240" w:lineRule="auto"/>
                    <w:ind w:firstLine="0" w:firstLineChars="0"/>
                    <w:jc w:val="center"/>
                    <w:rPr>
                      <w:szCs w:val="21"/>
                    </w:rPr>
                  </w:pPr>
                  <w:r>
                    <w:rPr>
                      <w:sz w:val="21"/>
                      <w:szCs w:val="21"/>
                    </w:rPr>
                    <w:t>0.002</w:t>
                  </w:r>
                </w:p>
              </w:tc>
              <w:tc>
                <w:tcPr>
                  <w:tcW w:w="1142" w:type="dxa"/>
                  <w:vAlign w:val="center"/>
                </w:tcPr>
                <w:p w14:paraId="6ED944AB">
                  <w:pPr>
                    <w:topLinePunct/>
                    <w:adjustRightInd w:val="0"/>
                    <w:snapToGrid w:val="0"/>
                    <w:spacing w:line="240" w:lineRule="auto"/>
                    <w:ind w:firstLine="0" w:firstLineChars="0"/>
                    <w:jc w:val="center"/>
                    <w:rPr>
                      <w:szCs w:val="21"/>
                    </w:rPr>
                  </w:pPr>
                  <w:r>
                    <w:rPr>
                      <w:sz w:val="21"/>
                      <w:szCs w:val="21"/>
                    </w:rPr>
                    <w:t>0.0</w:t>
                  </w:r>
                  <w:r>
                    <w:rPr>
                      <w:rFonts w:hint="eastAsia"/>
                      <w:sz w:val="21"/>
                      <w:szCs w:val="21"/>
                    </w:rPr>
                    <w:t>07</w:t>
                  </w:r>
                </w:p>
              </w:tc>
              <w:tc>
                <w:tcPr>
                  <w:tcW w:w="1142" w:type="dxa"/>
                  <w:vAlign w:val="center"/>
                </w:tcPr>
                <w:p w14:paraId="74267C0B">
                  <w:pPr>
                    <w:topLinePunct/>
                    <w:adjustRightInd w:val="0"/>
                    <w:snapToGrid w:val="0"/>
                    <w:spacing w:line="240" w:lineRule="auto"/>
                    <w:ind w:firstLine="0" w:firstLineChars="0"/>
                    <w:jc w:val="center"/>
                    <w:rPr>
                      <w:szCs w:val="21"/>
                    </w:rPr>
                  </w:pPr>
                  <w:r>
                    <w:rPr>
                      <w:sz w:val="21"/>
                      <w:szCs w:val="21"/>
                    </w:rPr>
                    <w:t>0.02</w:t>
                  </w:r>
                  <w:r>
                    <w:rPr>
                      <w:rFonts w:hint="eastAsia"/>
                      <w:sz w:val="21"/>
                      <w:szCs w:val="21"/>
                    </w:rPr>
                    <w:t>2</w:t>
                  </w:r>
                </w:p>
              </w:tc>
              <w:tc>
                <w:tcPr>
                  <w:tcW w:w="1578" w:type="dxa"/>
                  <w:vAlign w:val="center"/>
                </w:tcPr>
                <w:p w14:paraId="7E366ABD">
                  <w:pPr>
                    <w:topLinePunct/>
                    <w:adjustRightInd w:val="0"/>
                    <w:snapToGrid w:val="0"/>
                    <w:spacing w:line="240" w:lineRule="auto"/>
                    <w:ind w:firstLine="0" w:firstLineChars="0"/>
                    <w:jc w:val="center"/>
                    <w:rPr>
                      <w:szCs w:val="21"/>
                    </w:rPr>
                  </w:pPr>
                  <w:r>
                    <w:rPr>
                      <w:sz w:val="21"/>
                      <w:szCs w:val="21"/>
                    </w:rPr>
                    <w:t>0.0</w:t>
                  </w:r>
                  <w:r>
                    <w:rPr>
                      <w:rFonts w:hint="eastAsia"/>
                      <w:sz w:val="21"/>
                      <w:szCs w:val="21"/>
                    </w:rPr>
                    <w:t>11</w:t>
                  </w:r>
                </w:p>
              </w:tc>
              <w:tc>
                <w:tcPr>
                  <w:tcW w:w="1090" w:type="dxa"/>
                  <w:vAlign w:val="center"/>
                </w:tcPr>
                <w:p w14:paraId="3670D46C">
                  <w:pPr>
                    <w:topLinePunct/>
                    <w:adjustRightInd w:val="0"/>
                    <w:snapToGrid w:val="0"/>
                    <w:spacing w:line="240" w:lineRule="auto"/>
                    <w:ind w:firstLine="0" w:firstLineChars="0"/>
                    <w:jc w:val="center"/>
                    <w:rPr>
                      <w:szCs w:val="21"/>
                    </w:rPr>
                  </w:pPr>
                  <w:r>
                    <w:rPr>
                      <w:sz w:val="21"/>
                      <w:szCs w:val="21"/>
                    </w:rPr>
                    <w:t>0.6</w:t>
                  </w:r>
                </w:p>
              </w:tc>
              <w:tc>
                <w:tcPr>
                  <w:tcW w:w="1147" w:type="dxa"/>
                  <w:vAlign w:val="center"/>
                </w:tcPr>
                <w:p w14:paraId="15DA2353">
                  <w:pPr>
                    <w:topLinePunct/>
                    <w:adjustRightInd w:val="0"/>
                    <w:snapToGrid w:val="0"/>
                    <w:spacing w:line="240" w:lineRule="auto"/>
                    <w:ind w:firstLine="0" w:firstLineChars="0"/>
                    <w:jc w:val="center"/>
                    <w:rPr>
                      <w:szCs w:val="21"/>
                    </w:rPr>
                  </w:pPr>
                  <w:r>
                    <w:rPr>
                      <w:sz w:val="21"/>
                      <w:szCs w:val="21"/>
                    </w:rPr>
                    <w:t>0.1</w:t>
                  </w:r>
                  <w:r>
                    <w:rPr>
                      <w:rFonts w:hint="eastAsia"/>
                      <w:sz w:val="21"/>
                      <w:szCs w:val="21"/>
                    </w:rPr>
                    <w:t>20</w:t>
                  </w:r>
                </w:p>
              </w:tc>
            </w:tr>
            <w:tr w14:paraId="46099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FA115B3">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年7月</w:t>
                  </w:r>
                </w:p>
              </w:tc>
              <w:tc>
                <w:tcPr>
                  <w:tcW w:w="1142" w:type="dxa"/>
                  <w:vAlign w:val="center"/>
                </w:tcPr>
                <w:p w14:paraId="6A352D26">
                  <w:pPr>
                    <w:topLinePunct/>
                    <w:adjustRightInd w:val="0"/>
                    <w:snapToGrid w:val="0"/>
                    <w:spacing w:line="240" w:lineRule="auto"/>
                    <w:ind w:firstLine="0" w:firstLineChars="0"/>
                    <w:jc w:val="center"/>
                    <w:rPr>
                      <w:szCs w:val="21"/>
                    </w:rPr>
                  </w:pPr>
                  <w:r>
                    <w:rPr>
                      <w:sz w:val="21"/>
                      <w:szCs w:val="21"/>
                    </w:rPr>
                    <w:t>0.002</w:t>
                  </w:r>
                </w:p>
              </w:tc>
              <w:tc>
                <w:tcPr>
                  <w:tcW w:w="1142" w:type="dxa"/>
                  <w:vAlign w:val="center"/>
                </w:tcPr>
                <w:p w14:paraId="4DA53F62">
                  <w:pPr>
                    <w:topLinePunct/>
                    <w:adjustRightInd w:val="0"/>
                    <w:snapToGrid w:val="0"/>
                    <w:spacing w:line="240" w:lineRule="auto"/>
                    <w:ind w:firstLine="0" w:firstLineChars="0"/>
                    <w:jc w:val="center"/>
                    <w:rPr>
                      <w:szCs w:val="21"/>
                    </w:rPr>
                  </w:pPr>
                  <w:r>
                    <w:rPr>
                      <w:sz w:val="21"/>
                      <w:szCs w:val="21"/>
                    </w:rPr>
                    <w:t>0.008</w:t>
                  </w:r>
                </w:p>
              </w:tc>
              <w:tc>
                <w:tcPr>
                  <w:tcW w:w="1142" w:type="dxa"/>
                  <w:vAlign w:val="center"/>
                </w:tcPr>
                <w:p w14:paraId="79F13227">
                  <w:pPr>
                    <w:topLinePunct/>
                    <w:adjustRightInd w:val="0"/>
                    <w:snapToGrid w:val="0"/>
                    <w:spacing w:line="240" w:lineRule="auto"/>
                    <w:ind w:firstLine="0" w:firstLineChars="0"/>
                    <w:jc w:val="center"/>
                    <w:rPr>
                      <w:szCs w:val="21"/>
                    </w:rPr>
                  </w:pPr>
                  <w:r>
                    <w:rPr>
                      <w:sz w:val="21"/>
                      <w:szCs w:val="21"/>
                    </w:rPr>
                    <w:t>0.</w:t>
                  </w:r>
                  <w:r>
                    <w:rPr>
                      <w:rFonts w:hint="eastAsia"/>
                      <w:sz w:val="21"/>
                      <w:szCs w:val="21"/>
                    </w:rPr>
                    <w:t>020</w:t>
                  </w:r>
                </w:p>
              </w:tc>
              <w:tc>
                <w:tcPr>
                  <w:tcW w:w="1578" w:type="dxa"/>
                  <w:vAlign w:val="center"/>
                </w:tcPr>
                <w:p w14:paraId="2E5336C5">
                  <w:pPr>
                    <w:topLinePunct/>
                    <w:adjustRightInd w:val="0"/>
                    <w:snapToGrid w:val="0"/>
                    <w:spacing w:line="240" w:lineRule="auto"/>
                    <w:ind w:firstLine="0" w:firstLineChars="0"/>
                    <w:jc w:val="center"/>
                    <w:rPr>
                      <w:szCs w:val="21"/>
                    </w:rPr>
                  </w:pPr>
                  <w:r>
                    <w:rPr>
                      <w:sz w:val="21"/>
                      <w:szCs w:val="21"/>
                    </w:rPr>
                    <w:t>0.0</w:t>
                  </w:r>
                  <w:r>
                    <w:rPr>
                      <w:rFonts w:hint="eastAsia"/>
                      <w:sz w:val="21"/>
                      <w:szCs w:val="21"/>
                    </w:rPr>
                    <w:t>08</w:t>
                  </w:r>
                </w:p>
              </w:tc>
              <w:tc>
                <w:tcPr>
                  <w:tcW w:w="1090" w:type="dxa"/>
                  <w:vAlign w:val="center"/>
                </w:tcPr>
                <w:p w14:paraId="2ACFD31F">
                  <w:pPr>
                    <w:topLinePunct/>
                    <w:adjustRightInd w:val="0"/>
                    <w:snapToGrid w:val="0"/>
                    <w:spacing w:line="240" w:lineRule="auto"/>
                    <w:ind w:firstLine="0" w:firstLineChars="0"/>
                    <w:jc w:val="center"/>
                    <w:rPr>
                      <w:szCs w:val="21"/>
                    </w:rPr>
                  </w:pPr>
                  <w:r>
                    <w:rPr>
                      <w:sz w:val="21"/>
                      <w:szCs w:val="21"/>
                    </w:rPr>
                    <w:t>0.</w:t>
                  </w:r>
                  <w:r>
                    <w:rPr>
                      <w:rFonts w:hint="eastAsia"/>
                      <w:sz w:val="21"/>
                      <w:szCs w:val="21"/>
                    </w:rPr>
                    <w:t>4</w:t>
                  </w:r>
                </w:p>
              </w:tc>
              <w:tc>
                <w:tcPr>
                  <w:tcW w:w="1147" w:type="dxa"/>
                  <w:vAlign w:val="center"/>
                </w:tcPr>
                <w:p w14:paraId="0152CC62">
                  <w:pPr>
                    <w:topLinePunct/>
                    <w:adjustRightInd w:val="0"/>
                    <w:snapToGrid w:val="0"/>
                    <w:spacing w:line="240" w:lineRule="auto"/>
                    <w:ind w:firstLine="0" w:firstLineChars="0"/>
                    <w:jc w:val="center"/>
                    <w:rPr>
                      <w:szCs w:val="21"/>
                    </w:rPr>
                  </w:pPr>
                  <w:r>
                    <w:rPr>
                      <w:sz w:val="21"/>
                      <w:szCs w:val="21"/>
                    </w:rPr>
                    <w:t>0.1</w:t>
                  </w:r>
                  <w:r>
                    <w:rPr>
                      <w:rFonts w:hint="eastAsia"/>
                      <w:sz w:val="21"/>
                      <w:szCs w:val="21"/>
                    </w:rPr>
                    <w:t>04</w:t>
                  </w:r>
                </w:p>
              </w:tc>
            </w:tr>
            <w:tr w14:paraId="47DBC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4A20F30">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年8月</w:t>
                  </w:r>
                </w:p>
              </w:tc>
              <w:tc>
                <w:tcPr>
                  <w:tcW w:w="1142" w:type="dxa"/>
                  <w:vAlign w:val="center"/>
                </w:tcPr>
                <w:p w14:paraId="48A7BE98">
                  <w:pPr>
                    <w:topLinePunct/>
                    <w:adjustRightInd w:val="0"/>
                    <w:snapToGrid w:val="0"/>
                    <w:spacing w:line="240" w:lineRule="auto"/>
                    <w:ind w:firstLine="0" w:firstLineChars="0"/>
                    <w:jc w:val="center"/>
                    <w:rPr>
                      <w:szCs w:val="21"/>
                    </w:rPr>
                  </w:pPr>
                  <w:r>
                    <w:rPr>
                      <w:sz w:val="21"/>
                      <w:szCs w:val="21"/>
                    </w:rPr>
                    <w:t>0.00</w:t>
                  </w:r>
                  <w:r>
                    <w:rPr>
                      <w:rFonts w:hint="eastAsia"/>
                      <w:sz w:val="21"/>
                      <w:szCs w:val="21"/>
                    </w:rPr>
                    <w:t>3</w:t>
                  </w:r>
                </w:p>
              </w:tc>
              <w:tc>
                <w:tcPr>
                  <w:tcW w:w="1142" w:type="dxa"/>
                  <w:vAlign w:val="center"/>
                </w:tcPr>
                <w:p w14:paraId="6F0811D2">
                  <w:pPr>
                    <w:topLinePunct/>
                    <w:adjustRightInd w:val="0"/>
                    <w:snapToGrid w:val="0"/>
                    <w:spacing w:line="240" w:lineRule="auto"/>
                    <w:ind w:firstLine="0" w:firstLineChars="0"/>
                    <w:jc w:val="center"/>
                    <w:rPr>
                      <w:szCs w:val="21"/>
                    </w:rPr>
                  </w:pPr>
                  <w:r>
                    <w:rPr>
                      <w:sz w:val="21"/>
                      <w:szCs w:val="21"/>
                    </w:rPr>
                    <w:t>0.0</w:t>
                  </w:r>
                  <w:r>
                    <w:rPr>
                      <w:rFonts w:hint="eastAsia"/>
                      <w:sz w:val="21"/>
                      <w:szCs w:val="21"/>
                    </w:rPr>
                    <w:t>09</w:t>
                  </w:r>
                </w:p>
              </w:tc>
              <w:tc>
                <w:tcPr>
                  <w:tcW w:w="1142" w:type="dxa"/>
                  <w:vAlign w:val="center"/>
                </w:tcPr>
                <w:p w14:paraId="556BE15C">
                  <w:pPr>
                    <w:topLinePunct/>
                    <w:adjustRightInd w:val="0"/>
                    <w:snapToGrid w:val="0"/>
                    <w:spacing w:line="240" w:lineRule="auto"/>
                    <w:ind w:firstLine="0" w:firstLineChars="0"/>
                    <w:jc w:val="center"/>
                    <w:rPr>
                      <w:szCs w:val="21"/>
                    </w:rPr>
                  </w:pPr>
                  <w:r>
                    <w:rPr>
                      <w:sz w:val="21"/>
                      <w:szCs w:val="21"/>
                    </w:rPr>
                    <w:t>0.0</w:t>
                  </w:r>
                  <w:r>
                    <w:rPr>
                      <w:rFonts w:hint="eastAsia"/>
                      <w:sz w:val="21"/>
                      <w:szCs w:val="21"/>
                    </w:rPr>
                    <w:t>21</w:t>
                  </w:r>
                </w:p>
              </w:tc>
              <w:tc>
                <w:tcPr>
                  <w:tcW w:w="1578" w:type="dxa"/>
                  <w:vAlign w:val="center"/>
                </w:tcPr>
                <w:p w14:paraId="510275E4">
                  <w:pPr>
                    <w:topLinePunct/>
                    <w:adjustRightInd w:val="0"/>
                    <w:snapToGrid w:val="0"/>
                    <w:spacing w:line="240" w:lineRule="auto"/>
                    <w:ind w:firstLine="0" w:firstLineChars="0"/>
                    <w:jc w:val="center"/>
                    <w:rPr>
                      <w:szCs w:val="21"/>
                    </w:rPr>
                  </w:pPr>
                  <w:r>
                    <w:rPr>
                      <w:sz w:val="21"/>
                      <w:szCs w:val="21"/>
                    </w:rPr>
                    <w:t>0.0</w:t>
                  </w:r>
                  <w:r>
                    <w:rPr>
                      <w:rFonts w:hint="eastAsia"/>
                      <w:sz w:val="21"/>
                      <w:szCs w:val="21"/>
                    </w:rPr>
                    <w:t>09</w:t>
                  </w:r>
                </w:p>
              </w:tc>
              <w:tc>
                <w:tcPr>
                  <w:tcW w:w="1090" w:type="dxa"/>
                  <w:vAlign w:val="center"/>
                </w:tcPr>
                <w:p w14:paraId="4FD7E88A">
                  <w:pPr>
                    <w:topLinePunct/>
                    <w:adjustRightInd w:val="0"/>
                    <w:snapToGrid w:val="0"/>
                    <w:spacing w:line="240" w:lineRule="auto"/>
                    <w:ind w:firstLine="0" w:firstLineChars="0"/>
                    <w:jc w:val="center"/>
                    <w:rPr>
                      <w:szCs w:val="21"/>
                    </w:rPr>
                  </w:pPr>
                  <w:r>
                    <w:rPr>
                      <w:rFonts w:hint="eastAsia"/>
                      <w:sz w:val="21"/>
                      <w:szCs w:val="21"/>
                    </w:rPr>
                    <w:t>0.4</w:t>
                  </w:r>
                </w:p>
              </w:tc>
              <w:tc>
                <w:tcPr>
                  <w:tcW w:w="1147" w:type="dxa"/>
                  <w:vAlign w:val="center"/>
                </w:tcPr>
                <w:p w14:paraId="02918985">
                  <w:pPr>
                    <w:topLinePunct/>
                    <w:adjustRightInd w:val="0"/>
                    <w:snapToGrid w:val="0"/>
                    <w:spacing w:line="240" w:lineRule="auto"/>
                    <w:ind w:firstLine="0" w:firstLineChars="0"/>
                    <w:jc w:val="center"/>
                    <w:rPr>
                      <w:szCs w:val="21"/>
                    </w:rPr>
                  </w:pPr>
                  <w:r>
                    <w:rPr>
                      <w:sz w:val="21"/>
                      <w:szCs w:val="21"/>
                    </w:rPr>
                    <w:t>0.1</w:t>
                  </w:r>
                  <w:r>
                    <w:rPr>
                      <w:rFonts w:hint="eastAsia"/>
                      <w:sz w:val="21"/>
                      <w:szCs w:val="21"/>
                    </w:rPr>
                    <w:t>01</w:t>
                  </w:r>
                </w:p>
              </w:tc>
            </w:tr>
            <w:tr w14:paraId="2F792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09610E4">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年9月</w:t>
                  </w:r>
                </w:p>
              </w:tc>
              <w:tc>
                <w:tcPr>
                  <w:tcW w:w="1142" w:type="dxa"/>
                  <w:vAlign w:val="center"/>
                </w:tcPr>
                <w:p w14:paraId="2E50E954">
                  <w:pPr>
                    <w:topLinePunct/>
                    <w:adjustRightInd w:val="0"/>
                    <w:snapToGrid w:val="0"/>
                    <w:spacing w:line="240" w:lineRule="auto"/>
                    <w:ind w:firstLine="0" w:firstLineChars="0"/>
                    <w:jc w:val="center"/>
                    <w:rPr>
                      <w:szCs w:val="21"/>
                    </w:rPr>
                  </w:pPr>
                  <w:r>
                    <w:rPr>
                      <w:sz w:val="21"/>
                      <w:szCs w:val="21"/>
                    </w:rPr>
                    <w:t>0.002</w:t>
                  </w:r>
                </w:p>
              </w:tc>
              <w:tc>
                <w:tcPr>
                  <w:tcW w:w="1142" w:type="dxa"/>
                  <w:vAlign w:val="center"/>
                </w:tcPr>
                <w:p w14:paraId="66143389">
                  <w:pPr>
                    <w:topLinePunct/>
                    <w:adjustRightInd w:val="0"/>
                    <w:snapToGrid w:val="0"/>
                    <w:spacing w:line="240" w:lineRule="auto"/>
                    <w:ind w:firstLine="0" w:firstLineChars="0"/>
                    <w:jc w:val="center"/>
                    <w:rPr>
                      <w:szCs w:val="21"/>
                    </w:rPr>
                  </w:pPr>
                  <w:r>
                    <w:rPr>
                      <w:sz w:val="21"/>
                      <w:szCs w:val="21"/>
                    </w:rPr>
                    <w:t>0.00</w:t>
                  </w:r>
                  <w:r>
                    <w:rPr>
                      <w:rFonts w:hint="eastAsia"/>
                      <w:sz w:val="21"/>
                      <w:szCs w:val="21"/>
                    </w:rPr>
                    <w:t>8</w:t>
                  </w:r>
                </w:p>
              </w:tc>
              <w:tc>
                <w:tcPr>
                  <w:tcW w:w="1142" w:type="dxa"/>
                  <w:vAlign w:val="center"/>
                </w:tcPr>
                <w:p w14:paraId="418DB5EC">
                  <w:pPr>
                    <w:topLinePunct/>
                    <w:adjustRightInd w:val="0"/>
                    <w:snapToGrid w:val="0"/>
                    <w:spacing w:line="240" w:lineRule="auto"/>
                    <w:ind w:firstLine="0" w:firstLineChars="0"/>
                    <w:jc w:val="center"/>
                    <w:rPr>
                      <w:szCs w:val="21"/>
                    </w:rPr>
                  </w:pPr>
                  <w:r>
                    <w:rPr>
                      <w:sz w:val="21"/>
                      <w:szCs w:val="21"/>
                    </w:rPr>
                    <w:t>0.0</w:t>
                  </w:r>
                  <w:r>
                    <w:rPr>
                      <w:rFonts w:hint="eastAsia"/>
                      <w:sz w:val="21"/>
                      <w:szCs w:val="21"/>
                    </w:rPr>
                    <w:t>19</w:t>
                  </w:r>
                </w:p>
              </w:tc>
              <w:tc>
                <w:tcPr>
                  <w:tcW w:w="1578" w:type="dxa"/>
                  <w:vAlign w:val="center"/>
                </w:tcPr>
                <w:p w14:paraId="0C879310">
                  <w:pPr>
                    <w:topLinePunct/>
                    <w:adjustRightInd w:val="0"/>
                    <w:snapToGrid w:val="0"/>
                    <w:spacing w:line="240" w:lineRule="auto"/>
                    <w:ind w:firstLine="0" w:firstLineChars="0"/>
                    <w:jc w:val="center"/>
                    <w:rPr>
                      <w:szCs w:val="21"/>
                    </w:rPr>
                  </w:pPr>
                  <w:r>
                    <w:rPr>
                      <w:sz w:val="21"/>
                      <w:szCs w:val="21"/>
                    </w:rPr>
                    <w:t>0.01</w:t>
                  </w:r>
                  <w:r>
                    <w:rPr>
                      <w:rFonts w:hint="eastAsia"/>
                      <w:sz w:val="21"/>
                      <w:szCs w:val="21"/>
                    </w:rPr>
                    <w:t>0</w:t>
                  </w:r>
                </w:p>
              </w:tc>
              <w:tc>
                <w:tcPr>
                  <w:tcW w:w="1090" w:type="dxa"/>
                  <w:vAlign w:val="center"/>
                </w:tcPr>
                <w:p w14:paraId="1FF0DBBC">
                  <w:pPr>
                    <w:topLinePunct/>
                    <w:adjustRightInd w:val="0"/>
                    <w:snapToGrid w:val="0"/>
                    <w:spacing w:line="240" w:lineRule="auto"/>
                    <w:ind w:firstLine="0" w:firstLineChars="0"/>
                    <w:jc w:val="center"/>
                    <w:rPr>
                      <w:szCs w:val="21"/>
                    </w:rPr>
                  </w:pPr>
                  <w:r>
                    <w:rPr>
                      <w:sz w:val="21"/>
                      <w:szCs w:val="21"/>
                    </w:rPr>
                    <w:t>0.</w:t>
                  </w:r>
                  <w:r>
                    <w:rPr>
                      <w:rFonts w:hint="eastAsia"/>
                      <w:sz w:val="21"/>
                      <w:szCs w:val="21"/>
                    </w:rPr>
                    <w:t>6</w:t>
                  </w:r>
                </w:p>
              </w:tc>
              <w:tc>
                <w:tcPr>
                  <w:tcW w:w="1147" w:type="dxa"/>
                  <w:vAlign w:val="center"/>
                </w:tcPr>
                <w:p w14:paraId="7A409689">
                  <w:pPr>
                    <w:topLinePunct/>
                    <w:adjustRightInd w:val="0"/>
                    <w:snapToGrid w:val="0"/>
                    <w:spacing w:line="240" w:lineRule="auto"/>
                    <w:ind w:firstLine="0" w:firstLineChars="0"/>
                    <w:jc w:val="center"/>
                    <w:rPr>
                      <w:szCs w:val="21"/>
                    </w:rPr>
                  </w:pPr>
                  <w:r>
                    <w:rPr>
                      <w:rFonts w:hint="eastAsia"/>
                      <w:sz w:val="21"/>
                      <w:szCs w:val="21"/>
                    </w:rPr>
                    <w:t>0.111</w:t>
                  </w:r>
                </w:p>
              </w:tc>
            </w:tr>
            <w:tr w14:paraId="63EAD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B7CE4FB">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年10月</w:t>
                  </w:r>
                </w:p>
              </w:tc>
              <w:tc>
                <w:tcPr>
                  <w:tcW w:w="1142" w:type="dxa"/>
                  <w:vAlign w:val="center"/>
                </w:tcPr>
                <w:p w14:paraId="018236D9">
                  <w:pPr>
                    <w:topLinePunct/>
                    <w:adjustRightInd w:val="0"/>
                    <w:snapToGrid w:val="0"/>
                    <w:spacing w:line="240" w:lineRule="auto"/>
                    <w:ind w:firstLine="0" w:firstLineChars="0"/>
                    <w:jc w:val="center"/>
                    <w:rPr>
                      <w:szCs w:val="21"/>
                    </w:rPr>
                  </w:pPr>
                  <w:r>
                    <w:rPr>
                      <w:sz w:val="21"/>
                      <w:szCs w:val="21"/>
                    </w:rPr>
                    <w:t>0.00</w:t>
                  </w:r>
                  <w:r>
                    <w:rPr>
                      <w:rFonts w:hint="eastAsia"/>
                      <w:sz w:val="21"/>
                      <w:szCs w:val="21"/>
                    </w:rPr>
                    <w:t>3</w:t>
                  </w:r>
                </w:p>
              </w:tc>
              <w:tc>
                <w:tcPr>
                  <w:tcW w:w="1142" w:type="dxa"/>
                  <w:vAlign w:val="center"/>
                </w:tcPr>
                <w:p w14:paraId="09B5CCDC">
                  <w:pPr>
                    <w:topLinePunct/>
                    <w:adjustRightInd w:val="0"/>
                    <w:snapToGrid w:val="0"/>
                    <w:spacing w:line="240" w:lineRule="auto"/>
                    <w:ind w:firstLine="0" w:firstLineChars="0"/>
                    <w:jc w:val="center"/>
                    <w:rPr>
                      <w:szCs w:val="21"/>
                    </w:rPr>
                  </w:pPr>
                  <w:r>
                    <w:rPr>
                      <w:sz w:val="21"/>
                      <w:szCs w:val="21"/>
                    </w:rPr>
                    <w:t>0.00</w:t>
                  </w:r>
                  <w:r>
                    <w:rPr>
                      <w:rFonts w:hint="eastAsia"/>
                      <w:sz w:val="21"/>
                      <w:szCs w:val="21"/>
                    </w:rPr>
                    <w:t>8</w:t>
                  </w:r>
                </w:p>
              </w:tc>
              <w:tc>
                <w:tcPr>
                  <w:tcW w:w="1142" w:type="dxa"/>
                  <w:vAlign w:val="center"/>
                </w:tcPr>
                <w:p w14:paraId="3BAD2578">
                  <w:pPr>
                    <w:topLinePunct/>
                    <w:adjustRightInd w:val="0"/>
                    <w:snapToGrid w:val="0"/>
                    <w:spacing w:line="240" w:lineRule="auto"/>
                    <w:ind w:firstLine="0" w:firstLineChars="0"/>
                    <w:jc w:val="center"/>
                    <w:rPr>
                      <w:szCs w:val="21"/>
                    </w:rPr>
                  </w:pPr>
                  <w:r>
                    <w:rPr>
                      <w:sz w:val="21"/>
                      <w:szCs w:val="21"/>
                    </w:rPr>
                    <w:t>0.02</w:t>
                  </w:r>
                  <w:r>
                    <w:rPr>
                      <w:rFonts w:hint="eastAsia"/>
                      <w:sz w:val="21"/>
                      <w:szCs w:val="21"/>
                    </w:rPr>
                    <w:t>3</w:t>
                  </w:r>
                </w:p>
              </w:tc>
              <w:tc>
                <w:tcPr>
                  <w:tcW w:w="1578" w:type="dxa"/>
                  <w:vAlign w:val="center"/>
                </w:tcPr>
                <w:p w14:paraId="21C20FB9">
                  <w:pPr>
                    <w:topLinePunct/>
                    <w:adjustRightInd w:val="0"/>
                    <w:snapToGrid w:val="0"/>
                    <w:spacing w:line="240" w:lineRule="auto"/>
                    <w:ind w:firstLine="0" w:firstLineChars="0"/>
                    <w:jc w:val="center"/>
                    <w:rPr>
                      <w:szCs w:val="21"/>
                    </w:rPr>
                  </w:pPr>
                  <w:r>
                    <w:rPr>
                      <w:sz w:val="21"/>
                      <w:szCs w:val="21"/>
                    </w:rPr>
                    <w:t>0.01</w:t>
                  </w:r>
                  <w:r>
                    <w:rPr>
                      <w:rFonts w:hint="eastAsia"/>
                      <w:sz w:val="21"/>
                      <w:szCs w:val="21"/>
                    </w:rPr>
                    <w:t>1</w:t>
                  </w:r>
                </w:p>
              </w:tc>
              <w:tc>
                <w:tcPr>
                  <w:tcW w:w="1090" w:type="dxa"/>
                  <w:vAlign w:val="center"/>
                </w:tcPr>
                <w:p w14:paraId="27CD843A">
                  <w:pPr>
                    <w:topLinePunct/>
                    <w:adjustRightInd w:val="0"/>
                    <w:snapToGrid w:val="0"/>
                    <w:spacing w:line="240" w:lineRule="auto"/>
                    <w:ind w:firstLine="0" w:firstLineChars="0"/>
                    <w:jc w:val="center"/>
                    <w:rPr>
                      <w:szCs w:val="21"/>
                    </w:rPr>
                  </w:pPr>
                  <w:r>
                    <w:rPr>
                      <w:sz w:val="21"/>
                      <w:szCs w:val="21"/>
                    </w:rPr>
                    <w:t>0.</w:t>
                  </w:r>
                  <w:r>
                    <w:rPr>
                      <w:rFonts w:hint="eastAsia"/>
                      <w:sz w:val="21"/>
                      <w:szCs w:val="21"/>
                    </w:rPr>
                    <w:t>6</w:t>
                  </w:r>
                </w:p>
              </w:tc>
              <w:tc>
                <w:tcPr>
                  <w:tcW w:w="1147" w:type="dxa"/>
                  <w:vAlign w:val="center"/>
                </w:tcPr>
                <w:p w14:paraId="159C5526">
                  <w:pPr>
                    <w:topLinePunct/>
                    <w:adjustRightInd w:val="0"/>
                    <w:snapToGrid w:val="0"/>
                    <w:spacing w:line="240" w:lineRule="auto"/>
                    <w:ind w:firstLine="0" w:firstLineChars="0"/>
                    <w:jc w:val="center"/>
                    <w:rPr>
                      <w:szCs w:val="21"/>
                    </w:rPr>
                  </w:pPr>
                  <w:r>
                    <w:rPr>
                      <w:sz w:val="21"/>
                      <w:szCs w:val="21"/>
                    </w:rPr>
                    <w:t>0.1</w:t>
                  </w:r>
                  <w:r>
                    <w:rPr>
                      <w:rFonts w:hint="eastAsia"/>
                      <w:sz w:val="21"/>
                      <w:szCs w:val="21"/>
                    </w:rPr>
                    <w:t>12</w:t>
                  </w:r>
                </w:p>
              </w:tc>
            </w:tr>
            <w:tr w14:paraId="5039E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218723A">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年11月</w:t>
                  </w:r>
                </w:p>
              </w:tc>
              <w:tc>
                <w:tcPr>
                  <w:tcW w:w="1142" w:type="dxa"/>
                  <w:vAlign w:val="center"/>
                </w:tcPr>
                <w:p w14:paraId="030598BF">
                  <w:pPr>
                    <w:topLinePunct/>
                    <w:adjustRightInd w:val="0"/>
                    <w:snapToGrid w:val="0"/>
                    <w:spacing w:line="240" w:lineRule="auto"/>
                    <w:ind w:firstLine="0" w:firstLineChars="0"/>
                    <w:jc w:val="center"/>
                    <w:rPr>
                      <w:szCs w:val="21"/>
                    </w:rPr>
                  </w:pPr>
                  <w:r>
                    <w:rPr>
                      <w:sz w:val="21"/>
                      <w:szCs w:val="21"/>
                    </w:rPr>
                    <w:t>0.00</w:t>
                  </w:r>
                  <w:r>
                    <w:rPr>
                      <w:rFonts w:hint="eastAsia"/>
                      <w:sz w:val="21"/>
                      <w:szCs w:val="21"/>
                    </w:rPr>
                    <w:t>4</w:t>
                  </w:r>
                </w:p>
              </w:tc>
              <w:tc>
                <w:tcPr>
                  <w:tcW w:w="1142" w:type="dxa"/>
                  <w:vAlign w:val="center"/>
                </w:tcPr>
                <w:p w14:paraId="36049B39">
                  <w:pPr>
                    <w:topLinePunct/>
                    <w:adjustRightInd w:val="0"/>
                    <w:snapToGrid w:val="0"/>
                    <w:spacing w:line="240" w:lineRule="auto"/>
                    <w:ind w:firstLine="0" w:firstLineChars="0"/>
                    <w:jc w:val="center"/>
                    <w:rPr>
                      <w:szCs w:val="21"/>
                    </w:rPr>
                  </w:pPr>
                  <w:r>
                    <w:rPr>
                      <w:sz w:val="21"/>
                      <w:szCs w:val="21"/>
                    </w:rPr>
                    <w:t>0.0</w:t>
                  </w:r>
                  <w:r>
                    <w:rPr>
                      <w:rFonts w:hint="eastAsia"/>
                      <w:sz w:val="21"/>
                      <w:szCs w:val="21"/>
                    </w:rPr>
                    <w:t>10</w:t>
                  </w:r>
                </w:p>
              </w:tc>
              <w:tc>
                <w:tcPr>
                  <w:tcW w:w="1142" w:type="dxa"/>
                  <w:vAlign w:val="center"/>
                </w:tcPr>
                <w:p w14:paraId="653D3297">
                  <w:pPr>
                    <w:topLinePunct/>
                    <w:adjustRightInd w:val="0"/>
                    <w:snapToGrid w:val="0"/>
                    <w:spacing w:line="240" w:lineRule="auto"/>
                    <w:ind w:firstLine="0" w:firstLineChars="0"/>
                    <w:jc w:val="center"/>
                    <w:rPr>
                      <w:szCs w:val="21"/>
                    </w:rPr>
                  </w:pPr>
                  <w:r>
                    <w:rPr>
                      <w:sz w:val="21"/>
                      <w:szCs w:val="21"/>
                    </w:rPr>
                    <w:t>0.0</w:t>
                  </w:r>
                  <w:r>
                    <w:rPr>
                      <w:rFonts w:hint="eastAsia"/>
                      <w:sz w:val="21"/>
                      <w:szCs w:val="21"/>
                    </w:rPr>
                    <w:t>35</w:t>
                  </w:r>
                </w:p>
              </w:tc>
              <w:tc>
                <w:tcPr>
                  <w:tcW w:w="1578" w:type="dxa"/>
                  <w:vAlign w:val="center"/>
                </w:tcPr>
                <w:p w14:paraId="3DF762CB">
                  <w:pPr>
                    <w:topLinePunct/>
                    <w:adjustRightInd w:val="0"/>
                    <w:snapToGrid w:val="0"/>
                    <w:spacing w:line="240" w:lineRule="auto"/>
                    <w:ind w:firstLine="0" w:firstLineChars="0"/>
                    <w:jc w:val="center"/>
                    <w:rPr>
                      <w:szCs w:val="21"/>
                    </w:rPr>
                  </w:pPr>
                  <w:r>
                    <w:rPr>
                      <w:sz w:val="21"/>
                      <w:szCs w:val="21"/>
                    </w:rPr>
                    <w:t>0.01</w:t>
                  </w:r>
                  <w:r>
                    <w:rPr>
                      <w:rFonts w:hint="eastAsia"/>
                      <w:sz w:val="21"/>
                      <w:szCs w:val="21"/>
                    </w:rPr>
                    <w:t>6</w:t>
                  </w:r>
                </w:p>
              </w:tc>
              <w:tc>
                <w:tcPr>
                  <w:tcW w:w="1090" w:type="dxa"/>
                  <w:vAlign w:val="center"/>
                </w:tcPr>
                <w:p w14:paraId="69A818A6">
                  <w:pPr>
                    <w:topLinePunct/>
                    <w:adjustRightInd w:val="0"/>
                    <w:snapToGrid w:val="0"/>
                    <w:spacing w:line="240" w:lineRule="auto"/>
                    <w:ind w:firstLine="0" w:firstLineChars="0"/>
                    <w:jc w:val="center"/>
                    <w:rPr>
                      <w:szCs w:val="21"/>
                    </w:rPr>
                  </w:pPr>
                  <w:r>
                    <w:rPr>
                      <w:sz w:val="21"/>
                      <w:szCs w:val="21"/>
                    </w:rPr>
                    <w:t>0.</w:t>
                  </w:r>
                  <w:r>
                    <w:rPr>
                      <w:rFonts w:hint="eastAsia"/>
                      <w:sz w:val="21"/>
                      <w:szCs w:val="21"/>
                    </w:rPr>
                    <w:t>6</w:t>
                  </w:r>
                </w:p>
              </w:tc>
              <w:tc>
                <w:tcPr>
                  <w:tcW w:w="1147" w:type="dxa"/>
                  <w:vAlign w:val="center"/>
                </w:tcPr>
                <w:p w14:paraId="0A0A6AC5">
                  <w:pPr>
                    <w:topLinePunct/>
                    <w:adjustRightInd w:val="0"/>
                    <w:snapToGrid w:val="0"/>
                    <w:spacing w:line="240" w:lineRule="auto"/>
                    <w:ind w:firstLine="0" w:firstLineChars="0"/>
                    <w:jc w:val="center"/>
                    <w:rPr>
                      <w:szCs w:val="21"/>
                    </w:rPr>
                  </w:pPr>
                  <w:r>
                    <w:rPr>
                      <w:sz w:val="21"/>
                      <w:szCs w:val="21"/>
                    </w:rPr>
                    <w:t>0.1</w:t>
                  </w:r>
                  <w:r>
                    <w:rPr>
                      <w:rFonts w:hint="eastAsia"/>
                      <w:sz w:val="21"/>
                      <w:szCs w:val="21"/>
                    </w:rPr>
                    <w:t>21</w:t>
                  </w:r>
                </w:p>
              </w:tc>
            </w:tr>
            <w:tr w14:paraId="66D6C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C0C6DCB">
                  <w:pPr>
                    <w:topLinePunct/>
                    <w:adjustRightInd w:val="0"/>
                    <w:snapToGrid w:val="0"/>
                    <w:spacing w:line="240" w:lineRule="auto"/>
                    <w:ind w:firstLine="0" w:firstLineChars="0"/>
                    <w:jc w:val="center"/>
                    <w:rPr>
                      <w:szCs w:val="21"/>
                    </w:rPr>
                  </w:pPr>
                  <w:r>
                    <w:rPr>
                      <w:sz w:val="21"/>
                      <w:szCs w:val="21"/>
                    </w:rPr>
                    <w:t>202</w:t>
                  </w:r>
                  <w:r>
                    <w:rPr>
                      <w:rFonts w:hint="eastAsia"/>
                      <w:sz w:val="21"/>
                      <w:szCs w:val="21"/>
                    </w:rPr>
                    <w:t>5</w:t>
                  </w:r>
                  <w:r>
                    <w:rPr>
                      <w:sz w:val="21"/>
                      <w:szCs w:val="21"/>
                    </w:rPr>
                    <w:t>年12月</w:t>
                  </w:r>
                </w:p>
              </w:tc>
              <w:tc>
                <w:tcPr>
                  <w:tcW w:w="1142" w:type="dxa"/>
                  <w:vAlign w:val="center"/>
                </w:tcPr>
                <w:p w14:paraId="55B9123F">
                  <w:pPr>
                    <w:topLinePunct/>
                    <w:adjustRightInd w:val="0"/>
                    <w:snapToGrid w:val="0"/>
                    <w:spacing w:line="240" w:lineRule="auto"/>
                    <w:ind w:firstLine="0" w:firstLineChars="0"/>
                    <w:jc w:val="center"/>
                    <w:rPr>
                      <w:szCs w:val="21"/>
                    </w:rPr>
                  </w:pPr>
                  <w:r>
                    <w:rPr>
                      <w:sz w:val="21"/>
                      <w:szCs w:val="21"/>
                    </w:rPr>
                    <w:t>0.00</w:t>
                  </w:r>
                  <w:r>
                    <w:rPr>
                      <w:rFonts w:hint="eastAsia"/>
                      <w:sz w:val="21"/>
                      <w:szCs w:val="21"/>
                    </w:rPr>
                    <w:t>3</w:t>
                  </w:r>
                </w:p>
              </w:tc>
              <w:tc>
                <w:tcPr>
                  <w:tcW w:w="1142" w:type="dxa"/>
                  <w:vAlign w:val="center"/>
                </w:tcPr>
                <w:p w14:paraId="2141D69E">
                  <w:pPr>
                    <w:topLinePunct/>
                    <w:adjustRightInd w:val="0"/>
                    <w:snapToGrid w:val="0"/>
                    <w:spacing w:line="240" w:lineRule="auto"/>
                    <w:ind w:firstLine="0" w:firstLineChars="0"/>
                    <w:jc w:val="center"/>
                    <w:rPr>
                      <w:szCs w:val="21"/>
                    </w:rPr>
                  </w:pPr>
                  <w:r>
                    <w:rPr>
                      <w:sz w:val="21"/>
                      <w:szCs w:val="21"/>
                    </w:rPr>
                    <w:t>0.01</w:t>
                  </w:r>
                  <w:r>
                    <w:rPr>
                      <w:rFonts w:hint="eastAsia"/>
                      <w:sz w:val="21"/>
                      <w:szCs w:val="21"/>
                    </w:rPr>
                    <w:t>5</w:t>
                  </w:r>
                </w:p>
              </w:tc>
              <w:tc>
                <w:tcPr>
                  <w:tcW w:w="1142" w:type="dxa"/>
                  <w:vAlign w:val="center"/>
                </w:tcPr>
                <w:p w14:paraId="3D12512D">
                  <w:pPr>
                    <w:topLinePunct/>
                    <w:adjustRightInd w:val="0"/>
                    <w:snapToGrid w:val="0"/>
                    <w:spacing w:line="240" w:lineRule="auto"/>
                    <w:ind w:firstLine="0" w:firstLineChars="0"/>
                    <w:jc w:val="center"/>
                    <w:rPr>
                      <w:szCs w:val="21"/>
                    </w:rPr>
                  </w:pPr>
                  <w:r>
                    <w:rPr>
                      <w:sz w:val="21"/>
                      <w:szCs w:val="21"/>
                    </w:rPr>
                    <w:t>0.03</w:t>
                  </w:r>
                  <w:r>
                    <w:rPr>
                      <w:rFonts w:hint="eastAsia"/>
                      <w:sz w:val="21"/>
                      <w:szCs w:val="21"/>
                    </w:rPr>
                    <w:t>6</w:t>
                  </w:r>
                </w:p>
              </w:tc>
              <w:tc>
                <w:tcPr>
                  <w:tcW w:w="1578" w:type="dxa"/>
                  <w:vAlign w:val="center"/>
                </w:tcPr>
                <w:p w14:paraId="51944A3E">
                  <w:pPr>
                    <w:topLinePunct/>
                    <w:adjustRightInd w:val="0"/>
                    <w:snapToGrid w:val="0"/>
                    <w:spacing w:line="240" w:lineRule="auto"/>
                    <w:ind w:firstLine="0" w:firstLineChars="0"/>
                    <w:jc w:val="center"/>
                    <w:rPr>
                      <w:szCs w:val="21"/>
                    </w:rPr>
                  </w:pPr>
                  <w:r>
                    <w:rPr>
                      <w:sz w:val="21"/>
                      <w:szCs w:val="21"/>
                    </w:rPr>
                    <w:t>0.0</w:t>
                  </w:r>
                  <w:r>
                    <w:rPr>
                      <w:rFonts w:hint="eastAsia"/>
                      <w:sz w:val="21"/>
                      <w:szCs w:val="21"/>
                    </w:rPr>
                    <w:t>20</w:t>
                  </w:r>
                </w:p>
              </w:tc>
              <w:tc>
                <w:tcPr>
                  <w:tcW w:w="1090" w:type="dxa"/>
                  <w:vAlign w:val="center"/>
                </w:tcPr>
                <w:p w14:paraId="057ECC0B">
                  <w:pPr>
                    <w:topLinePunct/>
                    <w:adjustRightInd w:val="0"/>
                    <w:snapToGrid w:val="0"/>
                    <w:spacing w:line="240" w:lineRule="auto"/>
                    <w:ind w:firstLine="0" w:firstLineChars="0"/>
                    <w:jc w:val="center"/>
                    <w:rPr>
                      <w:szCs w:val="21"/>
                    </w:rPr>
                  </w:pPr>
                  <w:r>
                    <w:rPr>
                      <w:sz w:val="21"/>
                      <w:szCs w:val="21"/>
                    </w:rPr>
                    <w:t>0.</w:t>
                  </w:r>
                  <w:r>
                    <w:rPr>
                      <w:rFonts w:hint="eastAsia"/>
                      <w:sz w:val="21"/>
                      <w:szCs w:val="21"/>
                    </w:rPr>
                    <w:t>6</w:t>
                  </w:r>
                </w:p>
              </w:tc>
              <w:tc>
                <w:tcPr>
                  <w:tcW w:w="1147" w:type="dxa"/>
                  <w:vAlign w:val="center"/>
                </w:tcPr>
                <w:p w14:paraId="4C2AA583">
                  <w:pPr>
                    <w:topLinePunct/>
                    <w:adjustRightInd w:val="0"/>
                    <w:snapToGrid w:val="0"/>
                    <w:spacing w:line="240" w:lineRule="auto"/>
                    <w:ind w:firstLine="0" w:firstLineChars="0"/>
                    <w:jc w:val="center"/>
                    <w:rPr>
                      <w:szCs w:val="21"/>
                    </w:rPr>
                  </w:pPr>
                  <w:r>
                    <w:rPr>
                      <w:sz w:val="21"/>
                      <w:szCs w:val="21"/>
                    </w:rPr>
                    <w:t>0.1</w:t>
                  </w:r>
                  <w:r>
                    <w:rPr>
                      <w:rFonts w:hint="eastAsia"/>
                      <w:sz w:val="21"/>
                      <w:szCs w:val="21"/>
                    </w:rPr>
                    <w:t>14</w:t>
                  </w:r>
                </w:p>
              </w:tc>
            </w:tr>
            <w:tr w14:paraId="3B742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797DCF9">
                  <w:pPr>
                    <w:topLinePunct/>
                    <w:adjustRightInd w:val="0"/>
                    <w:snapToGrid w:val="0"/>
                    <w:spacing w:line="240" w:lineRule="auto"/>
                    <w:ind w:firstLine="0" w:firstLineChars="0"/>
                    <w:jc w:val="center"/>
                    <w:rPr>
                      <w:szCs w:val="21"/>
                    </w:rPr>
                  </w:pPr>
                  <w:r>
                    <w:rPr>
                      <w:sz w:val="21"/>
                      <w:szCs w:val="21"/>
                    </w:rPr>
                    <w:t>二级标准</w:t>
                  </w:r>
                </w:p>
              </w:tc>
              <w:tc>
                <w:tcPr>
                  <w:tcW w:w="1142" w:type="dxa"/>
                  <w:vAlign w:val="center"/>
                </w:tcPr>
                <w:p w14:paraId="2E63EF13">
                  <w:pPr>
                    <w:topLinePunct/>
                    <w:adjustRightInd w:val="0"/>
                    <w:snapToGrid w:val="0"/>
                    <w:spacing w:line="240" w:lineRule="auto"/>
                    <w:ind w:firstLine="0" w:firstLineChars="0"/>
                    <w:jc w:val="center"/>
                    <w:rPr>
                      <w:szCs w:val="21"/>
                    </w:rPr>
                  </w:pPr>
                  <w:r>
                    <w:rPr>
                      <w:sz w:val="21"/>
                      <w:szCs w:val="21"/>
                    </w:rPr>
                    <w:t>0.06</w:t>
                  </w:r>
                </w:p>
              </w:tc>
              <w:tc>
                <w:tcPr>
                  <w:tcW w:w="1142" w:type="dxa"/>
                  <w:vAlign w:val="center"/>
                </w:tcPr>
                <w:p w14:paraId="28EA1696">
                  <w:pPr>
                    <w:topLinePunct/>
                    <w:adjustRightInd w:val="0"/>
                    <w:snapToGrid w:val="0"/>
                    <w:spacing w:line="240" w:lineRule="auto"/>
                    <w:ind w:firstLine="0" w:firstLineChars="0"/>
                    <w:jc w:val="center"/>
                    <w:rPr>
                      <w:szCs w:val="21"/>
                    </w:rPr>
                  </w:pPr>
                  <w:r>
                    <w:rPr>
                      <w:sz w:val="21"/>
                      <w:szCs w:val="21"/>
                    </w:rPr>
                    <w:t>0.04</w:t>
                  </w:r>
                </w:p>
              </w:tc>
              <w:tc>
                <w:tcPr>
                  <w:tcW w:w="1142" w:type="dxa"/>
                  <w:vAlign w:val="center"/>
                </w:tcPr>
                <w:p w14:paraId="3325EF4D">
                  <w:pPr>
                    <w:topLinePunct/>
                    <w:adjustRightInd w:val="0"/>
                    <w:snapToGrid w:val="0"/>
                    <w:spacing w:line="240" w:lineRule="auto"/>
                    <w:ind w:firstLine="0" w:firstLineChars="0"/>
                    <w:jc w:val="center"/>
                    <w:rPr>
                      <w:szCs w:val="21"/>
                    </w:rPr>
                  </w:pPr>
                  <w:r>
                    <w:rPr>
                      <w:sz w:val="21"/>
                      <w:szCs w:val="21"/>
                    </w:rPr>
                    <w:t>0.07</w:t>
                  </w:r>
                </w:p>
              </w:tc>
              <w:tc>
                <w:tcPr>
                  <w:tcW w:w="1578" w:type="dxa"/>
                  <w:vAlign w:val="center"/>
                </w:tcPr>
                <w:p w14:paraId="3E60E0B7">
                  <w:pPr>
                    <w:topLinePunct/>
                    <w:adjustRightInd w:val="0"/>
                    <w:snapToGrid w:val="0"/>
                    <w:spacing w:line="240" w:lineRule="auto"/>
                    <w:ind w:firstLine="0" w:firstLineChars="0"/>
                    <w:jc w:val="center"/>
                    <w:rPr>
                      <w:szCs w:val="21"/>
                    </w:rPr>
                  </w:pPr>
                  <w:r>
                    <w:rPr>
                      <w:sz w:val="21"/>
                      <w:szCs w:val="21"/>
                    </w:rPr>
                    <w:t>0.035</w:t>
                  </w:r>
                </w:p>
              </w:tc>
              <w:tc>
                <w:tcPr>
                  <w:tcW w:w="1090" w:type="dxa"/>
                  <w:vAlign w:val="center"/>
                </w:tcPr>
                <w:p w14:paraId="060DE584">
                  <w:pPr>
                    <w:topLinePunct/>
                    <w:adjustRightInd w:val="0"/>
                    <w:snapToGrid w:val="0"/>
                    <w:spacing w:line="240" w:lineRule="auto"/>
                    <w:ind w:firstLine="0" w:firstLineChars="0"/>
                    <w:jc w:val="center"/>
                    <w:rPr>
                      <w:szCs w:val="21"/>
                    </w:rPr>
                  </w:pPr>
                  <w:r>
                    <w:rPr>
                      <w:sz w:val="21"/>
                      <w:szCs w:val="21"/>
                    </w:rPr>
                    <w:t>4</w:t>
                  </w:r>
                </w:p>
              </w:tc>
              <w:tc>
                <w:tcPr>
                  <w:tcW w:w="1147" w:type="dxa"/>
                  <w:vAlign w:val="center"/>
                </w:tcPr>
                <w:p w14:paraId="1CF020AF">
                  <w:pPr>
                    <w:topLinePunct/>
                    <w:adjustRightInd w:val="0"/>
                    <w:snapToGrid w:val="0"/>
                    <w:spacing w:line="240" w:lineRule="auto"/>
                    <w:ind w:firstLine="0" w:firstLineChars="0"/>
                    <w:jc w:val="center"/>
                    <w:rPr>
                      <w:szCs w:val="21"/>
                    </w:rPr>
                  </w:pPr>
                  <w:r>
                    <w:rPr>
                      <w:sz w:val="21"/>
                      <w:szCs w:val="21"/>
                    </w:rPr>
                    <w:t>0.16</w:t>
                  </w:r>
                </w:p>
              </w:tc>
            </w:tr>
            <w:tr w14:paraId="74833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1773F20">
                  <w:pPr>
                    <w:topLinePunct/>
                    <w:adjustRightInd w:val="0"/>
                    <w:snapToGrid w:val="0"/>
                    <w:spacing w:line="240" w:lineRule="auto"/>
                    <w:ind w:firstLine="0" w:firstLineChars="0"/>
                    <w:jc w:val="center"/>
                    <w:rPr>
                      <w:szCs w:val="21"/>
                    </w:rPr>
                  </w:pPr>
                  <w:r>
                    <w:rPr>
                      <w:sz w:val="21"/>
                      <w:szCs w:val="21"/>
                    </w:rPr>
                    <w:t>备注</w:t>
                  </w:r>
                </w:p>
              </w:tc>
              <w:tc>
                <w:tcPr>
                  <w:tcW w:w="7241" w:type="dxa"/>
                  <w:gridSpan w:val="6"/>
                  <w:vAlign w:val="center"/>
                </w:tcPr>
                <w:p w14:paraId="11A7FE51">
                  <w:pPr>
                    <w:topLinePunct/>
                    <w:adjustRightInd w:val="0"/>
                    <w:snapToGrid w:val="0"/>
                    <w:spacing w:line="240" w:lineRule="auto"/>
                    <w:ind w:firstLine="0" w:firstLineChars="0"/>
                    <w:jc w:val="center"/>
                    <w:rPr>
                      <w:szCs w:val="21"/>
                    </w:rPr>
                  </w:pPr>
                  <w:r>
                    <w:rPr>
                      <w:sz w:val="21"/>
                      <w:szCs w:val="21"/>
                    </w:rPr>
                    <w:t>*CO为日均值第95百分位数，O</w:t>
                  </w:r>
                  <w:r>
                    <w:rPr>
                      <w:sz w:val="21"/>
                      <w:szCs w:val="21"/>
                      <w:vertAlign w:val="subscript"/>
                    </w:rPr>
                    <w:t>3</w:t>
                  </w:r>
                  <w:r>
                    <w:rPr>
                      <w:sz w:val="21"/>
                      <w:szCs w:val="21"/>
                    </w:rPr>
                    <w:t>为日最大8小时值第90百分位数。</w:t>
                  </w:r>
                </w:p>
              </w:tc>
            </w:tr>
          </w:tbl>
          <w:p w14:paraId="2760E371">
            <w:pPr>
              <w:snapToGrid w:val="0"/>
              <w:ind w:firstLine="480"/>
            </w:pPr>
            <w:r>
              <w:t>由上表可知，</w:t>
            </w:r>
            <w:r>
              <w:rPr>
                <w:rFonts w:hint="eastAsia"/>
              </w:rPr>
              <w:t>福州市福清市</w:t>
            </w:r>
            <w:r>
              <w:t>202</w:t>
            </w:r>
            <w:r>
              <w:rPr>
                <w:rFonts w:hint="eastAsia"/>
              </w:rPr>
              <w:t>5</w:t>
            </w:r>
            <w:r>
              <w:t>年1月</w:t>
            </w:r>
            <w:r>
              <w:rPr>
                <w:rFonts w:hint="eastAsia"/>
              </w:rPr>
              <w:t>～</w:t>
            </w:r>
            <w:r>
              <w:t>12月份</w:t>
            </w:r>
            <w:r>
              <w:rPr>
                <w:kern w:val="0"/>
              </w:rPr>
              <w:t>空气环境中SO</w:t>
            </w:r>
            <w:r>
              <w:rPr>
                <w:kern w:val="0"/>
                <w:vertAlign w:val="subscript"/>
              </w:rPr>
              <w:t>2</w:t>
            </w:r>
            <w:r>
              <w:rPr>
                <w:kern w:val="0"/>
              </w:rPr>
              <w:t>、NO</w:t>
            </w:r>
            <w:r>
              <w:rPr>
                <w:kern w:val="0"/>
                <w:vertAlign w:val="subscript"/>
              </w:rPr>
              <w:t>2</w:t>
            </w:r>
            <w:r>
              <w:rPr>
                <w:kern w:val="0"/>
              </w:rPr>
              <w:t>、PM</w:t>
            </w:r>
            <w:r>
              <w:rPr>
                <w:kern w:val="0"/>
                <w:vertAlign w:val="subscript"/>
              </w:rPr>
              <w:t>10</w:t>
            </w:r>
            <w:r>
              <w:rPr>
                <w:kern w:val="0"/>
              </w:rPr>
              <w:t>和PM</w:t>
            </w:r>
            <w:r>
              <w:rPr>
                <w:kern w:val="0"/>
                <w:vertAlign w:val="subscript"/>
              </w:rPr>
              <w:t>2.5</w:t>
            </w:r>
            <w:r>
              <w:rPr>
                <w:kern w:val="0"/>
              </w:rPr>
              <w:t>均未超过</w:t>
            </w:r>
            <w:r>
              <w:rPr>
                <w:rFonts w:hint="eastAsia"/>
                <w:kern w:val="0"/>
              </w:rPr>
              <w:t>《</w:t>
            </w:r>
            <w:r>
              <w:t>环境空气质量标准》（GB3095-20</w:t>
            </w:r>
            <w:r>
              <w:rPr>
                <w:rFonts w:hint="eastAsia"/>
              </w:rPr>
              <w:t>26</w:t>
            </w:r>
            <w:r>
              <w:t>）</w:t>
            </w:r>
            <w:r>
              <w:rPr>
                <w:rFonts w:hint="eastAsia"/>
              </w:rPr>
              <w:t>过渡阶段二级标准</w:t>
            </w:r>
            <w:r>
              <w:t>限值</w:t>
            </w:r>
            <w:r>
              <w:rPr>
                <w:kern w:val="0"/>
              </w:rPr>
              <w:t>，CO日均值第95百分数和O</w:t>
            </w:r>
            <w:r>
              <w:rPr>
                <w:kern w:val="0"/>
                <w:vertAlign w:val="subscript"/>
              </w:rPr>
              <w:t>3</w:t>
            </w:r>
            <w:r>
              <w:rPr>
                <w:kern w:val="0"/>
              </w:rPr>
              <w:t>最大8小时值第90百分数未超过</w:t>
            </w:r>
            <w:r>
              <w:rPr>
                <w:rFonts w:hint="eastAsia"/>
                <w:kern w:val="0"/>
              </w:rPr>
              <w:t>《</w:t>
            </w:r>
            <w:r>
              <w:t>环境空气质量标准》（GB3095-20</w:t>
            </w:r>
            <w:r>
              <w:rPr>
                <w:rFonts w:hint="eastAsia"/>
              </w:rPr>
              <w:t>26</w:t>
            </w:r>
            <w:r>
              <w:t>）</w:t>
            </w:r>
            <w:r>
              <w:rPr>
                <w:rFonts w:hint="eastAsia"/>
              </w:rPr>
              <w:t>过渡阶段二级标准</w:t>
            </w:r>
            <w:r>
              <w:t>限值</w:t>
            </w:r>
            <w:r>
              <w:rPr>
                <w:kern w:val="0"/>
              </w:rPr>
              <w:t>。</w:t>
            </w:r>
            <w:r>
              <w:rPr>
                <w:rFonts w:hint="eastAsia"/>
              </w:rPr>
              <w:t>因此项目所在区域属于大气环境达标区</w:t>
            </w:r>
            <w:r>
              <w:t>。</w:t>
            </w:r>
          </w:p>
          <w:p w14:paraId="52045925">
            <w:pPr>
              <w:ind w:firstLine="480"/>
            </w:pPr>
            <w:r>
              <w:t>（2）特征因子环境现状质量</w:t>
            </w:r>
          </w:p>
          <w:p w14:paraId="5A2004B3">
            <w:pPr>
              <w:ind w:firstLine="480"/>
            </w:pPr>
            <w:r>
              <w:t>为了解</w:t>
            </w:r>
            <w:r>
              <w:rPr>
                <w:rFonts w:hint="eastAsia"/>
              </w:rPr>
              <w:t>扩建项目</w:t>
            </w:r>
            <w:r>
              <w:t>周边环境质量现状，本次引用</w:t>
            </w:r>
            <w:r>
              <w:rPr>
                <w:rFonts w:hint="eastAsia"/>
                <w:szCs w:val="21"/>
              </w:rPr>
              <w:t>福建省化工产品质量检验站有限公司</w:t>
            </w:r>
            <w:r>
              <w:rPr>
                <w:szCs w:val="21"/>
              </w:rPr>
              <w:t>2023</w:t>
            </w:r>
            <w:r>
              <w:rPr>
                <w:rFonts w:hint="eastAsia"/>
                <w:szCs w:val="21"/>
              </w:rPr>
              <w:t>年</w:t>
            </w:r>
            <w:r>
              <w:rPr>
                <w:szCs w:val="21"/>
              </w:rPr>
              <w:t>7</w:t>
            </w:r>
            <w:r>
              <w:rPr>
                <w:rFonts w:hint="eastAsia"/>
                <w:szCs w:val="21"/>
              </w:rPr>
              <w:t>月</w:t>
            </w:r>
            <w:r>
              <w:rPr>
                <w:szCs w:val="21"/>
              </w:rPr>
              <w:t>10</w:t>
            </w:r>
            <w:r>
              <w:rPr>
                <w:rFonts w:hint="eastAsia"/>
                <w:szCs w:val="21"/>
              </w:rPr>
              <w:t>日～</w:t>
            </w:r>
            <w:r>
              <w:rPr>
                <w:szCs w:val="21"/>
              </w:rPr>
              <w:t>2023</w:t>
            </w:r>
            <w:r>
              <w:rPr>
                <w:rFonts w:hint="eastAsia"/>
                <w:szCs w:val="21"/>
              </w:rPr>
              <w:t>年</w:t>
            </w:r>
            <w:r>
              <w:rPr>
                <w:szCs w:val="21"/>
              </w:rPr>
              <w:t>7</w:t>
            </w:r>
            <w:r>
              <w:rPr>
                <w:rFonts w:hint="eastAsia"/>
                <w:szCs w:val="21"/>
              </w:rPr>
              <w:t>月</w:t>
            </w:r>
            <w:r>
              <w:rPr>
                <w:szCs w:val="21"/>
              </w:rPr>
              <w:t>16</w:t>
            </w:r>
            <w:r>
              <w:rPr>
                <w:rFonts w:hint="eastAsia"/>
                <w:szCs w:val="21"/>
              </w:rPr>
              <w:t>日的监测数据</w:t>
            </w:r>
            <w:r>
              <w:rPr>
                <w:rFonts w:hint="eastAsia"/>
                <w:bCs/>
              </w:rPr>
              <w:t>连续</w:t>
            </w:r>
            <w:r>
              <w:rPr>
                <w:bCs/>
              </w:rPr>
              <w:t>7</w:t>
            </w:r>
            <w:r>
              <w:rPr>
                <w:rFonts w:hint="eastAsia"/>
                <w:bCs/>
              </w:rPr>
              <w:t>天在本次扩建项目评价范围内进行的大气环境现状调查，监测报告详见附件9</w:t>
            </w:r>
            <w:r>
              <w:t>。引用资料为评价范围内近三年的有效</w:t>
            </w:r>
            <w:r>
              <w:rPr>
                <w:rFonts w:hint="eastAsia"/>
              </w:rPr>
              <w:t>。</w:t>
            </w:r>
          </w:p>
          <w:p w14:paraId="11B2FB44">
            <w:pPr>
              <w:ind w:firstLine="480"/>
            </w:pPr>
            <w:r>
              <w:t>数据监测点位和采样时间详见表</w:t>
            </w:r>
            <w:r>
              <w:rPr>
                <w:rFonts w:hint="eastAsia"/>
              </w:rPr>
              <w:t>3.2-2</w:t>
            </w:r>
            <w:r>
              <w:t>和图</w:t>
            </w:r>
            <w:r>
              <w:rPr>
                <w:rFonts w:hint="eastAsia"/>
              </w:rPr>
              <w:t>3.2-1</w:t>
            </w:r>
            <w:r>
              <w:t>。</w:t>
            </w:r>
          </w:p>
          <w:p w14:paraId="1D764113">
            <w:pPr>
              <w:spacing w:line="240" w:lineRule="auto"/>
              <w:ind w:firstLine="0" w:firstLineChars="0"/>
              <w:jc w:val="center"/>
              <w:rPr>
                <w:b/>
                <w:szCs w:val="20"/>
              </w:rPr>
            </w:pPr>
            <w:r>
              <w:rPr>
                <w:b/>
                <w:szCs w:val="20"/>
              </w:rPr>
              <w:t>表</w:t>
            </w:r>
            <w:r>
              <w:rPr>
                <w:rFonts w:hint="eastAsia"/>
                <w:b/>
                <w:szCs w:val="20"/>
              </w:rPr>
              <w:t>3.2-2</w:t>
            </w:r>
            <w:r>
              <w:rPr>
                <w:b/>
                <w:szCs w:val="20"/>
              </w:rPr>
              <w:t>大气监测点位表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279"/>
              <w:gridCol w:w="1549"/>
              <w:gridCol w:w="2504"/>
              <w:gridCol w:w="2219"/>
            </w:tblGrid>
            <w:tr w14:paraId="542E9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Align w:val="center"/>
                </w:tcPr>
                <w:p w14:paraId="5FBB5100">
                  <w:pPr>
                    <w:pStyle w:val="130"/>
                    <w:rPr>
                      <w:lang w:val="en-US" w:eastAsia="zh-CN"/>
                    </w:rPr>
                  </w:pPr>
                  <w:r>
                    <w:rPr>
                      <w:lang w:val="en-US" w:eastAsia="zh-CN"/>
                    </w:rPr>
                    <w:t>点位编号</w:t>
                  </w:r>
                </w:p>
              </w:tc>
              <w:tc>
                <w:tcPr>
                  <w:tcW w:w="740" w:type="pct"/>
                  <w:vAlign w:val="center"/>
                </w:tcPr>
                <w:p w14:paraId="60E38DF2">
                  <w:pPr>
                    <w:pStyle w:val="130"/>
                    <w:rPr>
                      <w:lang w:val="en-US" w:eastAsia="zh-CN"/>
                    </w:rPr>
                  </w:pPr>
                  <w:r>
                    <w:rPr>
                      <w:lang w:val="en-US" w:eastAsia="zh-CN"/>
                    </w:rPr>
                    <w:t>监测点方位</w:t>
                  </w:r>
                </w:p>
              </w:tc>
              <w:tc>
                <w:tcPr>
                  <w:tcW w:w="896" w:type="pct"/>
                  <w:vAlign w:val="center"/>
                </w:tcPr>
                <w:p w14:paraId="217AF48C">
                  <w:pPr>
                    <w:pStyle w:val="130"/>
                    <w:rPr>
                      <w:lang w:val="en-US" w:eastAsia="zh-CN"/>
                    </w:rPr>
                  </w:pPr>
                  <w:r>
                    <w:rPr>
                      <w:lang w:val="en-US" w:eastAsia="zh-CN"/>
                    </w:rPr>
                    <w:t>坐标</w:t>
                  </w:r>
                </w:p>
              </w:tc>
              <w:tc>
                <w:tcPr>
                  <w:tcW w:w="1448" w:type="pct"/>
                  <w:vAlign w:val="center"/>
                </w:tcPr>
                <w:p w14:paraId="52CAEDFE">
                  <w:pPr>
                    <w:pStyle w:val="130"/>
                    <w:rPr>
                      <w:lang w:val="en-US" w:eastAsia="zh-CN"/>
                    </w:rPr>
                  </w:pPr>
                  <w:r>
                    <w:rPr>
                      <w:lang w:val="en-US" w:eastAsia="zh-CN"/>
                    </w:rPr>
                    <w:t>检测因子</w:t>
                  </w:r>
                </w:p>
              </w:tc>
              <w:tc>
                <w:tcPr>
                  <w:tcW w:w="1283" w:type="pct"/>
                  <w:vAlign w:val="center"/>
                </w:tcPr>
                <w:p w14:paraId="22DA3973">
                  <w:pPr>
                    <w:pStyle w:val="130"/>
                    <w:rPr>
                      <w:lang w:val="en-US" w:eastAsia="zh-CN"/>
                    </w:rPr>
                  </w:pPr>
                  <w:r>
                    <w:rPr>
                      <w:lang w:val="en-US" w:eastAsia="zh-CN"/>
                    </w:rPr>
                    <w:t>监测单位及采样时间</w:t>
                  </w:r>
                </w:p>
              </w:tc>
            </w:tr>
            <w:tr w14:paraId="1C954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Align w:val="center"/>
                </w:tcPr>
                <w:p w14:paraId="4F4A425F">
                  <w:pPr>
                    <w:pStyle w:val="130"/>
                    <w:rPr>
                      <w:lang w:val="en-US" w:eastAsia="zh-CN"/>
                    </w:rPr>
                  </w:pPr>
                  <w:r>
                    <w:rPr>
                      <w:lang w:val="en-US" w:eastAsia="zh-CN"/>
                    </w:rPr>
                    <w:t>G1</w:t>
                  </w:r>
                </w:p>
              </w:tc>
              <w:tc>
                <w:tcPr>
                  <w:tcW w:w="740" w:type="pct"/>
                  <w:vAlign w:val="center"/>
                </w:tcPr>
                <w:p w14:paraId="5C6DC5C7">
                  <w:pPr>
                    <w:pStyle w:val="130"/>
                    <w:rPr>
                      <w:lang w:val="en-US" w:eastAsia="zh-CN"/>
                    </w:rPr>
                  </w:pPr>
                  <w:r>
                    <w:rPr>
                      <w:rFonts w:hint="eastAsia"/>
                      <w:lang w:val="en-US" w:eastAsia="zh-CN"/>
                    </w:rPr>
                    <w:t>环洋新材料厂区内</w:t>
                  </w:r>
                </w:p>
              </w:tc>
              <w:tc>
                <w:tcPr>
                  <w:tcW w:w="896" w:type="pct"/>
                  <w:vAlign w:val="center"/>
                </w:tcPr>
                <w:p w14:paraId="7249FF28">
                  <w:pPr>
                    <w:pStyle w:val="130"/>
                    <w:rPr>
                      <w:lang w:val="en-US" w:eastAsia="zh-CN"/>
                    </w:rPr>
                  </w:pPr>
                  <w:r>
                    <w:rPr>
                      <w:lang w:val="en-US" w:eastAsia="zh-CN"/>
                    </w:rPr>
                    <w:t>E:119.271955°</w:t>
                  </w:r>
                </w:p>
                <w:p w14:paraId="104CB46B">
                  <w:pPr>
                    <w:pStyle w:val="130"/>
                    <w:rPr>
                      <w:lang w:val="en-US" w:eastAsia="zh-CN"/>
                    </w:rPr>
                  </w:pPr>
                  <w:r>
                    <w:rPr>
                      <w:lang w:val="en-US" w:eastAsia="zh-CN"/>
                    </w:rPr>
                    <w:t>N:25.439666°</w:t>
                  </w:r>
                </w:p>
              </w:tc>
              <w:tc>
                <w:tcPr>
                  <w:tcW w:w="1448" w:type="pct"/>
                  <w:vAlign w:val="center"/>
                </w:tcPr>
                <w:p w14:paraId="008DAB6D">
                  <w:pPr>
                    <w:pStyle w:val="130"/>
                    <w:rPr>
                      <w:lang w:val="en-US" w:eastAsia="zh-CN"/>
                    </w:rPr>
                  </w:pPr>
                  <w:r>
                    <w:rPr>
                      <w:rFonts w:hint="eastAsia"/>
                      <w:lang w:val="en-US" w:eastAsia="zh-CN"/>
                    </w:rPr>
                    <w:t>①</w:t>
                  </w:r>
                  <w:r>
                    <w:rPr>
                      <w:lang w:val="en-US" w:eastAsia="zh-CN"/>
                    </w:rPr>
                    <w:t>非甲烷总烃，小时浓度，每天采4个样，一期七天；</w:t>
                  </w:r>
                </w:p>
                <w:p w14:paraId="6DCC2BA2">
                  <w:pPr>
                    <w:pStyle w:val="130"/>
                    <w:rPr>
                      <w:lang w:val="en-US" w:eastAsia="zh-CN"/>
                    </w:rPr>
                  </w:pPr>
                  <w:r>
                    <w:rPr>
                      <w:rFonts w:hint="eastAsia"/>
                      <w:lang w:val="en-US" w:eastAsia="zh-CN"/>
                    </w:rPr>
                    <w:t>②</w:t>
                  </w:r>
                  <w:r>
                    <w:rPr>
                      <w:lang w:val="en-US" w:eastAsia="zh-CN"/>
                    </w:rPr>
                    <w:t>TVOC，8小时均值，每天采1个样，一期七天；</w:t>
                  </w:r>
                </w:p>
              </w:tc>
              <w:tc>
                <w:tcPr>
                  <w:tcW w:w="1283" w:type="pct"/>
                  <w:vAlign w:val="center"/>
                </w:tcPr>
                <w:p w14:paraId="026D0DAF">
                  <w:pPr>
                    <w:pStyle w:val="130"/>
                    <w:rPr>
                      <w:lang w:val="en-US" w:eastAsia="zh-CN"/>
                    </w:rPr>
                  </w:pPr>
                  <w:r>
                    <w:rPr>
                      <w:lang w:val="en-US" w:eastAsia="zh-CN"/>
                    </w:rPr>
                    <w:t>引用</w:t>
                  </w:r>
                  <w:r>
                    <w:rPr>
                      <w:rFonts w:hint="eastAsia"/>
                      <w:lang w:val="en-US" w:eastAsia="zh-CN"/>
                    </w:rPr>
                    <w:t>福建省化工产品质量检验站有限公司</w:t>
                  </w:r>
                  <w:r>
                    <w:rPr>
                      <w:lang w:val="en-US" w:eastAsia="zh-CN"/>
                    </w:rPr>
                    <w:t>2023</w:t>
                  </w:r>
                  <w:r>
                    <w:rPr>
                      <w:rFonts w:hint="eastAsia"/>
                      <w:lang w:val="en-US" w:eastAsia="zh-CN"/>
                    </w:rPr>
                    <w:t>年</w:t>
                  </w:r>
                  <w:r>
                    <w:rPr>
                      <w:lang w:val="en-US" w:eastAsia="zh-CN"/>
                    </w:rPr>
                    <w:t>7</w:t>
                  </w:r>
                  <w:r>
                    <w:rPr>
                      <w:rFonts w:hint="eastAsia"/>
                      <w:lang w:val="en-US" w:eastAsia="zh-CN"/>
                    </w:rPr>
                    <w:t>月</w:t>
                  </w:r>
                  <w:r>
                    <w:rPr>
                      <w:lang w:val="en-US" w:eastAsia="zh-CN"/>
                    </w:rPr>
                    <w:t>10</w:t>
                  </w:r>
                  <w:r>
                    <w:rPr>
                      <w:rFonts w:hint="eastAsia"/>
                      <w:lang w:val="en-US" w:eastAsia="zh-CN"/>
                    </w:rPr>
                    <w:t>日～</w:t>
                  </w:r>
                  <w:r>
                    <w:rPr>
                      <w:lang w:val="en-US" w:eastAsia="zh-CN"/>
                    </w:rPr>
                    <w:t>2023</w:t>
                  </w:r>
                  <w:r>
                    <w:rPr>
                      <w:rFonts w:hint="eastAsia"/>
                      <w:lang w:val="en-US" w:eastAsia="zh-CN"/>
                    </w:rPr>
                    <w:t>年</w:t>
                  </w:r>
                  <w:r>
                    <w:rPr>
                      <w:lang w:val="en-US" w:eastAsia="zh-CN"/>
                    </w:rPr>
                    <w:t>7</w:t>
                  </w:r>
                  <w:r>
                    <w:rPr>
                      <w:rFonts w:hint="eastAsia"/>
                      <w:lang w:val="en-US" w:eastAsia="zh-CN"/>
                    </w:rPr>
                    <w:t>月</w:t>
                  </w:r>
                  <w:r>
                    <w:rPr>
                      <w:lang w:val="en-US" w:eastAsia="zh-CN"/>
                    </w:rPr>
                    <w:t>16</w:t>
                  </w:r>
                  <w:r>
                    <w:rPr>
                      <w:rFonts w:hint="eastAsia"/>
                      <w:lang w:val="en-US" w:eastAsia="zh-CN"/>
                    </w:rPr>
                    <w:t>日监测</w:t>
                  </w:r>
                  <w:r>
                    <w:rPr>
                      <w:lang w:val="en-US" w:eastAsia="zh-CN"/>
                    </w:rPr>
                    <w:t>数据</w:t>
                  </w:r>
                </w:p>
              </w:tc>
            </w:tr>
          </w:tbl>
          <w:p w14:paraId="1432F6C6">
            <w:pPr>
              <w:ind w:firstLine="0" w:firstLineChars="0"/>
              <w:jc w:val="center"/>
              <w:rPr>
                <w:b/>
              </w:rPr>
            </w:pPr>
          </w:p>
          <w:p w14:paraId="13B9A210">
            <w:pPr>
              <w:ind w:firstLine="0" w:firstLineChars="0"/>
              <w:jc w:val="center"/>
            </w:pPr>
            <w:r>
              <w:rPr>
                <w:rFonts w:hint="eastAsia"/>
                <w:b/>
              </w:rPr>
              <w:t>***（略，涉及商业秘密）</w:t>
            </w:r>
          </w:p>
          <w:p w14:paraId="5C62236B">
            <w:pPr>
              <w:pStyle w:val="121"/>
              <w:numPr>
                <w:ilvl w:val="3"/>
                <w:numId w:val="0"/>
              </w:numPr>
              <w:adjustRightInd w:val="0"/>
              <w:snapToGrid w:val="0"/>
              <w:spacing w:line="240" w:lineRule="auto"/>
              <w:ind w:right="0"/>
              <w:jc w:val="center"/>
              <w:rPr>
                <w:kern w:val="0"/>
                <w:szCs w:val="24"/>
              </w:rPr>
            </w:pPr>
            <w:r>
              <w:rPr>
                <w:rFonts w:hint="eastAsia"/>
                <w:kern w:val="0"/>
                <w:szCs w:val="24"/>
              </w:rPr>
              <w:t>图3.2-1大气监测点位图</w:t>
            </w:r>
          </w:p>
          <w:p w14:paraId="3B7FC34F">
            <w:pPr>
              <w:pStyle w:val="117"/>
              <w:ind w:firstLine="480"/>
              <w:rPr>
                <w:lang w:val="en-US" w:eastAsia="zh-CN"/>
              </w:rPr>
            </w:pPr>
          </w:p>
          <w:p w14:paraId="59437508">
            <w:pPr>
              <w:pStyle w:val="117"/>
              <w:ind w:firstLine="480"/>
              <w:rPr>
                <w:lang w:val="en-US" w:eastAsia="zh-CN"/>
              </w:rPr>
            </w:pPr>
            <w:r>
              <w:rPr>
                <w:lang w:val="en-US" w:eastAsia="zh-CN"/>
              </w:rPr>
              <w:t>（2）采样分析方法：</w:t>
            </w:r>
          </w:p>
          <w:p w14:paraId="6A0D0182">
            <w:pPr>
              <w:pStyle w:val="117"/>
              <w:ind w:firstLine="480"/>
              <w:rPr>
                <w:lang w:val="en-US" w:eastAsia="zh-CN"/>
              </w:rPr>
            </w:pPr>
            <w:r>
              <w:rPr>
                <w:lang w:val="en-US" w:eastAsia="zh-CN"/>
              </w:rPr>
              <w:t>监测分析方法见表</w:t>
            </w:r>
            <w:r>
              <w:rPr>
                <w:rFonts w:hint="eastAsia"/>
                <w:lang w:val="en-US" w:eastAsia="zh-CN"/>
              </w:rPr>
              <w:t>3.2-3</w:t>
            </w:r>
            <w:r>
              <w:rPr>
                <w:lang w:val="en-US" w:eastAsia="zh-CN"/>
              </w:rPr>
              <w:t>。</w:t>
            </w:r>
          </w:p>
          <w:p w14:paraId="70F239B8">
            <w:pPr>
              <w:spacing w:line="240" w:lineRule="auto"/>
              <w:ind w:firstLine="0" w:firstLineChars="0"/>
              <w:jc w:val="center"/>
              <w:rPr>
                <w:b/>
                <w:szCs w:val="20"/>
              </w:rPr>
            </w:pPr>
            <w:bookmarkStart w:id="9" w:name="_Ref496176074"/>
          </w:p>
          <w:p w14:paraId="19F27732">
            <w:pPr>
              <w:spacing w:line="240" w:lineRule="auto"/>
              <w:ind w:firstLine="0" w:firstLineChars="0"/>
              <w:jc w:val="center"/>
              <w:rPr>
                <w:b/>
                <w:szCs w:val="20"/>
              </w:rPr>
            </w:pPr>
          </w:p>
          <w:p w14:paraId="43853EB1">
            <w:pPr>
              <w:spacing w:line="240" w:lineRule="auto"/>
              <w:ind w:firstLine="0" w:firstLineChars="0"/>
              <w:jc w:val="center"/>
              <w:rPr>
                <w:b/>
                <w:szCs w:val="20"/>
              </w:rPr>
            </w:pPr>
            <w:r>
              <w:rPr>
                <w:b/>
                <w:szCs w:val="20"/>
              </w:rPr>
              <w:t>表</w:t>
            </w:r>
            <w:r>
              <w:rPr>
                <w:rFonts w:hint="eastAsia"/>
                <w:b/>
                <w:szCs w:val="20"/>
              </w:rPr>
              <w:t>3.2-3</w:t>
            </w:r>
            <w:r>
              <w:rPr>
                <w:b/>
                <w:szCs w:val="20"/>
              </w:rPr>
              <w:t>监测项目及分析方法</w:t>
            </w:r>
            <w:bookmarkEnd w:id="9"/>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6"/>
              <w:gridCol w:w="2977"/>
              <w:gridCol w:w="1417"/>
              <w:gridCol w:w="1700"/>
            </w:tblGrid>
            <w:tr w14:paraId="0142F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76" w:type="dxa"/>
                  <w:vAlign w:val="center"/>
                </w:tcPr>
                <w:p w14:paraId="47E8DA1B">
                  <w:pPr>
                    <w:pStyle w:val="130"/>
                    <w:rPr>
                      <w:lang w:val="en-US" w:eastAsia="zh-CN"/>
                    </w:rPr>
                  </w:pPr>
                  <w:r>
                    <w:rPr>
                      <w:rFonts w:hint="eastAsia"/>
                      <w:lang w:val="en-US" w:eastAsia="zh-CN"/>
                    </w:rPr>
                    <w:t>监测项目</w:t>
                  </w:r>
                </w:p>
              </w:tc>
              <w:tc>
                <w:tcPr>
                  <w:tcW w:w="1276" w:type="dxa"/>
                  <w:vAlign w:val="center"/>
                </w:tcPr>
                <w:p w14:paraId="0FF9838C">
                  <w:pPr>
                    <w:pStyle w:val="130"/>
                    <w:rPr>
                      <w:lang w:val="en-US" w:eastAsia="zh-CN"/>
                    </w:rPr>
                  </w:pPr>
                  <w:r>
                    <w:rPr>
                      <w:rFonts w:hint="eastAsia"/>
                      <w:lang w:val="en-US" w:eastAsia="zh-CN"/>
                    </w:rPr>
                    <w:t>分析方法</w:t>
                  </w:r>
                </w:p>
              </w:tc>
              <w:tc>
                <w:tcPr>
                  <w:tcW w:w="2977" w:type="dxa"/>
                  <w:vAlign w:val="center"/>
                </w:tcPr>
                <w:p w14:paraId="49A9AB32">
                  <w:pPr>
                    <w:pStyle w:val="130"/>
                    <w:rPr>
                      <w:lang w:val="en-US" w:eastAsia="zh-CN"/>
                    </w:rPr>
                  </w:pPr>
                  <w:r>
                    <w:rPr>
                      <w:rFonts w:hint="eastAsia"/>
                      <w:lang w:val="en-US" w:eastAsia="zh-CN"/>
                    </w:rPr>
                    <w:t>方法来源</w:t>
                  </w:r>
                </w:p>
              </w:tc>
              <w:tc>
                <w:tcPr>
                  <w:tcW w:w="1417" w:type="dxa"/>
                  <w:vAlign w:val="center"/>
                </w:tcPr>
                <w:p w14:paraId="07BF6000">
                  <w:pPr>
                    <w:pStyle w:val="130"/>
                    <w:rPr>
                      <w:lang w:val="en-US" w:eastAsia="zh-CN"/>
                    </w:rPr>
                  </w:pPr>
                  <w:r>
                    <w:rPr>
                      <w:rFonts w:hint="eastAsia"/>
                      <w:lang w:val="en-US" w:eastAsia="zh-CN"/>
                    </w:rPr>
                    <w:t>使用仪器</w:t>
                  </w:r>
                </w:p>
              </w:tc>
              <w:tc>
                <w:tcPr>
                  <w:tcW w:w="1700" w:type="dxa"/>
                  <w:vAlign w:val="center"/>
                </w:tcPr>
                <w:p w14:paraId="0FB73B30">
                  <w:pPr>
                    <w:pStyle w:val="130"/>
                    <w:rPr>
                      <w:lang w:val="en-US" w:eastAsia="zh-CN"/>
                    </w:rPr>
                  </w:pPr>
                  <w:r>
                    <w:rPr>
                      <w:rFonts w:hint="eastAsia"/>
                      <w:lang w:val="en-US" w:eastAsia="zh-CN"/>
                    </w:rPr>
                    <w:t>检出限（</w:t>
                  </w:r>
                  <w:r>
                    <w:rPr>
                      <w:lang w:val="en-US" w:eastAsia="zh-CN"/>
                    </w:rPr>
                    <w:t>mg/</w:t>
                  </w:r>
                  <w:r>
                    <w:t xml:space="preserve"> m³</w:t>
                  </w:r>
                  <w:r>
                    <w:rPr>
                      <w:rFonts w:hint="eastAsia"/>
                      <w:lang w:val="en-US" w:eastAsia="zh-CN"/>
                    </w:rPr>
                    <w:t>）</w:t>
                  </w:r>
                </w:p>
              </w:tc>
            </w:tr>
            <w:tr w14:paraId="38491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6" w:type="dxa"/>
                  <w:vAlign w:val="center"/>
                </w:tcPr>
                <w:p w14:paraId="6650A412">
                  <w:pPr>
                    <w:pStyle w:val="130"/>
                    <w:rPr>
                      <w:lang w:val="en-US" w:eastAsia="zh-CN"/>
                    </w:rPr>
                  </w:pPr>
                  <w:r>
                    <w:rPr>
                      <w:rFonts w:hint="eastAsia"/>
                      <w:lang w:val="en-US" w:eastAsia="zh-CN"/>
                    </w:rPr>
                    <w:t>非甲烷总烃</w:t>
                  </w:r>
                </w:p>
              </w:tc>
              <w:tc>
                <w:tcPr>
                  <w:tcW w:w="1276" w:type="dxa"/>
                  <w:vAlign w:val="center"/>
                </w:tcPr>
                <w:p w14:paraId="15A179D1">
                  <w:pPr>
                    <w:pStyle w:val="130"/>
                    <w:rPr>
                      <w:lang w:val="en-US" w:eastAsia="zh-CN"/>
                    </w:rPr>
                  </w:pPr>
                  <w:r>
                    <w:rPr>
                      <w:rFonts w:hint="eastAsia"/>
                      <w:lang w:val="en-US" w:eastAsia="zh-CN"/>
                    </w:rPr>
                    <w:t>气相色谱法</w:t>
                  </w:r>
                </w:p>
              </w:tc>
              <w:tc>
                <w:tcPr>
                  <w:tcW w:w="2977" w:type="dxa"/>
                  <w:vAlign w:val="center"/>
                </w:tcPr>
                <w:p w14:paraId="3CC24F8A">
                  <w:pPr>
                    <w:pStyle w:val="130"/>
                    <w:rPr>
                      <w:lang w:val="en-US" w:eastAsia="zh-CN"/>
                    </w:rPr>
                  </w:pPr>
                  <w:r>
                    <w:rPr>
                      <w:lang w:val="en-US" w:eastAsia="zh-CN"/>
                    </w:rPr>
                    <w:t>HJ604-2017</w:t>
                  </w:r>
                  <w:r>
                    <w:rPr>
                      <w:rFonts w:hint="eastAsia"/>
                      <w:lang w:val="en-US" w:eastAsia="zh-CN"/>
                    </w:rPr>
                    <w:t>《环境空气</w:t>
                  </w:r>
                  <w:r>
                    <w:rPr>
                      <w:lang w:val="en-US" w:eastAsia="zh-CN"/>
                    </w:rPr>
                    <w:t xml:space="preserve"> </w:t>
                  </w:r>
                  <w:r>
                    <w:rPr>
                      <w:rFonts w:hint="eastAsia"/>
                      <w:lang w:val="en-US" w:eastAsia="zh-CN"/>
                    </w:rPr>
                    <w:t>总烃、甲烷和非甲烷总烃的测定</w:t>
                  </w:r>
                  <w:r>
                    <w:rPr>
                      <w:lang w:val="en-US" w:eastAsia="zh-CN"/>
                    </w:rPr>
                    <w:t xml:space="preserve"> </w:t>
                  </w:r>
                  <w:r>
                    <w:rPr>
                      <w:rFonts w:hint="eastAsia"/>
                      <w:lang w:val="en-US" w:eastAsia="zh-CN"/>
                    </w:rPr>
                    <w:t>直接进样色谱法》</w:t>
                  </w:r>
                </w:p>
              </w:tc>
              <w:tc>
                <w:tcPr>
                  <w:tcW w:w="1417" w:type="dxa"/>
                  <w:vAlign w:val="center"/>
                </w:tcPr>
                <w:p w14:paraId="7737C5FC">
                  <w:pPr>
                    <w:pStyle w:val="130"/>
                    <w:rPr>
                      <w:lang w:val="en-US" w:eastAsia="zh-CN"/>
                    </w:rPr>
                  </w:pPr>
                  <w:r>
                    <w:rPr>
                      <w:lang w:val="en-US" w:eastAsia="zh-CN"/>
                    </w:rPr>
                    <w:t>GC-9790-II</w:t>
                  </w:r>
                </w:p>
                <w:p w14:paraId="46D490BE">
                  <w:pPr>
                    <w:pStyle w:val="130"/>
                    <w:rPr>
                      <w:lang w:val="en-US" w:eastAsia="zh-CN"/>
                    </w:rPr>
                  </w:pPr>
                  <w:r>
                    <w:rPr>
                      <w:rFonts w:hint="eastAsia"/>
                      <w:lang w:val="en-US" w:eastAsia="zh-CN"/>
                    </w:rPr>
                    <w:t>气相色谱仪</w:t>
                  </w:r>
                </w:p>
              </w:tc>
              <w:tc>
                <w:tcPr>
                  <w:tcW w:w="1700" w:type="dxa"/>
                  <w:vAlign w:val="center"/>
                </w:tcPr>
                <w:p w14:paraId="106F3D5F">
                  <w:pPr>
                    <w:pStyle w:val="130"/>
                    <w:rPr>
                      <w:lang w:val="en-US" w:eastAsia="zh-CN"/>
                    </w:rPr>
                  </w:pPr>
                  <w:r>
                    <w:rPr>
                      <w:lang w:val="en-US" w:eastAsia="zh-CN"/>
                    </w:rPr>
                    <w:t>0.07</w:t>
                  </w:r>
                </w:p>
              </w:tc>
            </w:tr>
            <w:tr w14:paraId="188EC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6" w:type="dxa"/>
                  <w:vAlign w:val="center"/>
                </w:tcPr>
                <w:p w14:paraId="6E6A8EAE">
                  <w:pPr>
                    <w:pStyle w:val="130"/>
                    <w:rPr>
                      <w:lang w:val="en-US" w:eastAsia="zh-CN"/>
                    </w:rPr>
                  </w:pPr>
                  <w:r>
                    <w:rPr>
                      <w:lang w:val="en-US" w:eastAsia="zh-CN"/>
                    </w:rPr>
                    <w:t>TVOC</w:t>
                  </w:r>
                </w:p>
              </w:tc>
              <w:tc>
                <w:tcPr>
                  <w:tcW w:w="1276" w:type="dxa"/>
                  <w:vAlign w:val="center"/>
                </w:tcPr>
                <w:p w14:paraId="762425A9">
                  <w:pPr>
                    <w:pStyle w:val="130"/>
                    <w:rPr>
                      <w:lang w:val="en-US" w:eastAsia="zh-CN"/>
                    </w:rPr>
                  </w:pPr>
                  <w:r>
                    <w:rPr>
                      <w:rFonts w:hint="eastAsia"/>
                      <w:lang w:val="en-US" w:eastAsia="zh-CN"/>
                    </w:rPr>
                    <w:t>气相色谱法</w:t>
                  </w:r>
                </w:p>
              </w:tc>
              <w:tc>
                <w:tcPr>
                  <w:tcW w:w="2977" w:type="dxa"/>
                  <w:vAlign w:val="center"/>
                </w:tcPr>
                <w:p w14:paraId="062AD9FB">
                  <w:pPr>
                    <w:pStyle w:val="130"/>
                    <w:rPr>
                      <w:lang w:val="en-US" w:eastAsia="zh-CN"/>
                    </w:rPr>
                  </w:pPr>
                  <w:r>
                    <w:rPr>
                      <w:lang w:val="en-US" w:eastAsia="zh-CN"/>
                    </w:rPr>
                    <w:t>GB/T18883</w:t>
                  </w:r>
                  <w:r>
                    <w:rPr>
                      <w:rFonts w:hint="eastAsia"/>
                      <w:lang w:val="en-US" w:eastAsia="zh-CN"/>
                    </w:rPr>
                    <w:t>－</w:t>
                  </w:r>
                  <w:r>
                    <w:rPr>
                      <w:lang w:val="en-US" w:eastAsia="zh-CN"/>
                    </w:rPr>
                    <w:t>2002</w:t>
                  </w:r>
                  <w:r>
                    <w:rPr>
                      <w:rFonts w:hint="eastAsia"/>
                      <w:lang w:val="en-US" w:eastAsia="zh-CN"/>
                    </w:rPr>
                    <w:t>热解析</w:t>
                  </w:r>
                  <w:r>
                    <w:rPr>
                      <w:lang w:val="en-US" w:eastAsia="zh-CN"/>
                    </w:rPr>
                    <w:t>/</w:t>
                  </w:r>
                  <w:r>
                    <w:rPr>
                      <w:rFonts w:hint="eastAsia"/>
                      <w:lang w:val="en-US" w:eastAsia="zh-CN"/>
                    </w:rPr>
                    <w:t>毛细管气相色谱法</w:t>
                  </w:r>
                </w:p>
              </w:tc>
              <w:tc>
                <w:tcPr>
                  <w:tcW w:w="1417" w:type="dxa"/>
                  <w:vAlign w:val="center"/>
                </w:tcPr>
                <w:p w14:paraId="0F007DAC">
                  <w:pPr>
                    <w:pStyle w:val="130"/>
                    <w:rPr>
                      <w:lang w:val="en-US" w:eastAsia="zh-CN"/>
                    </w:rPr>
                  </w:pPr>
                  <w:r>
                    <w:rPr>
                      <w:rFonts w:hint="eastAsia"/>
                      <w:lang w:val="en-US" w:eastAsia="zh-CN"/>
                    </w:rPr>
                    <w:t>赛默飞</w:t>
                  </w:r>
                  <w:r>
                    <w:rPr>
                      <w:lang w:val="en-US" w:eastAsia="zh-CN"/>
                    </w:rPr>
                    <w:t>Trace1300</w:t>
                  </w:r>
                </w:p>
                <w:p w14:paraId="2D687DF9">
                  <w:pPr>
                    <w:pStyle w:val="130"/>
                    <w:rPr>
                      <w:lang w:val="en-US" w:eastAsia="zh-CN"/>
                    </w:rPr>
                  </w:pPr>
                  <w:r>
                    <w:rPr>
                      <w:rFonts w:hint="eastAsia"/>
                      <w:lang w:val="en-US" w:eastAsia="zh-CN"/>
                    </w:rPr>
                    <w:t>气相色谱仪</w:t>
                  </w:r>
                </w:p>
              </w:tc>
              <w:tc>
                <w:tcPr>
                  <w:tcW w:w="1700" w:type="dxa"/>
                  <w:vAlign w:val="center"/>
                </w:tcPr>
                <w:p w14:paraId="057DD2D0">
                  <w:pPr>
                    <w:pStyle w:val="130"/>
                    <w:rPr>
                      <w:lang w:val="en-US" w:eastAsia="zh-CN"/>
                    </w:rPr>
                  </w:pPr>
                  <w:r>
                    <w:rPr>
                      <w:lang w:val="en-US" w:eastAsia="zh-CN"/>
                    </w:rPr>
                    <w:t>0.0005</w:t>
                  </w:r>
                </w:p>
              </w:tc>
            </w:tr>
          </w:tbl>
          <w:p w14:paraId="7326AEC9">
            <w:pPr>
              <w:pStyle w:val="2"/>
              <w:ind w:firstLine="480"/>
              <w:rPr>
                <w:lang w:val="en-US" w:eastAsia="zh-CN"/>
              </w:rPr>
            </w:pPr>
          </w:p>
          <w:p w14:paraId="5E2F947E">
            <w:pPr>
              <w:widowControl/>
              <w:ind w:firstLine="480"/>
              <w:jc w:val="left"/>
            </w:pPr>
            <w:r>
              <w:br w:type="page"/>
            </w:r>
            <w:r>
              <w:t>（3）监测结果及现状评价</w:t>
            </w:r>
          </w:p>
          <w:p w14:paraId="2C73ECDC">
            <w:pPr>
              <w:pStyle w:val="117"/>
              <w:ind w:firstLine="480"/>
              <w:rPr>
                <w:lang w:val="en-US" w:eastAsia="zh-CN"/>
              </w:rPr>
            </w:pPr>
            <w:r>
              <w:rPr>
                <w:lang w:val="en-US" w:eastAsia="zh-CN"/>
              </w:rPr>
              <w:t>1）评价标准</w:t>
            </w:r>
          </w:p>
          <w:p w14:paraId="7C6B4C5D">
            <w:pPr>
              <w:ind w:firstLine="480"/>
            </w:pPr>
            <w:r>
              <w:t>总挥发性有机物（TVOC）执行《环境影响评价技术导则大气环境》（HJ2.2-2018）中附录D其它污染物空气质量浓度参考限值要求；非甲烷总烃执行《大气污染物综合排放标准详解》中C</w:t>
            </w:r>
            <w:r>
              <w:rPr>
                <w:vertAlign w:val="subscript"/>
              </w:rPr>
              <w:t>m</w:t>
            </w:r>
            <w:r>
              <w:t>取值规定质量标准参考值。</w:t>
            </w:r>
          </w:p>
          <w:p w14:paraId="4BA9A467">
            <w:pPr>
              <w:pStyle w:val="117"/>
              <w:ind w:firstLine="480"/>
              <w:rPr>
                <w:lang w:val="en-US" w:eastAsia="zh-CN"/>
              </w:rPr>
            </w:pPr>
            <w:r>
              <w:rPr>
                <w:lang w:val="en-US" w:eastAsia="zh-CN"/>
              </w:rPr>
              <w:t>2）评价方法</w:t>
            </w:r>
          </w:p>
          <w:p w14:paraId="7FEA799A">
            <w:pPr>
              <w:pStyle w:val="117"/>
              <w:ind w:firstLine="480"/>
              <w:rPr>
                <w:lang w:val="en-US" w:eastAsia="zh-CN"/>
              </w:rPr>
            </w:pPr>
            <w:r>
              <w:rPr>
                <w:lang w:val="en-US" w:eastAsia="zh-CN"/>
              </w:rPr>
              <w:t>监测结果采用单因子占标率进行现状评价，评价计算公式为：</w:t>
            </w:r>
          </w:p>
          <w:p w14:paraId="0E0FCB9A">
            <w:pPr>
              <w:pStyle w:val="117"/>
              <w:ind w:firstLine="480"/>
              <w:jc w:val="center"/>
              <w:rPr>
                <w:lang w:val="en-US" w:eastAsia="zh-CN"/>
              </w:rPr>
            </w:pPr>
            <w:r>
              <w:rPr>
                <w:position w:val="-30"/>
                <w:lang w:val="en-US" w:eastAsia="zh-CN"/>
              </w:rPr>
              <w:object>
                <v:shape id="_x0000_i1025" o:spt="75" type="#_x0000_t75" style="height:37.05pt;width:42.05pt;" o:ole="t" fillcolor="#6D6D6D" filled="f" o:preferrelative="t" stroked="f" coordsize="21600,21600">
                  <v:path/>
                  <v:fill on="f" focussize="0,0"/>
                  <v:stroke on="f" joinstyle="miter"/>
                  <v:imagedata r:id="rId53" o:title=""/>
                  <o:lock v:ext="edit" aspectratio="t"/>
                  <w10:wrap type="none"/>
                  <w10:anchorlock/>
                </v:shape>
                <o:OLEObject Type="Embed" ProgID="Equation.3" ShapeID="_x0000_i1025" DrawAspect="Content" ObjectID="_1468075725" r:id="rId52">
                  <o:LockedField>false</o:LockedField>
                </o:OLEObject>
              </w:object>
            </w:r>
            <w:r>
              <w:rPr>
                <w:lang w:val="en-US" w:eastAsia="zh-CN"/>
              </w:rPr>
              <w:t>×100%</w:t>
            </w:r>
          </w:p>
          <w:p w14:paraId="26C10712">
            <w:pPr>
              <w:pStyle w:val="117"/>
              <w:ind w:firstLine="480"/>
              <w:rPr>
                <w:lang w:val="en-US" w:eastAsia="zh-CN"/>
              </w:rPr>
            </w:pPr>
            <w:r>
              <w:rPr>
                <w:lang w:val="en-US" w:eastAsia="zh-CN"/>
              </w:rPr>
              <w:t>式中：</w:t>
            </w:r>
            <w:r>
              <w:rPr>
                <w:i/>
                <w:lang w:val="en-US" w:eastAsia="zh-CN"/>
              </w:rPr>
              <w:t>Ci</w:t>
            </w:r>
            <w:r>
              <w:rPr>
                <w:lang w:val="en-US" w:eastAsia="zh-CN"/>
              </w:rPr>
              <w:t>——</w:t>
            </w:r>
            <w:r>
              <w:rPr>
                <w:i/>
                <w:lang w:val="en-US" w:eastAsia="zh-CN"/>
              </w:rPr>
              <w:t>i</w:t>
            </w:r>
            <w:r>
              <w:rPr>
                <w:lang w:val="en-US" w:eastAsia="zh-CN"/>
              </w:rPr>
              <w:t>污染物不同采样时间的最大浓度值，mg/m³；</w:t>
            </w:r>
          </w:p>
          <w:p w14:paraId="1E9F6793">
            <w:pPr>
              <w:pStyle w:val="117"/>
              <w:ind w:firstLine="1200" w:firstLineChars="500"/>
              <w:rPr>
                <w:lang w:val="en-US" w:eastAsia="zh-CN"/>
              </w:rPr>
            </w:pPr>
            <w:r>
              <w:rPr>
                <w:i/>
                <w:lang w:val="en-US" w:eastAsia="zh-CN"/>
              </w:rPr>
              <w:t>Coi</w:t>
            </w:r>
            <w:r>
              <w:rPr>
                <w:lang w:val="en-US" w:eastAsia="zh-CN"/>
              </w:rPr>
              <w:t>——</w:t>
            </w:r>
            <w:r>
              <w:rPr>
                <w:i/>
                <w:lang w:val="en-US" w:eastAsia="zh-CN"/>
              </w:rPr>
              <w:t>i</w:t>
            </w:r>
            <w:r>
              <w:rPr>
                <w:lang w:val="en-US" w:eastAsia="zh-CN"/>
              </w:rPr>
              <w:t>污染物环境质量标准，mg/m³；</w:t>
            </w:r>
          </w:p>
          <w:p w14:paraId="50D3AE19">
            <w:pPr>
              <w:pStyle w:val="117"/>
              <w:ind w:firstLine="1200" w:firstLineChars="500"/>
              <w:rPr>
                <w:lang w:val="en-US" w:eastAsia="zh-CN"/>
              </w:rPr>
            </w:pPr>
            <w:r>
              <w:rPr>
                <w:i/>
                <w:lang w:val="en-US" w:eastAsia="zh-CN"/>
              </w:rPr>
              <w:t>Si</w:t>
            </w:r>
            <w:r>
              <w:rPr>
                <w:lang w:val="en-US" w:eastAsia="zh-CN"/>
              </w:rPr>
              <w:t>——污染物最大浓度占标率，%。</w:t>
            </w:r>
          </w:p>
          <w:p w14:paraId="66FFE049">
            <w:pPr>
              <w:pStyle w:val="117"/>
              <w:ind w:firstLine="480"/>
              <w:rPr>
                <w:lang w:val="en-US" w:eastAsia="zh-CN"/>
              </w:rPr>
            </w:pPr>
            <w:r>
              <w:rPr>
                <w:lang w:val="en-US" w:eastAsia="zh-CN"/>
              </w:rPr>
              <w:t>3）评价结果</w:t>
            </w:r>
          </w:p>
          <w:p w14:paraId="6C10A115">
            <w:pPr>
              <w:spacing w:line="240" w:lineRule="auto"/>
              <w:ind w:firstLine="0" w:firstLineChars="0"/>
              <w:jc w:val="center"/>
              <w:rPr>
                <w:b/>
                <w:szCs w:val="20"/>
              </w:rPr>
            </w:pPr>
            <w:r>
              <w:rPr>
                <w:b/>
                <w:szCs w:val="20"/>
              </w:rPr>
              <w:t>表</w:t>
            </w:r>
            <w:r>
              <w:rPr>
                <w:rFonts w:hint="eastAsia"/>
                <w:b/>
                <w:szCs w:val="20"/>
              </w:rPr>
              <w:t>3.2-4</w:t>
            </w:r>
            <w:r>
              <w:rPr>
                <w:b/>
                <w:szCs w:val="20"/>
              </w:rPr>
              <w:t>环境空气监测数据统计表（小时值）</w:t>
            </w:r>
            <w:r>
              <w:rPr>
                <w:rFonts w:hint="eastAsia"/>
                <w:b/>
                <w:szCs w:val="20"/>
              </w:rPr>
              <w:t>单位：mg/m³</w:t>
            </w:r>
          </w:p>
          <w:p w14:paraId="2F2F79FC">
            <w:pPr>
              <w:ind w:firstLine="0" w:firstLineChars="0"/>
              <w:jc w:val="center"/>
            </w:pPr>
            <w:r>
              <w:rPr>
                <w:rFonts w:hint="eastAsia"/>
                <w:b/>
              </w:rPr>
              <w:t>***（略，涉及商业秘密）</w:t>
            </w:r>
          </w:p>
          <w:p w14:paraId="3C4C03DB">
            <w:pPr>
              <w:pStyle w:val="117"/>
              <w:snapToGrid w:val="0"/>
              <w:ind w:firstLine="480"/>
              <w:rPr>
                <w:b/>
                <w:lang w:val="en-US" w:eastAsia="zh-CN"/>
              </w:rPr>
            </w:pPr>
            <w:r>
              <w:rPr>
                <w:rFonts w:eastAsia="楷体"/>
                <w:bCs/>
                <w:lang w:val="en-US" w:eastAsia="zh-CN"/>
              </w:rPr>
              <w:t>注：</w:t>
            </w:r>
            <w:r>
              <w:rPr>
                <w:rFonts w:hint="eastAsia" w:ascii="宋体" w:hAnsi="宋体" w:cs="宋体"/>
                <w:bCs/>
                <w:lang w:val="en-US" w:eastAsia="zh-CN"/>
              </w:rPr>
              <w:t>①</w:t>
            </w:r>
            <w:r>
              <w:rPr>
                <w:bCs/>
                <w:lang w:val="en-US" w:eastAsia="zh-CN"/>
              </w:rPr>
              <w:t>TVOC评价时间为8h平均值；</w:t>
            </w:r>
          </w:p>
          <w:p w14:paraId="357919C3">
            <w:pPr>
              <w:pStyle w:val="2"/>
              <w:ind w:firstLine="480"/>
              <w:rPr>
                <w:szCs w:val="20"/>
                <w:lang w:val="en-US" w:eastAsia="zh-CN"/>
              </w:rPr>
            </w:pPr>
            <w:r>
              <w:rPr>
                <w:rFonts w:hint="eastAsia"/>
                <w:szCs w:val="20"/>
                <w:lang w:val="en-US" w:eastAsia="zh-CN"/>
              </w:rPr>
              <w:t>非甲烷总烃：监测期间，非甲烷总烃</w:t>
            </w:r>
            <w:r>
              <w:rPr>
                <w:szCs w:val="20"/>
                <w:lang w:val="en-US" w:eastAsia="zh-CN"/>
              </w:rPr>
              <w:t>1</w:t>
            </w:r>
            <w:r>
              <w:rPr>
                <w:rFonts w:hint="eastAsia"/>
                <w:szCs w:val="20"/>
                <w:lang w:val="en-US" w:eastAsia="zh-CN"/>
              </w:rPr>
              <w:t>小时平均浓度范围在</w:t>
            </w:r>
            <w:r>
              <w:rPr>
                <w:szCs w:val="20"/>
                <w:lang w:val="en-US" w:eastAsia="zh-CN"/>
              </w:rPr>
              <w:t>0.18~0.79mg/</w:t>
            </w:r>
            <w:r>
              <w:rPr>
                <w:lang w:val="en-US" w:eastAsia="zh-CN"/>
              </w:rPr>
              <w:t>m³</w:t>
            </w:r>
            <w:r>
              <w:rPr>
                <w:rFonts w:hint="eastAsia"/>
                <w:szCs w:val="20"/>
                <w:lang w:val="en-US" w:eastAsia="zh-CN"/>
              </w:rPr>
              <w:t>之间，低于《大气污染物综合排放标准详解》的浓度限值</w:t>
            </w:r>
            <w:r>
              <w:rPr>
                <w:szCs w:val="20"/>
                <w:lang w:val="en-US" w:eastAsia="zh-CN"/>
              </w:rPr>
              <w:t>2.0mg/</w:t>
            </w:r>
            <w:r>
              <w:rPr>
                <w:lang w:val="en-US" w:eastAsia="zh-CN"/>
              </w:rPr>
              <w:t>m³</w:t>
            </w:r>
            <w:r>
              <w:rPr>
                <w:rFonts w:hint="eastAsia"/>
                <w:szCs w:val="20"/>
                <w:lang w:val="en-US" w:eastAsia="zh-CN"/>
              </w:rPr>
              <w:t>，表明评价区域环境空气中非甲烷总烃浓度符合评价标准要求。表明评价区域环境空气中非甲烷总烃浓度符合评价标准要求。</w:t>
            </w:r>
          </w:p>
          <w:p w14:paraId="5C41A10B">
            <w:pPr>
              <w:pStyle w:val="2"/>
              <w:ind w:firstLine="480"/>
              <w:rPr>
                <w:szCs w:val="20"/>
                <w:lang w:val="en-US" w:eastAsia="zh-CN"/>
              </w:rPr>
            </w:pPr>
            <w:r>
              <w:rPr>
                <w:szCs w:val="20"/>
                <w:lang w:val="en-US" w:eastAsia="zh-CN"/>
              </w:rPr>
              <w:t>TVOC</w:t>
            </w:r>
            <w:r>
              <w:rPr>
                <w:rFonts w:hint="eastAsia"/>
                <w:szCs w:val="20"/>
                <w:lang w:val="en-US" w:eastAsia="zh-CN"/>
              </w:rPr>
              <w:t>：监测期间，</w:t>
            </w:r>
            <w:r>
              <w:rPr>
                <w:szCs w:val="20"/>
                <w:lang w:val="en-US" w:eastAsia="zh-CN"/>
              </w:rPr>
              <w:t>TVOC 8</w:t>
            </w:r>
            <w:r>
              <w:rPr>
                <w:rFonts w:hint="eastAsia"/>
                <w:szCs w:val="20"/>
                <w:lang w:val="en-US" w:eastAsia="zh-CN"/>
              </w:rPr>
              <w:t>小时浓度范围在</w:t>
            </w:r>
            <w:r>
              <w:rPr>
                <w:szCs w:val="20"/>
                <w:lang w:val="en-US" w:eastAsia="zh-CN"/>
              </w:rPr>
              <w:t>0.016</w:t>
            </w:r>
            <w:r>
              <w:rPr>
                <w:rFonts w:hint="eastAsia"/>
                <w:szCs w:val="20"/>
                <w:lang w:val="en-US" w:eastAsia="zh-CN"/>
              </w:rPr>
              <w:t>～</w:t>
            </w:r>
            <w:r>
              <w:rPr>
                <w:szCs w:val="20"/>
                <w:lang w:val="en-US" w:eastAsia="zh-CN"/>
              </w:rPr>
              <w:t>0.052mg/</w:t>
            </w:r>
            <w:r>
              <w:rPr>
                <w:lang w:val="en-US" w:eastAsia="zh-CN"/>
              </w:rPr>
              <w:t>m³</w:t>
            </w:r>
            <w:r>
              <w:rPr>
                <w:rFonts w:hint="eastAsia"/>
                <w:szCs w:val="20"/>
                <w:lang w:val="en-US" w:eastAsia="zh-CN"/>
              </w:rPr>
              <w:t>之间，低于《环境影响评价技术导则</w:t>
            </w:r>
            <w:r>
              <w:rPr>
                <w:szCs w:val="20"/>
                <w:lang w:val="en-US" w:eastAsia="zh-CN"/>
              </w:rPr>
              <w:t xml:space="preserve"> </w:t>
            </w:r>
            <w:r>
              <w:rPr>
                <w:rFonts w:hint="eastAsia"/>
                <w:szCs w:val="20"/>
                <w:lang w:val="en-US" w:eastAsia="zh-CN"/>
              </w:rPr>
              <w:t>大气环境》（</w:t>
            </w:r>
            <w:r>
              <w:rPr>
                <w:szCs w:val="20"/>
                <w:lang w:val="en-US" w:eastAsia="zh-CN"/>
              </w:rPr>
              <w:t>HJ2.2-2018</w:t>
            </w:r>
            <w:r>
              <w:rPr>
                <w:rFonts w:hint="eastAsia"/>
                <w:szCs w:val="20"/>
                <w:lang w:val="en-US" w:eastAsia="zh-CN"/>
              </w:rPr>
              <w:t>）附录</w:t>
            </w:r>
            <w:r>
              <w:rPr>
                <w:szCs w:val="20"/>
                <w:lang w:val="en-US" w:eastAsia="zh-CN"/>
              </w:rPr>
              <w:t>D</w:t>
            </w:r>
            <w:r>
              <w:rPr>
                <w:rFonts w:hint="eastAsia"/>
                <w:szCs w:val="20"/>
                <w:lang w:val="en-US" w:eastAsia="zh-CN"/>
              </w:rPr>
              <w:t>限值</w:t>
            </w:r>
            <w:r>
              <w:rPr>
                <w:szCs w:val="20"/>
                <w:lang w:val="en-US" w:eastAsia="zh-CN"/>
              </w:rPr>
              <w:t>0.6mg/</w:t>
            </w:r>
            <w:r>
              <w:rPr>
                <w:lang w:val="en-US" w:eastAsia="zh-CN"/>
              </w:rPr>
              <w:t>m³</w:t>
            </w:r>
            <w:r>
              <w:rPr>
                <w:rFonts w:hint="eastAsia"/>
                <w:szCs w:val="20"/>
                <w:lang w:val="en-US" w:eastAsia="zh-CN"/>
              </w:rPr>
              <w:t>，表明评价区域环境空气中</w:t>
            </w:r>
            <w:r>
              <w:rPr>
                <w:szCs w:val="20"/>
                <w:lang w:val="en-US" w:eastAsia="zh-CN"/>
              </w:rPr>
              <w:t>TVOC</w:t>
            </w:r>
            <w:r>
              <w:rPr>
                <w:rFonts w:hint="eastAsia"/>
                <w:szCs w:val="20"/>
                <w:lang w:val="en-US" w:eastAsia="zh-CN"/>
              </w:rPr>
              <w:t>浓度符合评价标准要求。</w:t>
            </w:r>
          </w:p>
          <w:p w14:paraId="08ED530A">
            <w:pPr>
              <w:pStyle w:val="2"/>
              <w:ind w:firstLine="480"/>
              <w:rPr>
                <w:szCs w:val="20"/>
                <w:lang w:val="en-US" w:eastAsia="zh-CN"/>
              </w:rPr>
            </w:pPr>
            <w:r>
              <w:rPr>
                <w:szCs w:val="20"/>
                <w:lang w:val="en-US" w:eastAsia="zh-CN"/>
              </w:rPr>
              <w:t>从上述监测结果与评价结果可知，评价区域的环境空气质量现状良好。</w:t>
            </w:r>
          </w:p>
          <w:p w14:paraId="3C52D284">
            <w:pPr>
              <w:adjustRightInd w:val="0"/>
              <w:snapToGrid w:val="0"/>
              <w:ind w:firstLine="0" w:firstLineChars="0"/>
              <w:outlineLvl w:val="2"/>
              <w:rPr>
                <w:b/>
                <w:bCs/>
              </w:rPr>
            </w:pPr>
            <w:r>
              <w:rPr>
                <w:b/>
                <w:bCs/>
              </w:rPr>
              <w:t>3.2.2水环境质量现状</w:t>
            </w:r>
            <w:bookmarkEnd w:id="8"/>
          </w:p>
          <w:p w14:paraId="50F67792">
            <w:pPr>
              <w:ind w:firstLine="480"/>
              <w:rPr>
                <w:snapToGrid w:val="0"/>
                <w:kern w:val="0"/>
                <w:szCs w:val="21"/>
              </w:rPr>
            </w:pPr>
            <w:r>
              <w:rPr>
                <w:rFonts w:hint="eastAsia" w:cs="宋体"/>
              </w:rPr>
              <w:t>为了解厂区周边海域海水水质环境质量现状，引用福建中科环境检测技术有限公司于</w:t>
            </w:r>
            <w:r>
              <w:rPr>
                <w:rFonts w:cs="宋体"/>
              </w:rPr>
              <w:t>2023</w:t>
            </w:r>
            <w:r>
              <w:rPr>
                <w:rFonts w:hint="eastAsia" w:cs="宋体"/>
              </w:rPr>
              <w:t>年</w:t>
            </w:r>
            <w:r>
              <w:rPr>
                <w:rFonts w:cs="宋体"/>
              </w:rPr>
              <w:t>12</w:t>
            </w:r>
            <w:r>
              <w:rPr>
                <w:rFonts w:hint="eastAsia" w:cs="宋体"/>
              </w:rPr>
              <w:t>月</w:t>
            </w:r>
            <w:r>
              <w:rPr>
                <w:rFonts w:cs="宋体"/>
              </w:rPr>
              <w:t>27</w:t>
            </w:r>
            <w:r>
              <w:rPr>
                <w:rFonts w:hint="eastAsia" w:cs="宋体"/>
              </w:rPr>
              <w:t>日</w:t>
            </w:r>
            <w:r>
              <w:rPr>
                <w:rFonts w:cs="宋体"/>
              </w:rPr>
              <w:t>~2023</w:t>
            </w:r>
            <w:r>
              <w:rPr>
                <w:rFonts w:hint="eastAsia" w:cs="宋体"/>
              </w:rPr>
              <w:t>年</w:t>
            </w:r>
            <w:r>
              <w:rPr>
                <w:rFonts w:cs="宋体"/>
              </w:rPr>
              <w:t>12</w:t>
            </w:r>
            <w:r>
              <w:rPr>
                <w:rFonts w:hint="eastAsia" w:cs="宋体"/>
              </w:rPr>
              <w:t>月</w:t>
            </w:r>
            <w:r>
              <w:rPr>
                <w:rFonts w:cs="宋体"/>
              </w:rPr>
              <w:t>29</w:t>
            </w:r>
            <w:r>
              <w:rPr>
                <w:rFonts w:hint="eastAsia" w:cs="宋体"/>
              </w:rPr>
              <w:t>日、</w:t>
            </w:r>
            <w:r>
              <w:rPr>
                <w:rFonts w:cs="宋体"/>
              </w:rPr>
              <w:t>2024</w:t>
            </w:r>
            <w:r>
              <w:rPr>
                <w:rFonts w:hint="eastAsia" w:cs="宋体"/>
              </w:rPr>
              <w:t>年</w:t>
            </w:r>
            <w:r>
              <w:rPr>
                <w:rFonts w:cs="宋体"/>
              </w:rPr>
              <w:t>1</w:t>
            </w:r>
            <w:r>
              <w:rPr>
                <w:rFonts w:hint="eastAsia" w:cs="宋体"/>
              </w:rPr>
              <w:t>月</w:t>
            </w:r>
            <w:r>
              <w:rPr>
                <w:rFonts w:cs="宋体"/>
              </w:rPr>
              <w:t>4</w:t>
            </w:r>
            <w:r>
              <w:rPr>
                <w:rFonts w:hint="eastAsia" w:cs="宋体"/>
              </w:rPr>
              <w:t>日在项目所在海域布设</w:t>
            </w:r>
            <w:r>
              <w:t>14</w:t>
            </w:r>
            <w:r>
              <w:rPr>
                <w:rFonts w:hint="eastAsia" w:cs="宋体"/>
              </w:rPr>
              <w:t>个监测点位现状调查资料</w:t>
            </w:r>
            <w:r>
              <w:t>查</w:t>
            </w:r>
            <w:r>
              <w:rPr>
                <w:snapToGrid w:val="0"/>
                <w:kern w:val="0"/>
                <w:szCs w:val="21"/>
              </w:rPr>
              <w:t>。</w:t>
            </w:r>
          </w:p>
          <w:p w14:paraId="1A3B439D">
            <w:pPr>
              <w:ind w:firstLine="480"/>
              <w:rPr>
                <w:snapToGrid w:val="0"/>
                <w:kern w:val="0"/>
                <w:szCs w:val="21"/>
              </w:rPr>
            </w:pPr>
            <w:r>
              <w:rPr>
                <w:snapToGrid w:val="0"/>
                <w:kern w:val="0"/>
                <w:szCs w:val="21"/>
              </w:rPr>
              <w:t>（1）监测时间、</w:t>
            </w:r>
            <w:r>
              <w:rPr>
                <w:rFonts w:hint="eastAsia"/>
                <w:snapToGrid w:val="0"/>
                <w:kern w:val="0"/>
                <w:szCs w:val="21"/>
              </w:rPr>
              <w:t>点位</w:t>
            </w:r>
            <w:r>
              <w:rPr>
                <w:snapToGrid w:val="0"/>
                <w:kern w:val="0"/>
                <w:szCs w:val="21"/>
              </w:rPr>
              <w:t>布设</w:t>
            </w:r>
          </w:p>
          <w:p w14:paraId="1F1FD2D1">
            <w:pPr>
              <w:ind w:firstLine="480"/>
              <w:rPr>
                <w:snapToGrid w:val="0"/>
                <w:kern w:val="0"/>
                <w:szCs w:val="21"/>
              </w:rPr>
            </w:pPr>
            <w:r>
              <w:rPr>
                <w:snapToGrid w:val="0"/>
                <w:kern w:val="0"/>
                <w:szCs w:val="21"/>
              </w:rPr>
              <w:t>1）监测时间：</w:t>
            </w:r>
            <w:r>
              <w:rPr>
                <w:rFonts w:cs="宋体"/>
              </w:rPr>
              <w:t>2023</w:t>
            </w:r>
            <w:r>
              <w:rPr>
                <w:rFonts w:hint="eastAsia" w:cs="宋体"/>
              </w:rPr>
              <w:t>年</w:t>
            </w:r>
            <w:r>
              <w:rPr>
                <w:rFonts w:cs="宋体"/>
              </w:rPr>
              <w:t>12</w:t>
            </w:r>
            <w:r>
              <w:rPr>
                <w:rFonts w:hint="eastAsia" w:cs="宋体"/>
              </w:rPr>
              <w:t>月</w:t>
            </w:r>
            <w:r>
              <w:rPr>
                <w:rFonts w:cs="宋体"/>
              </w:rPr>
              <w:t>27</w:t>
            </w:r>
            <w:r>
              <w:rPr>
                <w:rFonts w:hint="eastAsia" w:cs="宋体"/>
              </w:rPr>
              <w:t>日</w:t>
            </w:r>
            <w:r>
              <w:rPr>
                <w:rFonts w:cs="宋体"/>
              </w:rPr>
              <w:t>~2023</w:t>
            </w:r>
            <w:r>
              <w:rPr>
                <w:rFonts w:hint="eastAsia" w:cs="宋体"/>
              </w:rPr>
              <w:t>年</w:t>
            </w:r>
            <w:r>
              <w:rPr>
                <w:rFonts w:cs="宋体"/>
              </w:rPr>
              <w:t>12</w:t>
            </w:r>
            <w:r>
              <w:rPr>
                <w:rFonts w:hint="eastAsia" w:cs="宋体"/>
              </w:rPr>
              <w:t>月</w:t>
            </w:r>
            <w:r>
              <w:rPr>
                <w:rFonts w:cs="宋体"/>
              </w:rPr>
              <w:t>29</w:t>
            </w:r>
            <w:r>
              <w:rPr>
                <w:rFonts w:hint="eastAsia" w:cs="宋体"/>
              </w:rPr>
              <w:t>日、</w:t>
            </w:r>
            <w:r>
              <w:rPr>
                <w:rFonts w:cs="宋体"/>
              </w:rPr>
              <w:t>2024</w:t>
            </w:r>
            <w:r>
              <w:rPr>
                <w:rFonts w:hint="eastAsia" w:cs="宋体"/>
              </w:rPr>
              <w:t>年</w:t>
            </w:r>
            <w:r>
              <w:rPr>
                <w:rFonts w:cs="宋体"/>
              </w:rPr>
              <w:t>1</w:t>
            </w:r>
            <w:r>
              <w:rPr>
                <w:rFonts w:hint="eastAsia" w:cs="宋体"/>
              </w:rPr>
              <w:t>月</w:t>
            </w:r>
            <w:r>
              <w:rPr>
                <w:rFonts w:cs="宋体"/>
              </w:rPr>
              <w:t>4</w:t>
            </w:r>
            <w:r>
              <w:rPr>
                <w:rFonts w:hint="eastAsia" w:cs="宋体"/>
              </w:rPr>
              <w:t>日</w:t>
            </w:r>
            <w:r>
              <w:rPr>
                <w:snapToGrid w:val="0"/>
                <w:kern w:val="0"/>
                <w:szCs w:val="21"/>
              </w:rPr>
              <w:t>。</w:t>
            </w:r>
          </w:p>
          <w:p w14:paraId="38FFC76B">
            <w:pPr>
              <w:ind w:firstLine="480"/>
              <w:rPr>
                <w:szCs w:val="22"/>
              </w:rPr>
            </w:pPr>
            <w:r>
              <w:rPr>
                <w:snapToGrid w:val="0"/>
                <w:kern w:val="0"/>
                <w:szCs w:val="21"/>
              </w:rPr>
              <w:t>2）监测点位：</w:t>
            </w:r>
            <w:r>
              <w:rPr>
                <w:szCs w:val="20"/>
              </w:rPr>
              <w:t>海洋水质调查站位的布置图见图</w:t>
            </w:r>
            <w:r>
              <w:rPr>
                <w:rFonts w:hint="eastAsia"/>
                <w:szCs w:val="20"/>
              </w:rPr>
              <w:t>3.2-2</w:t>
            </w:r>
            <w:r>
              <w:rPr>
                <w:szCs w:val="20"/>
              </w:rPr>
              <w:t>，海洋调查站位坐标见</w:t>
            </w:r>
            <w:r>
              <w:rPr>
                <w:rFonts w:hint="eastAsia"/>
                <w:szCs w:val="20"/>
              </w:rPr>
              <w:t>表3.2-5</w:t>
            </w:r>
            <w:r>
              <w:rPr>
                <w:szCs w:val="20"/>
              </w:rPr>
              <w:t>。</w:t>
            </w:r>
          </w:p>
          <w:p w14:paraId="0DD06771">
            <w:pPr>
              <w:spacing w:line="240" w:lineRule="auto"/>
              <w:ind w:firstLine="0" w:firstLineChars="0"/>
              <w:jc w:val="center"/>
              <w:rPr>
                <w:b/>
                <w:szCs w:val="20"/>
              </w:rPr>
            </w:pPr>
            <w:r>
              <w:rPr>
                <w:rFonts w:hint="eastAsia"/>
                <w:b/>
                <w:szCs w:val="20"/>
              </w:rPr>
              <w:t>表3.2-5</w:t>
            </w:r>
            <w:r>
              <w:rPr>
                <w:b/>
                <w:szCs w:val="20"/>
              </w:rPr>
              <w:t>测点位布置一览表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9"/>
              <w:gridCol w:w="2974"/>
              <w:gridCol w:w="1876"/>
              <w:gridCol w:w="2078"/>
              <w:gridCol w:w="1148"/>
            </w:tblGrid>
            <w:tr w14:paraId="65923E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top w:val="single" w:color="000000" w:sz="12" w:space="0"/>
                    <w:left w:val="nil"/>
                  </w:tcBorders>
                  <w:vAlign w:val="center"/>
                </w:tcPr>
                <w:p w14:paraId="5F4D0CD6">
                  <w:pPr>
                    <w:widowControl/>
                    <w:topLinePunct/>
                    <w:adjustRightInd w:val="0"/>
                    <w:snapToGrid w:val="0"/>
                    <w:spacing w:line="240" w:lineRule="auto"/>
                    <w:ind w:firstLine="0" w:firstLineChars="0"/>
                    <w:jc w:val="center"/>
                    <w:rPr>
                      <w:sz w:val="21"/>
                      <w:szCs w:val="21"/>
                    </w:rPr>
                  </w:pPr>
                  <w:r>
                    <w:rPr>
                      <w:rFonts w:hint="eastAsia" w:cs="宋体"/>
                      <w:sz w:val="21"/>
                      <w:szCs w:val="21"/>
                    </w:rPr>
                    <w:t>序号</w:t>
                  </w:r>
                </w:p>
              </w:tc>
              <w:tc>
                <w:tcPr>
                  <w:tcW w:w="1720" w:type="pct"/>
                  <w:tcBorders>
                    <w:top w:val="single" w:color="000000" w:sz="12" w:space="0"/>
                  </w:tcBorders>
                  <w:vAlign w:val="center"/>
                </w:tcPr>
                <w:p w14:paraId="07B2AC85">
                  <w:pPr>
                    <w:widowControl/>
                    <w:topLinePunct/>
                    <w:adjustRightInd w:val="0"/>
                    <w:snapToGrid w:val="0"/>
                    <w:spacing w:line="240" w:lineRule="auto"/>
                    <w:ind w:firstLine="0" w:firstLineChars="0"/>
                    <w:jc w:val="center"/>
                    <w:rPr>
                      <w:sz w:val="21"/>
                      <w:szCs w:val="21"/>
                    </w:rPr>
                  </w:pPr>
                  <w:r>
                    <w:rPr>
                      <w:rFonts w:hint="eastAsia" w:cs="宋体"/>
                      <w:sz w:val="21"/>
                      <w:szCs w:val="21"/>
                    </w:rPr>
                    <w:t>所在位置</w:t>
                  </w:r>
                </w:p>
              </w:tc>
              <w:tc>
                <w:tcPr>
                  <w:tcW w:w="1085" w:type="pct"/>
                  <w:tcBorders>
                    <w:top w:val="single" w:color="000000" w:sz="12" w:space="0"/>
                  </w:tcBorders>
                  <w:vAlign w:val="center"/>
                </w:tcPr>
                <w:p w14:paraId="5C516529">
                  <w:pPr>
                    <w:widowControl/>
                    <w:topLinePunct/>
                    <w:adjustRightInd w:val="0"/>
                    <w:snapToGrid w:val="0"/>
                    <w:spacing w:line="240" w:lineRule="auto"/>
                    <w:ind w:firstLine="0" w:firstLineChars="0"/>
                    <w:jc w:val="center"/>
                    <w:rPr>
                      <w:sz w:val="21"/>
                      <w:szCs w:val="21"/>
                    </w:rPr>
                  </w:pPr>
                  <w:r>
                    <w:rPr>
                      <w:rFonts w:hint="eastAsia" w:cs="宋体"/>
                      <w:sz w:val="21"/>
                      <w:szCs w:val="21"/>
                    </w:rPr>
                    <w:t>经度</w:t>
                  </w:r>
                </w:p>
              </w:tc>
              <w:tc>
                <w:tcPr>
                  <w:tcW w:w="1202" w:type="pct"/>
                  <w:tcBorders>
                    <w:top w:val="single" w:color="000000" w:sz="12" w:space="0"/>
                  </w:tcBorders>
                  <w:vAlign w:val="center"/>
                </w:tcPr>
                <w:p w14:paraId="5520027F">
                  <w:pPr>
                    <w:widowControl/>
                    <w:topLinePunct/>
                    <w:adjustRightInd w:val="0"/>
                    <w:snapToGrid w:val="0"/>
                    <w:spacing w:line="240" w:lineRule="auto"/>
                    <w:ind w:firstLine="0" w:firstLineChars="0"/>
                    <w:jc w:val="center"/>
                    <w:rPr>
                      <w:sz w:val="21"/>
                      <w:szCs w:val="21"/>
                    </w:rPr>
                  </w:pPr>
                  <w:r>
                    <w:rPr>
                      <w:rFonts w:hint="eastAsia" w:cs="宋体"/>
                      <w:sz w:val="21"/>
                      <w:szCs w:val="21"/>
                    </w:rPr>
                    <w:t>纬度</w:t>
                  </w:r>
                </w:p>
              </w:tc>
              <w:tc>
                <w:tcPr>
                  <w:tcW w:w="664" w:type="pct"/>
                  <w:tcBorders>
                    <w:top w:val="single" w:color="000000" w:sz="12" w:space="0"/>
                    <w:right w:val="nil"/>
                  </w:tcBorders>
                  <w:vAlign w:val="center"/>
                </w:tcPr>
                <w:p w14:paraId="0A352D53">
                  <w:pPr>
                    <w:widowControl/>
                    <w:topLinePunct/>
                    <w:adjustRightInd w:val="0"/>
                    <w:snapToGrid w:val="0"/>
                    <w:spacing w:line="240" w:lineRule="auto"/>
                    <w:ind w:firstLine="0" w:firstLineChars="0"/>
                    <w:jc w:val="center"/>
                    <w:rPr>
                      <w:sz w:val="21"/>
                      <w:szCs w:val="21"/>
                    </w:rPr>
                  </w:pPr>
                  <w:r>
                    <w:rPr>
                      <w:rFonts w:hint="eastAsia" w:cs="宋体"/>
                      <w:sz w:val="21"/>
                      <w:szCs w:val="21"/>
                    </w:rPr>
                    <w:t>监测项目</w:t>
                  </w:r>
                </w:p>
              </w:tc>
            </w:tr>
            <w:tr w14:paraId="4D25B7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7D73C455">
                  <w:pPr>
                    <w:widowControl/>
                    <w:topLinePunct/>
                    <w:adjustRightInd w:val="0"/>
                    <w:snapToGrid w:val="0"/>
                    <w:spacing w:line="240" w:lineRule="auto"/>
                    <w:ind w:firstLine="0" w:firstLineChars="0"/>
                    <w:jc w:val="center"/>
                    <w:rPr>
                      <w:sz w:val="21"/>
                      <w:szCs w:val="21"/>
                    </w:rPr>
                  </w:pPr>
                  <w:r>
                    <w:rPr>
                      <w:sz w:val="21"/>
                      <w:szCs w:val="21"/>
                    </w:rPr>
                    <w:t>1#</w:t>
                  </w:r>
                </w:p>
              </w:tc>
              <w:tc>
                <w:tcPr>
                  <w:tcW w:w="1720" w:type="pct"/>
                  <w:vAlign w:val="center"/>
                </w:tcPr>
                <w:p w14:paraId="78D76141">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排放口上方位置</w:t>
                  </w:r>
                </w:p>
              </w:tc>
              <w:tc>
                <w:tcPr>
                  <w:tcW w:w="1085" w:type="pct"/>
                  <w:vAlign w:val="center"/>
                </w:tcPr>
                <w:p w14:paraId="7A93E11E">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119°17′18.30″</w:t>
                  </w:r>
                </w:p>
              </w:tc>
              <w:tc>
                <w:tcPr>
                  <w:tcW w:w="1202" w:type="pct"/>
                  <w:vAlign w:val="center"/>
                </w:tcPr>
                <w:p w14:paraId="7A05D019">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25°24′22.56″</w:t>
                  </w:r>
                </w:p>
              </w:tc>
              <w:tc>
                <w:tcPr>
                  <w:tcW w:w="664" w:type="pct"/>
                  <w:vMerge w:val="restart"/>
                  <w:tcBorders>
                    <w:right w:val="nil"/>
                  </w:tcBorders>
                  <w:vAlign w:val="center"/>
                </w:tcPr>
                <w:p w14:paraId="6297F4C1">
                  <w:pPr>
                    <w:widowControl/>
                    <w:topLinePunct/>
                    <w:adjustRightInd w:val="0"/>
                    <w:snapToGrid w:val="0"/>
                    <w:spacing w:line="240" w:lineRule="auto"/>
                    <w:ind w:firstLine="0" w:firstLineChars="0"/>
                    <w:jc w:val="center"/>
                    <w:rPr>
                      <w:sz w:val="21"/>
                      <w:szCs w:val="21"/>
                    </w:rPr>
                  </w:pPr>
                  <w:r>
                    <w:rPr>
                      <w:rFonts w:hint="eastAsia" w:cs="宋体"/>
                      <w:sz w:val="21"/>
                      <w:szCs w:val="21"/>
                    </w:rPr>
                    <w:t>表层水质</w:t>
                  </w:r>
                </w:p>
              </w:tc>
            </w:tr>
            <w:tr w14:paraId="5BFCE2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7BC49272">
                  <w:pPr>
                    <w:widowControl/>
                    <w:topLinePunct/>
                    <w:adjustRightInd w:val="0"/>
                    <w:snapToGrid w:val="0"/>
                    <w:spacing w:line="240" w:lineRule="auto"/>
                    <w:ind w:firstLine="0" w:firstLineChars="0"/>
                    <w:jc w:val="center"/>
                    <w:rPr>
                      <w:sz w:val="21"/>
                      <w:szCs w:val="21"/>
                    </w:rPr>
                  </w:pPr>
                  <w:r>
                    <w:rPr>
                      <w:sz w:val="21"/>
                      <w:szCs w:val="21"/>
                    </w:rPr>
                    <w:t>2#</w:t>
                  </w:r>
                </w:p>
              </w:tc>
              <w:tc>
                <w:tcPr>
                  <w:tcW w:w="1720" w:type="pct"/>
                  <w:vAlign w:val="center"/>
                </w:tcPr>
                <w:p w14:paraId="1EF49320">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涨落潮方向参照点</w:t>
                  </w:r>
                </w:p>
              </w:tc>
              <w:tc>
                <w:tcPr>
                  <w:tcW w:w="1085" w:type="pct"/>
                  <w:vAlign w:val="center"/>
                </w:tcPr>
                <w:p w14:paraId="6978C403">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119°18′16.28″</w:t>
                  </w:r>
                </w:p>
              </w:tc>
              <w:tc>
                <w:tcPr>
                  <w:tcW w:w="1202" w:type="pct"/>
                  <w:vAlign w:val="center"/>
                </w:tcPr>
                <w:p w14:paraId="4CD29F7C">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25°24′19.35″</w:t>
                  </w:r>
                </w:p>
              </w:tc>
              <w:tc>
                <w:tcPr>
                  <w:tcW w:w="664" w:type="pct"/>
                  <w:vMerge w:val="continue"/>
                  <w:tcBorders>
                    <w:right w:val="nil"/>
                  </w:tcBorders>
                  <w:vAlign w:val="center"/>
                </w:tcPr>
                <w:p w14:paraId="18A244B3">
                  <w:pPr>
                    <w:widowControl/>
                    <w:topLinePunct/>
                    <w:adjustRightInd w:val="0"/>
                    <w:snapToGrid w:val="0"/>
                    <w:spacing w:line="240" w:lineRule="auto"/>
                    <w:ind w:firstLine="0" w:firstLineChars="0"/>
                    <w:jc w:val="center"/>
                    <w:rPr>
                      <w:sz w:val="21"/>
                      <w:szCs w:val="21"/>
                    </w:rPr>
                  </w:pPr>
                </w:p>
              </w:tc>
            </w:tr>
            <w:tr w14:paraId="471C6C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1E7093AB">
                  <w:pPr>
                    <w:widowControl/>
                    <w:topLinePunct/>
                    <w:adjustRightInd w:val="0"/>
                    <w:snapToGrid w:val="0"/>
                    <w:spacing w:line="240" w:lineRule="auto"/>
                    <w:ind w:firstLine="0" w:firstLineChars="0"/>
                    <w:jc w:val="center"/>
                    <w:rPr>
                      <w:sz w:val="21"/>
                      <w:szCs w:val="21"/>
                    </w:rPr>
                  </w:pPr>
                  <w:r>
                    <w:rPr>
                      <w:sz w:val="21"/>
                      <w:szCs w:val="21"/>
                    </w:rPr>
                    <w:t>3#</w:t>
                  </w:r>
                </w:p>
              </w:tc>
              <w:tc>
                <w:tcPr>
                  <w:tcW w:w="1720" w:type="pct"/>
                  <w:vAlign w:val="center"/>
                </w:tcPr>
                <w:p w14:paraId="5990918C">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排放口混合区外沿</w:t>
                  </w:r>
                </w:p>
              </w:tc>
              <w:tc>
                <w:tcPr>
                  <w:tcW w:w="1085" w:type="pct"/>
                  <w:vAlign w:val="center"/>
                </w:tcPr>
                <w:p w14:paraId="5FBCB461">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119°18′02.65″</w:t>
                  </w:r>
                </w:p>
              </w:tc>
              <w:tc>
                <w:tcPr>
                  <w:tcW w:w="1202" w:type="pct"/>
                  <w:vAlign w:val="center"/>
                </w:tcPr>
                <w:p w14:paraId="276E3582">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25°23′49.47″</w:t>
                  </w:r>
                </w:p>
              </w:tc>
              <w:tc>
                <w:tcPr>
                  <w:tcW w:w="664" w:type="pct"/>
                  <w:vMerge w:val="continue"/>
                  <w:tcBorders>
                    <w:right w:val="nil"/>
                  </w:tcBorders>
                  <w:vAlign w:val="center"/>
                </w:tcPr>
                <w:p w14:paraId="6AD02089">
                  <w:pPr>
                    <w:widowControl/>
                    <w:topLinePunct/>
                    <w:adjustRightInd w:val="0"/>
                    <w:snapToGrid w:val="0"/>
                    <w:spacing w:line="240" w:lineRule="auto"/>
                    <w:ind w:firstLine="0" w:firstLineChars="0"/>
                    <w:jc w:val="center"/>
                    <w:rPr>
                      <w:sz w:val="21"/>
                      <w:szCs w:val="21"/>
                    </w:rPr>
                  </w:pPr>
                </w:p>
              </w:tc>
            </w:tr>
            <w:tr w14:paraId="604D4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64F3E325">
                  <w:pPr>
                    <w:widowControl/>
                    <w:topLinePunct/>
                    <w:adjustRightInd w:val="0"/>
                    <w:snapToGrid w:val="0"/>
                    <w:spacing w:line="240" w:lineRule="auto"/>
                    <w:ind w:firstLine="0" w:firstLineChars="0"/>
                    <w:jc w:val="center"/>
                    <w:rPr>
                      <w:sz w:val="21"/>
                      <w:szCs w:val="21"/>
                    </w:rPr>
                  </w:pPr>
                  <w:r>
                    <w:rPr>
                      <w:sz w:val="21"/>
                      <w:szCs w:val="21"/>
                    </w:rPr>
                    <w:t>4#</w:t>
                  </w:r>
                </w:p>
              </w:tc>
              <w:tc>
                <w:tcPr>
                  <w:tcW w:w="1720" w:type="pct"/>
                  <w:vAlign w:val="center"/>
                </w:tcPr>
                <w:p w14:paraId="22ADB478">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排放口混合区外沿</w:t>
                  </w:r>
                </w:p>
              </w:tc>
              <w:tc>
                <w:tcPr>
                  <w:tcW w:w="1085" w:type="pct"/>
                  <w:vAlign w:val="center"/>
                </w:tcPr>
                <w:p w14:paraId="46AA26EC">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119°17′28.80″</w:t>
                  </w:r>
                </w:p>
              </w:tc>
              <w:tc>
                <w:tcPr>
                  <w:tcW w:w="1202" w:type="pct"/>
                  <w:vAlign w:val="center"/>
                </w:tcPr>
                <w:p w14:paraId="7F446933">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25°24′40.80″</w:t>
                  </w:r>
                </w:p>
              </w:tc>
              <w:tc>
                <w:tcPr>
                  <w:tcW w:w="664" w:type="pct"/>
                  <w:vMerge w:val="continue"/>
                  <w:tcBorders>
                    <w:right w:val="nil"/>
                  </w:tcBorders>
                  <w:vAlign w:val="center"/>
                </w:tcPr>
                <w:p w14:paraId="62875EF9">
                  <w:pPr>
                    <w:widowControl/>
                    <w:topLinePunct/>
                    <w:adjustRightInd w:val="0"/>
                    <w:snapToGrid w:val="0"/>
                    <w:spacing w:line="240" w:lineRule="auto"/>
                    <w:ind w:firstLine="0" w:firstLineChars="0"/>
                    <w:jc w:val="center"/>
                    <w:rPr>
                      <w:sz w:val="21"/>
                      <w:szCs w:val="21"/>
                    </w:rPr>
                  </w:pPr>
                </w:p>
              </w:tc>
            </w:tr>
            <w:tr w14:paraId="47FB26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7D2B97F3">
                  <w:pPr>
                    <w:widowControl/>
                    <w:topLinePunct/>
                    <w:adjustRightInd w:val="0"/>
                    <w:snapToGrid w:val="0"/>
                    <w:spacing w:line="240" w:lineRule="auto"/>
                    <w:ind w:firstLine="0" w:firstLineChars="0"/>
                    <w:jc w:val="center"/>
                    <w:rPr>
                      <w:sz w:val="21"/>
                      <w:szCs w:val="21"/>
                    </w:rPr>
                  </w:pPr>
                  <w:r>
                    <w:rPr>
                      <w:sz w:val="21"/>
                      <w:szCs w:val="21"/>
                    </w:rPr>
                    <w:t>5#</w:t>
                  </w:r>
                </w:p>
              </w:tc>
              <w:tc>
                <w:tcPr>
                  <w:tcW w:w="1720" w:type="pct"/>
                  <w:vAlign w:val="center"/>
                </w:tcPr>
                <w:p w14:paraId="5A3BAF0E">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排放口混合区外沿</w:t>
                  </w:r>
                </w:p>
              </w:tc>
              <w:tc>
                <w:tcPr>
                  <w:tcW w:w="1085" w:type="pct"/>
                  <w:vAlign w:val="center"/>
                </w:tcPr>
                <w:p w14:paraId="19FF0069">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119°17′12.73″</w:t>
                  </w:r>
                </w:p>
              </w:tc>
              <w:tc>
                <w:tcPr>
                  <w:tcW w:w="1202" w:type="pct"/>
                  <w:vAlign w:val="center"/>
                </w:tcPr>
                <w:p w14:paraId="38785730">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25°24′10.81″</w:t>
                  </w:r>
                </w:p>
              </w:tc>
              <w:tc>
                <w:tcPr>
                  <w:tcW w:w="664" w:type="pct"/>
                  <w:vMerge w:val="continue"/>
                  <w:tcBorders>
                    <w:right w:val="nil"/>
                  </w:tcBorders>
                  <w:vAlign w:val="center"/>
                </w:tcPr>
                <w:p w14:paraId="4259AD19">
                  <w:pPr>
                    <w:widowControl/>
                    <w:topLinePunct/>
                    <w:adjustRightInd w:val="0"/>
                    <w:snapToGrid w:val="0"/>
                    <w:spacing w:line="240" w:lineRule="auto"/>
                    <w:ind w:firstLine="0" w:firstLineChars="0"/>
                    <w:jc w:val="center"/>
                    <w:rPr>
                      <w:sz w:val="21"/>
                      <w:szCs w:val="21"/>
                    </w:rPr>
                  </w:pPr>
                </w:p>
              </w:tc>
            </w:tr>
            <w:tr w14:paraId="1BD3DC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0FB31BF8">
                  <w:pPr>
                    <w:widowControl/>
                    <w:topLinePunct/>
                    <w:adjustRightInd w:val="0"/>
                    <w:snapToGrid w:val="0"/>
                    <w:spacing w:line="240" w:lineRule="auto"/>
                    <w:ind w:firstLine="0" w:firstLineChars="0"/>
                    <w:jc w:val="center"/>
                    <w:rPr>
                      <w:sz w:val="21"/>
                      <w:szCs w:val="21"/>
                    </w:rPr>
                  </w:pPr>
                  <w:r>
                    <w:rPr>
                      <w:sz w:val="21"/>
                      <w:szCs w:val="21"/>
                    </w:rPr>
                    <w:t>6#</w:t>
                  </w:r>
                </w:p>
              </w:tc>
              <w:tc>
                <w:tcPr>
                  <w:tcW w:w="1720" w:type="pct"/>
                  <w:vAlign w:val="center"/>
                </w:tcPr>
                <w:p w14:paraId="6AC3C7F6">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排放口混合区外沿</w:t>
                  </w:r>
                </w:p>
              </w:tc>
              <w:tc>
                <w:tcPr>
                  <w:tcW w:w="1085" w:type="pct"/>
                  <w:vAlign w:val="center"/>
                </w:tcPr>
                <w:p w14:paraId="2A928D3B">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119°16′38.87″</w:t>
                  </w:r>
                </w:p>
              </w:tc>
              <w:tc>
                <w:tcPr>
                  <w:tcW w:w="1202" w:type="pct"/>
                  <w:vAlign w:val="center"/>
                </w:tcPr>
                <w:p w14:paraId="410FB1D3">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25°25′02.92″</w:t>
                  </w:r>
                </w:p>
              </w:tc>
              <w:tc>
                <w:tcPr>
                  <w:tcW w:w="664" w:type="pct"/>
                  <w:vMerge w:val="continue"/>
                  <w:tcBorders>
                    <w:right w:val="nil"/>
                  </w:tcBorders>
                  <w:vAlign w:val="center"/>
                </w:tcPr>
                <w:p w14:paraId="53EDEC80">
                  <w:pPr>
                    <w:widowControl/>
                    <w:topLinePunct/>
                    <w:adjustRightInd w:val="0"/>
                    <w:snapToGrid w:val="0"/>
                    <w:spacing w:line="240" w:lineRule="auto"/>
                    <w:ind w:firstLine="0" w:firstLineChars="0"/>
                    <w:jc w:val="center"/>
                    <w:rPr>
                      <w:sz w:val="21"/>
                      <w:szCs w:val="21"/>
                    </w:rPr>
                  </w:pPr>
                </w:p>
              </w:tc>
            </w:tr>
            <w:tr w14:paraId="541B6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1E400E86">
                  <w:pPr>
                    <w:widowControl/>
                    <w:topLinePunct/>
                    <w:adjustRightInd w:val="0"/>
                    <w:snapToGrid w:val="0"/>
                    <w:spacing w:line="240" w:lineRule="auto"/>
                    <w:ind w:firstLine="0" w:firstLineChars="0"/>
                    <w:jc w:val="center"/>
                    <w:rPr>
                      <w:sz w:val="21"/>
                      <w:szCs w:val="21"/>
                    </w:rPr>
                  </w:pPr>
                  <w:r>
                    <w:rPr>
                      <w:sz w:val="21"/>
                      <w:szCs w:val="21"/>
                    </w:rPr>
                    <w:t>7#</w:t>
                  </w:r>
                </w:p>
              </w:tc>
              <w:tc>
                <w:tcPr>
                  <w:tcW w:w="1720" w:type="pct"/>
                  <w:vAlign w:val="center"/>
                </w:tcPr>
                <w:p w14:paraId="0585638B">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排放口混合区外沿</w:t>
                  </w:r>
                </w:p>
              </w:tc>
              <w:tc>
                <w:tcPr>
                  <w:tcW w:w="1085" w:type="pct"/>
                  <w:vAlign w:val="center"/>
                </w:tcPr>
                <w:p w14:paraId="3047AEB8">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119°16′24.37″</w:t>
                  </w:r>
                </w:p>
              </w:tc>
              <w:tc>
                <w:tcPr>
                  <w:tcW w:w="1202" w:type="pct"/>
                  <w:vAlign w:val="center"/>
                </w:tcPr>
                <w:p w14:paraId="478A06B5">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25°24′32.66″</w:t>
                  </w:r>
                </w:p>
              </w:tc>
              <w:tc>
                <w:tcPr>
                  <w:tcW w:w="664" w:type="pct"/>
                  <w:vMerge w:val="continue"/>
                  <w:tcBorders>
                    <w:right w:val="nil"/>
                  </w:tcBorders>
                  <w:vAlign w:val="center"/>
                </w:tcPr>
                <w:p w14:paraId="72AB2F94">
                  <w:pPr>
                    <w:widowControl/>
                    <w:topLinePunct/>
                    <w:adjustRightInd w:val="0"/>
                    <w:snapToGrid w:val="0"/>
                    <w:spacing w:line="240" w:lineRule="auto"/>
                    <w:ind w:firstLine="0" w:firstLineChars="0"/>
                    <w:jc w:val="center"/>
                    <w:rPr>
                      <w:sz w:val="21"/>
                      <w:szCs w:val="21"/>
                    </w:rPr>
                  </w:pPr>
                </w:p>
              </w:tc>
            </w:tr>
            <w:tr w14:paraId="24911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23DA292F">
                  <w:pPr>
                    <w:widowControl/>
                    <w:topLinePunct/>
                    <w:adjustRightInd w:val="0"/>
                    <w:snapToGrid w:val="0"/>
                    <w:spacing w:line="240" w:lineRule="auto"/>
                    <w:ind w:firstLine="0" w:firstLineChars="0"/>
                    <w:jc w:val="center"/>
                    <w:rPr>
                      <w:sz w:val="21"/>
                      <w:szCs w:val="21"/>
                    </w:rPr>
                  </w:pPr>
                  <w:r>
                    <w:rPr>
                      <w:sz w:val="21"/>
                      <w:szCs w:val="21"/>
                    </w:rPr>
                    <w:t>8#</w:t>
                  </w:r>
                </w:p>
              </w:tc>
              <w:tc>
                <w:tcPr>
                  <w:tcW w:w="1720" w:type="pct"/>
                  <w:vAlign w:val="center"/>
                </w:tcPr>
                <w:p w14:paraId="626E501F">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排放口混合区外沿</w:t>
                  </w:r>
                </w:p>
              </w:tc>
              <w:tc>
                <w:tcPr>
                  <w:tcW w:w="1085" w:type="pct"/>
                  <w:vAlign w:val="center"/>
                </w:tcPr>
                <w:p w14:paraId="79682614">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119°18′41.03″</w:t>
                  </w:r>
                </w:p>
              </w:tc>
              <w:tc>
                <w:tcPr>
                  <w:tcW w:w="1202" w:type="pct"/>
                  <w:vAlign w:val="center"/>
                </w:tcPr>
                <w:p w14:paraId="7DA33D5D">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25°23′50.47″</w:t>
                  </w:r>
                </w:p>
              </w:tc>
              <w:tc>
                <w:tcPr>
                  <w:tcW w:w="664" w:type="pct"/>
                  <w:vMerge w:val="continue"/>
                  <w:tcBorders>
                    <w:right w:val="nil"/>
                  </w:tcBorders>
                  <w:vAlign w:val="center"/>
                </w:tcPr>
                <w:p w14:paraId="3A767B72">
                  <w:pPr>
                    <w:widowControl/>
                    <w:topLinePunct/>
                    <w:adjustRightInd w:val="0"/>
                    <w:snapToGrid w:val="0"/>
                    <w:spacing w:line="240" w:lineRule="auto"/>
                    <w:ind w:firstLine="0" w:firstLineChars="0"/>
                    <w:jc w:val="center"/>
                    <w:rPr>
                      <w:sz w:val="21"/>
                      <w:szCs w:val="21"/>
                    </w:rPr>
                  </w:pPr>
                </w:p>
              </w:tc>
            </w:tr>
            <w:tr w14:paraId="6D5FD1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7D043CC1">
                  <w:pPr>
                    <w:widowControl/>
                    <w:topLinePunct/>
                    <w:adjustRightInd w:val="0"/>
                    <w:snapToGrid w:val="0"/>
                    <w:spacing w:line="240" w:lineRule="auto"/>
                    <w:ind w:firstLine="0" w:firstLineChars="0"/>
                    <w:jc w:val="center"/>
                    <w:rPr>
                      <w:sz w:val="21"/>
                      <w:szCs w:val="21"/>
                    </w:rPr>
                  </w:pPr>
                  <w:r>
                    <w:rPr>
                      <w:sz w:val="21"/>
                      <w:szCs w:val="21"/>
                    </w:rPr>
                    <w:t>9#</w:t>
                  </w:r>
                </w:p>
              </w:tc>
              <w:tc>
                <w:tcPr>
                  <w:tcW w:w="1720" w:type="pct"/>
                  <w:vAlign w:val="center"/>
                </w:tcPr>
                <w:p w14:paraId="1A8003B6">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涨落潮方向参照点</w:t>
                  </w:r>
                </w:p>
              </w:tc>
              <w:tc>
                <w:tcPr>
                  <w:tcW w:w="1085" w:type="pct"/>
                  <w:vAlign w:val="center"/>
                </w:tcPr>
                <w:p w14:paraId="1BEC122A">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119°15′58.86″</w:t>
                  </w:r>
                </w:p>
              </w:tc>
              <w:tc>
                <w:tcPr>
                  <w:tcW w:w="1202" w:type="pct"/>
                  <w:vAlign w:val="center"/>
                </w:tcPr>
                <w:p w14:paraId="31A24F17">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25°25′01.97″</w:t>
                  </w:r>
                </w:p>
              </w:tc>
              <w:tc>
                <w:tcPr>
                  <w:tcW w:w="664" w:type="pct"/>
                  <w:vMerge w:val="continue"/>
                  <w:tcBorders>
                    <w:right w:val="nil"/>
                  </w:tcBorders>
                  <w:vAlign w:val="center"/>
                </w:tcPr>
                <w:p w14:paraId="3F095657">
                  <w:pPr>
                    <w:widowControl/>
                    <w:topLinePunct/>
                    <w:adjustRightInd w:val="0"/>
                    <w:snapToGrid w:val="0"/>
                    <w:spacing w:line="240" w:lineRule="auto"/>
                    <w:ind w:firstLine="0" w:firstLineChars="0"/>
                    <w:jc w:val="center"/>
                    <w:rPr>
                      <w:sz w:val="21"/>
                      <w:szCs w:val="21"/>
                    </w:rPr>
                  </w:pPr>
                </w:p>
              </w:tc>
            </w:tr>
            <w:tr w14:paraId="068CB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3CB1C053">
                  <w:pPr>
                    <w:widowControl/>
                    <w:topLinePunct/>
                    <w:adjustRightInd w:val="0"/>
                    <w:snapToGrid w:val="0"/>
                    <w:spacing w:line="240" w:lineRule="auto"/>
                    <w:ind w:firstLine="0" w:firstLineChars="0"/>
                    <w:jc w:val="center"/>
                    <w:rPr>
                      <w:sz w:val="21"/>
                      <w:szCs w:val="21"/>
                    </w:rPr>
                  </w:pPr>
                  <w:r>
                    <w:rPr>
                      <w:sz w:val="21"/>
                      <w:szCs w:val="21"/>
                    </w:rPr>
                    <w:t>10#</w:t>
                  </w:r>
                </w:p>
              </w:tc>
              <w:tc>
                <w:tcPr>
                  <w:tcW w:w="1720" w:type="pct"/>
                  <w:vAlign w:val="center"/>
                </w:tcPr>
                <w:p w14:paraId="37AD81BA">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西港汇入监测站位</w:t>
                  </w:r>
                </w:p>
              </w:tc>
              <w:tc>
                <w:tcPr>
                  <w:tcW w:w="1085" w:type="pct"/>
                  <w:vAlign w:val="center"/>
                </w:tcPr>
                <w:p w14:paraId="51429DAC">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119°14′38.36″</w:t>
                  </w:r>
                </w:p>
              </w:tc>
              <w:tc>
                <w:tcPr>
                  <w:tcW w:w="1202" w:type="pct"/>
                  <w:vAlign w:val="center"/>
                </w:tcPr>
                <w:p w14:paraId="05CAE171">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25°26′19.68″</w:t>
                  </w:r>
                </w:p>
              </w:tc>
              <w:tc>
                <w:tcPr>
                  <w:tcW w:w="664" w:type="pct"/>
                  <w:vMerge w:val="continue"/>
                  <w:tcBorders>
                    <w:right w:val="nil"/>
                  </w:tcBorders>
                  <w:vAlign w:val="center"/>
                </w:tcPr>
                <w:p w14:paraId="4AB04C36">
                  <w:pPr>
                    <w:widowControl/>
                    <w:topLinePunct/>
                    <w:adjustRightInd w:val="0"/>
                    <w:snapToGrid w:val="0"/>
                    <w:spacing w:line="240" w:lineRule="auto"/>
                    <w:ind w:firstLine="0" w:firstLineChars="0"/>
                    <w:jc w:val="center"/>
                    <w:rPr>
                      <w:sz w:val="21"/>
                      <w:szCs w:val="21"/>
                    </w:rPr>
                  </w:pPr>
                </w:p>
              </w:tc>
            </w:tr>
            <w:tr w14:paraId="4F8B07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0B21C6C3">
                  <w:pPr>
                    <w:widowControl/>
                    <w:topLinePunct/>
                    <w:adjustRightInd w:val="0"/>
                    <w:snapToGrid w:val="0"/>
                    <w:spacing w:line="240" w:lineRule="auto"/>
                    <w:ind w:firstLine="0" w:firstLineChars="0"/>
                    <w:jc w:val="center"/>
                    <w:rPr>
                      <w:sz w:val="21"/>
                      <w:szCs w:val="21"/>
                    </w:rPr>
                  </w:pPr>
                  <w:r>
                    <w:rPr>
                      <w:sz w:val="21"/>
                      <w:szCs w:val="21"/>
                    </w:rPr>
                    <w:t>11#</w:t>
                  </w:r>
                </w:p>
              </w:tc>
              <w:tc>
                <w:tcPr>
                  <w:tcW w:w="1720" w:type="pct"/>
                  <w:vAlign w:val="center"/>
                </w:tcPr>
                <w:p w14:paraId="45286845">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兴化湾西北部外源监测站位</w:t>
                  </w:r>
                </w:p>
              </w:tc>
              <w:tc>
                <w:tcPr>
                  <w:tcW w:w="1085" w:type="pct"/>
                  <w:vAlign w:val="center"/>
                </w:tcPr>
                <w:p w14:paraId="1EDD8823">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119°13′09.22″</w:t>
                  </w:r>
                </w:p>
              </w:tc>
              <w:tc>
                <w:tcPr>
                  <w:tcW w:w="1202" w:type="pct"/>
                  <w:vAlign w:val="center"/>
                </w:tcPr>
                <w:p w14:paraId="12AB672C">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25°25′32.27″</w:t>
                  </w:r>
                </w:p>
              </w:tc>
              <w:tc>
                <w:tcPr>
                  <w:tcW w:w="664" w:type="pct"/>
                  <w:vMerge w:val="continue"/>
                  <w:tcBorders>
                    <w:right w:val="nil"/>
                  </w:tcBorders>
                  <w:vAlign w:val="center"/>
                </w:tcPr>
                <w:p w14:paraId="257FFF5B">
                  <w:pPr>
                    <w:widowControl/>
                    <w:topLinePunct/>
                    <w:adjustRightInd w:val="0"/>
                    <w:snapToGrid w:val="0"/>
                    <w:spacing w:line="240" w:lineRule="auto"/>
                    <w:ind w:firstLine="0" w:firstLineChars="0"/>
                    <w:jc w:val="center"/>
                    <w:rPr>
                      <w:sz w:val="21"/>
                      <w:szCs w:val="21"/>
                    </w:rPr>
                  </w:pPr>
                </w:p>
              </w:tc>
            </w:tr>
            <w:tr w14:paraId="089FB0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369B49A3">
                  <w:pPr>
                    <w:widowControl/>
                    <w:topLinePunct/>
                    <w:adjustRightInd w:val="0"/>
                    <w:snapToGrid w:val="0"/>
                    <w:spacing w:line="240" w:lineRule="auto"/>
                    <w:ind w:firstLine="0" w:firstLineChars="0"/>
                    <w:jc w:val="center"/>
                    <w:rPr>
                      <w:sz w:val="21"/>
                      <w:szCs w:val="21"/>
                    </w:rPr>
                  </w:pPr>
                  <w:r>
                    <w:rPr>
                      <w:sz w:val="21"/>
                      <w:szCs w:val="21"/>
                    </w:rPr>
                    <w:t>12#</w:t>
                  </w:r>
                </w:p>
              </w:tc>
              <w:tc>
                <w:tcPr>
                  <w:tcW w:w="1720" w:type="pct"/>
                  <w:vAlign w:val="center"/>
                </w:tcPr>
                <w:p w14:paraId="2366E8AD">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兴化湾西南部外源监测站位</w:t>
                  </w:r>
                </w:p>
              </w:tc>
              <w:tc>
                <w:tcPr>
                  <w:tcW w:w="1085" w:type="pct"/>
                  <w:vAlign w:val="center"/>
                </w:tcPr>
                <w:p w14:paraId="6BDD3144">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119°11′57.94″</w:t>
                  </w:r>
                </w:p>
              </w:tc>
              <w:tc>
                <w:tcPr>
                  <w:tcW w:w="1202" w:type="pct"/>
                  <w:vAlign w:val="center"/>
                </w:tcPr>
                <w:p w14:paraId="72935D12">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25°23′13.41″</w:t>
                  </w:r>
                </w:p>
              </w:tc>
              <w:tc>
                <w:tcPr>
                  <w:tcW w:w="664" w:type="pct"/>
                  <w:vMerge w:val="continue"/>
                  <w:tcBorders>
                    <w:right w:val="nil"/>
                  </w:tcBorders>
                  <w:vAlign w:val="center"/>
                </w:tcPr>
                <w:p w14:paraId="7F9D73B1">
                  <w:pPr>
                    <w:widowControl/>
                    <w:topLinePunct/>
                    <w:adjustRightInd w:val="0"/>
                    <w:snapToGrid w:val="0"/>
                    <w:spacing w:line="240" w:lineRule="auto"/>
                    <w:ind w:firstLine="0" w:firstLineChars="0"/>
                    <w:jc w:val="center"/>
                    <w:rPr>
                      <w:sz w:val="21"/>
                      <w:szCs w:val="21"/>
                    </w:rPr>
                  </w:pPr>
                </w:p>
              </w:tc>
            </w:tr>
            <w:tr w14:paraId="5A2F53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tcBorders>
                  <w:vAlign w:val="center"/>
                </w:tcPr>
                <w:p w14:paraId="0C71A969">
                  <w:pPr>
                    <w:widowControl/>
                    <w:topLinePunct/>
                    <w:adjustRightInd w:val="0"/>
                    <w:snapToGrid w:val="0"/>
                    <w:spacing w:line="240" w:lineRule="auto"/>
                    <w:ind w:firstLine="0" w:firstLineChars="0"/>
                    <w:jc w:val="center"/>
                    <w:rPr>
                      <w:sz w:val="21"/>
                      <w:szCs w:val="21"/>
                    </w:rPr>
                  </w:pPr>
                  <w:r>
                    <w:rPr>
                      <w:sz w:val="21"/>
                      <w:szCs w:val="21"/>
                    </w:rPr>
                    <w:t>13#</w:t>
                  </w:r>
                </w:p>
              </w:tc>
              <w:tc>
                <w:tcPr>
                  <w:tcW w:w="1720" w:type="pct"/>
                  <w:vAlign w:val="center"/>
                </w:tcPr>
                <w:p w14:paraId="723150B3">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兴化湾南岸外源监测站位</w:t>
                  </w:r>
                </w:p>
              </w:tc>
              <w:tc>
                <w:tcPr>
                  <w:tcW w:w="1085" w:type="pct"/>
                  <w:vAlign w:val="center"/>
                </w:tcPr>
                <w:p w14:paraId="314A00DA">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119°16′02.28″</w:t>
                  </w:r>
                </w:p>
              </w:tc>
              <w:tc>
                <w:tcPr>
                  <w:tcW w:w="1202" w:type="pct"/>
                  <w:vAlign w:val="center"/>
                </w:tcPr>
                <w:p w14:paraId="17EDB137">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25°22′13.41″</w:t>
                  </w:r>
                </w:p>
              </w:tc>
              <w:tc>
                <w:tcPr>
                  <w:tcW w:w="664" w:type="pct"/>
                  <w:vMerge w:val="continue"/>
                  <w:tcBorders>
                    <w:right w:val="nil"/>
                  </w:tcBorders>
                  <w:vAlign w:val="center"/>
                </w:tcPr>
                <w:p w14:paraId="699C505B">
                  <w:pPr>
                    <w:widowControl/>
                    <w:topLinePunct/>
                    <w:adjustRightInd w:val="0"/>
                    <w:snapToGrid w:val="0"/>
                    <w:spacing w:line="240" w:lineRule="auto"/>
                    <w:ind w:firstLine="0" w:firstLineChars="0"/>
                    <w:jc w:val="center"/>
                    <w:rPr>
                      <w:sz w:val="21"/>
                      <w:szCs w:val="21"/>
                    </w:rPr>
                  </w:pPr>
                </w:p>
              </w:tc>
            </w:tr>
            <w:tr w14:paraId="353FC0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29" w:type="pct"/>
                  <w:tcBorders>
                    <w:left w:val="nil"/>
                    <w:bottom w:val="single" w:color="000000" w:sz="12" w:space="0"/>
                  </w:tcBorders>
                  <w:vAlign w:val="center"/>
                </w:tcPr>
                <w:p w14:paraId="66390724">
                  <w:pPr>
                    <w:widowControl/>
                    <w:topLinePunct/>
                    <w:adjustRightInd w:val="0"/>
                    <w:snapToGrid w:val="0"/>
                    <w:spacing w:line="240" w:lineRule="auto"/>
                    <w:ind w:firstLine="0" w:firstLineChars="0"/>
                    <w:jc w:val="center"/>
                    <w:rPr>
                      <w:sz w:val="21"/>
                      <w:szCs w:val="21"/>
                    </w:rPr>
                  </w:pPr>
                  <w:r>
                    <w:rPr>
                      <w:sz w:val="21"/>
                      <w:szCs w:val="21"/>
                    </w:rPr>
                    <w:t>14#</w:t>
                  </w:r>
                </w:p>
              </w:tc>
              <w:tc>
                <w:tcPr>
                  <w:tcW w:w="1720" w:type="pct"/>
                  <w:tcBorders>
                    <w:bottom w:val="single" w:color="000000" w:sz="12" w:space="0"/>
                  </w:tcBorders>
                  <w:vAlign w:val="center"/>
                </w:tcPr>
                <w:p w14:paraId="5A6A3C91">
                  <w:pPr>
                    <w:topLinePunct/>
                    <w:adjustRightInd w:val="0"/>
                    <w:snapToGrid w:val="0"/>
                    <w:spacing w:line="240" w:lineRule="auto"/>
                    <w:ind w:firstLine="0" w:firstLineChars="0"/>
                    <w:jc w:val="center"/>
                    <w:rPr>
                      <w:snapToGrid w:val="0"/>
                      <w:kern w:val="0"/>
                      <w:sz w:val="21"/>
                      <w:szCs w:val="21"/>
                    </w:rPr>
                  </w:pPr>
                  <w:r>
                    <w:rPr>
                      <w:rFonts w:hint="eastAsia" w:cs="宋体"/>
                      <w:snapToGrid w:val="0"/>
                      <w:kern w:val="0"/>
                      <w:sz w:val="21"/>
                      <w:szCs w:val="21"/>
                    </w:rPr>
                    <w:t>东港汇入监测站位</w:t>
                  </w:r>
                </w:p>
              </w:tc>
              <w:tc>
                <w:tcPr>
                  <w:tcW w:w="1085" w:type="pct"/>
                  <w:tcBorders>
                    <w:bottom w:val="single" w:color="000000" w:sz="12" w:space="0"/>
                  </w:tcBorders>
                  <w:vAlign w:val="center"/>
                </w:tcPr>
                <w:p w14:paraId="7AF60824">
                  <w:pPr>
                    <w:topLinePunct/>
                    <w:adjustRightInd w:val="0"/>
                    <w:snapToGrid w:val="0"/>
                    <w:spacing w:line="240" w:lineRule="auto"/>
                    <w:ind w:firstLine="0" w:firstLineChars="0"/>
                    <w:jc w:val="center"/>
                    <w:rPr>
                      <w:snapToGrid w:val="0"/>
                      <w:kern w:val="0"/>
                      <w:sz w:val="21"/>
                      <w:szCs w:val="21"/>
                    </w:rPr>
                  </w:pPr>
                  <w:r>
                    <w:rPr>
                      <w:snapToGrid w:val="0"/>
                      <w:kern w:val="0"/>
                      <w:sz w:val="21"/>
                      <w:szCs w:val="21"/>
                    </w:rPr>
                    <w:t>119°20′57.44″</w:t>
                  </w:r>
                </w:p>
              </w:tc>
              <w:tc>
                <w:tcPr>
                  <w:tcW w:w="1202" w:type="pct"/>
                  <w:tcBorders>
                    <w:bottom w:val="single" w:color="000000" w:sz="12" w:space="0"/>
                  </w:tcBorders>
                  <w:vAlign w:val="center"/>
                </w:tcPr>
                <w:p w14:paraId="38F16FE2">
                  <w:pPr>
                    <w:topLinePunct/>
                    <w:adjustRightInd w:val="0"/>
                    <w:snapToGrid w:val="0"/>
                    <w:spacing w:line="240" w:lineRule="auto"/>
                    <w:ind w:firstLine="0" w:firstLineChars="0"/>
                    <w:jc w:val="center"/>
                    <w:rPr>
                      <w:snapToGrid w:val="0"/>
                      <w:kern w:val="0"/>
                      <w:sz w:val="21"/>
                      <w:szCs w:val="21"/>
                    </w:rPr>
                  </w:pPr>
                  <w:r>
                    <w:rPr>
                      <w:snapToGrid w:val="0"/>
                      <w:kern w:val="0"/>
                      <w:sz w:val="21"/>
                      <w:szCs w:val="21"/>
                    </w:rPr>
                    <w:t>25°24′07.41″</w:t>
                  </w:r>
                </w:p>
              </w:tc>
              <w:tc>
                <w:tcPr>
                  <w:tcW w:w="664" w:type="pct"/>
                  <w:vMerge w:val="continue"/>
                  <w:tcBorders>
                    <w:bottom w:val="single" w:color="000000" w:sz="12" w:space="0"/>
                    <w:right w:val="nil"/>
                  </w:tcBorders>
                  <w:vAlign w:val="center"/>
                </w:tcPr>
                <w:p w14:paraId="7395A197">
                  <w:pPr>
                    <w:widowControl/>
                    <w:topLinePunct/>
                    <w:adjustRightInd w:val="0"/>
                    <w:snapToGrid w:val="0"/>
                    <w:spacing w:line="240" w:lineRule="auto"/>
                    <w:ind w:firstLine="0" w:firstLineChars="0"/>
                    <w:jc w:val="center"/>
                    <w:rPr>
                      <w:sz w:val="21"/>
                      <w:szCs w:val="21"/>
                    </w:rPr>
                  </w:pPr>
                </w:p>
              </w:tc>
            </w:tr>
          </w:tbl>
          <w:p w14:paraId="69E5294A">
            <w:pPr>
              <w:ind w:firstLine="0" w:firstLineChars="0"/>
              <w:jc w:val="center"/>
              <w:rPr>
                <w:b/>
              </w:rPr>
            </w:pPr>
          </w:p>
          <w:p w14:paraId="5A9510DD">
            <w:pPr>
              <w:ind w:firstLine="0" w:firstLineChars="0"/>
              <w:jc w:val="center"/>
              <w:rPr>
                <w:szCs w:val="22"/>
              </w:rPr>
            </w:pPr>
            <w:r>
              <w:rPr>
                <w:rFonts w:hint="eastAsia"/>
                <w:b/>
              </w:rPr>
              <w:t>***（略，涉及商业秘密）</w:t>
            </w:r>
          </w:p>
          <w:p w14:paraId="68784F96">
            <w:pPr>
              <w:pStyle w:val="121"/>
              <w:numPr>
                <w:ilvl w:val="3"/>
                <w:numId w:val="0"/>
              </w:numPr>
              <w:adjustRightInd w:val="0"/>
              <w:snapToGrid w:val="0"/>
              <w:spacing w:line="240" w:lineRule="auto"/>
              <w:ind w:right="0"/>
              <w:jc w:val="center"/>
              <w:rPr>
                <w:kern w:val="0"/>
                <w:szCs w:val="24"/>
              </w:rPr>
            </w:pPr>
            <w:r>
              <w:rPr>
                <w:rFonts w:hint="eastAsia"/>
                <w:kern w:val="0"/>
                <w:szCs w:val="24"/>
              </w:rPr>
              <w:t>图3.2-2海水监测点位图</w:t>
            </w:r>
          </w:p>
          <w:p w14:paraId="6BC13212">
            <w:pPr>
              <w:ind w:firstLine="480"/>
              <w:rPr>
                <w:rFonts w:cs="宋体"/>
              </w:rPr>
            </w:pPr>
            <w:r>
              <w:rPr>
                <w:szCs w:val="22"/>
              </w:rPr>
              <w:t>（</w:t>
            </w:r>
            <w:r>
              <w:rPr>
                <w:rFonts w:cs="宋体"/>
              </w:rPr>
              <w:t>2）监测项目与分析方法</w:t>
            </w:r>
          </w:p>
          <w:p w14:paraId="637E4400">
            <w:pPr>
              <w:ind w:firstLine="480"/>
              <w:rPr>
                <w:rFonts w:cs="宋体"/>
              </w:rPr>
            </w:pPr>
            <w:bookmarkStart w:id="10" w:name="_Toc20866"/>
            <w:r>
              <w:rPr>
                <w:rFonts w:cs="宋体"/>
              </w:rPr>
              <w:t>1）监测项目：</w:t>
            </w:r>
            <w:r>
              <w:rPr>
                <w:rFonts w:hint="eastAsia" w:cs="宋体"/>
              </w:rPr>
              <w:t>水温、</w:t>
            </w:r>
            <w:r>
              <w:rPr>
                <w:rFonts w:cs="宋体"/>
              </w:rPr>
              <w:t>pH</w:t>
            </w:r>
            <w:r>
              <w:rPr>
                <w:rFonts w:hint="eastAsia" w:cs="宋体"/>
              </w:rPr>
              <w:t>值、溶解氧、化学需氧量、活性磷酸盐、无机氮、五日生化需氧量、石油类、锌、铜、铅、镉、总铬、汞、砷、镍</w:t>
            </w:r>
          </w:p>
          <w:p w14:paraId="15D41C99">
            <w:pPr>
              <w:ind w:firstLine="480"/>
              <w:rPr>
                <w:rFonts w:cs="宋体"/>
              </w:rPr>
            </w:pPr>
            <w:r>
              <w:rPr>
                <w:rFonts w:hint="eastAsia" w:cs="宋体"/>
              </w:rPr>
              <w:t>调查项目的采样、分析方法按《海洋监测规范》（</w:t>
            </w:r>
            <w:r>
              <w:rPr>
                <w:rFonts w:cs="宋体"/>
              </w:rPr>
              <w:t>GB17378-2007</w:t>
            </w:r>
            <w:r>
              <w:rPr>
                <w:rFonts w:hint="eastAsia" w:cs="宋体"/>
              </w:rPr>
              <w:t>）、《近岸海域环境监测规范》（</w:t>
            </w:r>
            <w:r>
              <w:rPr>
                <w:rFonts w:cs="宋体"/>
              </w:rPr>
              <w:t>HJ442-2008</w:t>
            </w:r>
            <w:r>
              <w:rPr>
                <w:rFonts w:hint="eastAsia" w:cs="宋体"/>
              </w:rPr>
              <w:t>）有关技术要求进行。海水水质分析方法按照《海水水质标准》（</w:t>
            </w:r>
            <w:r>
              <w:rPr>
                <w:rFonts w:cs="宋体"/>
              </w:rPr>
              <w:t>GB3097-1997</w:t>
            </w:r>
            <w:r>
              <w:rPr>
                <w:rFonts w:hint="eastAsia" w:cs="宋体"/>
              </w:rPr>
              <w:t>）中分析方法进行。</w:t>
            </w:r>
          </w:p>
          <w:p w14:paraId="797B3682">
            <w:pPr>
              <w:ind w:firstLine="480"/>
              <w:rPr>
                <w:rFonts w:cs="宋体"/>
              </w:rPr>
            </w:pPr>
            <w:r>
              <w:rPr>
                <w:rFonts w:cs="宋体"/>
              </w:rPr>
              <w:t>（3）评价标准与评价方法</w:t>
            </w:r>
          </w:p>
          <w:p w14:paraId="409E07EF">
            <w:pPr>
              <w:ind w:firstLine="480"/>
              <w:rPr>
                <w:rFonts w:cs="宋体"/>
              </w:rPr>
            </w:pPr>
            <w:r>
              <w:rPr>
                <w:rFonts w:cs="宋体"/>
              </w:rPr>
              <w:t>1）评价标准</w:t>
            </w:r>
          </w:p>
          <w:p w14:paraId="449EB7E5">
            <w:pPr>
              <w:ind w:firstLine="480"/>
              <w:rPr>
                <w:rFonts w:cs="宋体"/>
              </w:rPr>
            </w:pPr>
            <w:r>
              <w:rPr>
                <w:rFonts w:hint="eastAsia" w:cs="宋体"/>
              </w:rPr>
              <w:t>评价范围涉及兴化湾江阴半岛西部海域、兴化湾东部及南部海域属海水二类区，点位</w:t>
            </w:r>
            <w:r>
              <w:rPr>
                <w:rFonts w:cs="宋体"/>
              </w:rPr>
              <w:t>11#~13#</w:t>
            </w:r>
            <w:r>
              <w:rPr>
                <w:rFonts w:hint="eastAsia" w:cs="宋体"/>
              </w:rPr>
              <w:t>海水水质执行《海水水质标准》（</w:t>
            </w:r>
            <w:r>
              <w:rPr>
                <w:rFonts w:cs="宋体"/>
              </w:rPr>
              <w:t>GB3097-1997</w:t>
            </w:r>
            <w:r>
              <w:rPr>
                <w:rFonts w:hint="eastAsia" w:cs="宋体"/>
              </w:rPr>
              <w:t>）第二类标准；兴化湾东北部及下垄港码头附近海域、兴化湾江阴半岛南部海域，属海水四类区，点位</w:t>
            </w:r>
            <w:r>
              <w:rPr>
                <w:rFonts w:cs="宋体"/>
              </w:rPr>
              <w:t>1#~10#</w:t>
            </w:r>
            <w:r>
              <w:rPr>
                <w:rFonts w:hint="eastAsia" w:cs="宋体"/>
              </w:rPr>
              <w:t>和</w:t>
            </w:r>
            <w:r>
              <w:rPr>
                <w:rFonts w:cs="宋体"/>
              </w:rPr>
              <w:t>14#</w:t>
            </w:r>
            <w:r>
              <w:rPr>
                <w:rFonts w:hint="eastAsia" w:cs="宋体"/>
              </w:rPr>
              <w:t>海水水质执行《海水水质标准》（</w:t>
            </w:r>
            <w:r>
              <w:rPr>
                <w:rFonts w:cs="宋体"/>
              </w:rPr>
              <w:t>GB3097-1997</w:t>
            </w:r>
            <w:r>
              <w:rPr>
                <w:rFonts w:hint="eastAsia" w:cs="宋体"/>
              </w:rPr>
              <w:t>）第三类标准。</w:t>
            </w:r>
          </w:p>
          <w:p w14:paraId="6AFCCF4A">
            <w:pPr>
              <w:adjustRightInd w:val="0"/>
              <w:snapToGrid w:val="0"/>
              <w:ind w:firstLine="480"/>
              <w:rPr>
                <w:szCs w:val="22"/>
              </w:rPr>
            </w:pPr>
            <w:r>
              <w:rPr>
                <w:szCs w:val="22"/>
              </w:rPr>
              <w:t>2）海水水质评价方法</w:t>
            </w:r>
          </w:p>
          <w:p w14:paraId="2260906B">
            <w:pPr>
              <w:adjustRightInd w:val="0"/>
              <w:snapToGrid w:val="0"/>
              <w:ind w:firstLine="480"/>
              <w:rPr>
                <w:szCs w:val="22"/>
              </w:rPr>
            </w:pPr>
            <w:r>
              <w:rPr>
                <w:szCs w:val="22"/>
              </w:rPr>
              <w:t>采用单因子指数法对水质现状进行评价，污染指数（Si）大于1表示超过了规定的水质标准。各监测项目的污染指数计算公式如下：</w:t>
            </w:r>
          </w:p>
          <w:p w14:paraId="5C46CA25">
            <w:pPr>
              <w:adjustRightInd w:val="0"/>
              <w:snapToGrid w:val="0"/>
              <w:ind w:firstLine="480"/>
              <w:rPr>
                <w:szCs w:val="22"/>
              </w:rPr>
            </w:pPr>
          </w:p>
          <w:p w14:paraId="11431FDB">
            <w:pPr>
              <w:adjustRightInd w:val="0"/>
              <w:snapToGrid w:val="0"/>
              <w:ind w:firstLine="480"/>
              <w:rPr>
                <w:szCs w:val="22"/>
              </w:rPr>
            </w:pPr>
          </w:p>
          <w:p w14:paraId="383D3C60">
            <w:pPr>
              <w:adjustRightInd w:val="0"/>
              <w:snapToGrid w:val="0"/>
              <w:ind w:firstLine="480"/>
              <w:rPr>
                <w:szCs w:val="22"/>
              </w:rPr>
            </w:pPr>
            <w:r>
              <w:rPr>
                <w:szCs w:val="22"/>
              </w:rPr>
              <w:t>a.除pH、DO外的其它污染物的标准指数：</w:t>
            </w:r>
          </w:p>
          <w:p w14:paraId="242EA346">
            <w:pPr>
              <w:adjustRightInd w:val="0"/>
              <w:snapToGrid w:val="0"/>
              <w:ind w:firstLine="480"/>
              <w:jc w:val="center"/>
              <w:rPr>
                <w:szCs w:val="22"/>
              </w:rPr>
            </w:pPr>
            <w:r>
              <w:rPr>
                <w:szCs w:val="22"/>
              </w:rPr>
              <w:t>Si</w:t>
            </w:r>
            <w:r>
              <w:rPr>
                <w:szCs w:val="22"/>
                <w:lang w:val="en-GB"/>
              </w:rPr>
              <w:t>＝</w:t>
            </w:r>
            <w:r>
              <w:rPr>
                <w:szCs w:val="22"/>
              </w:rPr>
              <w:t>Ci/Csi</w:t>
            </w:r>
          </w:p>
          <w:p w14:paraId="6A15D3AC">
            <w:pPr>
              <w:adjustRightInd w:val="0"/>
              <w:snapToGrid w:val="0"/>
              <w:ind w:firstLine="480"/>
              <w:rPr>
                <w:szCs w:val="22"/>
              </w:rPr>
            </w:pPr>
            <w:r>
              <w:rPr>
                <w:szCs w:val="22"/>
              </w:rPr>
              <w:t>式中：Si为单因子污染指数；Ci为实际监测值；Csi为评价标准值。</w:t>
            </w:r>
          </w:p>
          <w:p w14:paraId="27AC79C2">
            <w:pPr>
              <w:adjustRightInd w:val="0"/>
              <w:snapToGrid w:val="0"/>
              <w:ind w:firstLine="480"/>
              <w:rPr>
                <w:szCs w:val="22"/>
              </w:rPr>
            </w:pPr>
            <w:r>
              <w:rPr>
                <w:szCs w:val="22"/>
              </w:rPr>
              <w:t>式中：DO为监测值；DOs为评价标准值；DO</w:t>
            </w:r>
            <w:r>
              <w:rPr>
                <w:szCs w:val="22"/>
                <w:vertAlign w:val="subscript"/>
              </w:rPr>
              <w:t>f</w:t>
            </w:r>
            <w:r>
              <w:rPr>
                <w:szCs w:val="22"/>
              </w:rPr>
              <w:t>为当时水温条件下的饱和溶解氧值。</w:t>
            </w:r>
          </w:p>
          <w:p w14:paraId="3A5D9B6B">
            <w:pPr>
              <w:adjustRightInd w:val="0"/>
              <w:snapToGrid w:val="0"/>
              <w:ind w:firstLine="480"/>
              <w:rPr>
                <w:szCs w:val="22"/>
              </w:rPr>
            </w:pPr>
          </w:p>
          <w:p w14:paraId="5BFE0CB0">
            <w:pPr>
              <w:adjustRightInd w:val="0"/>
              <w:snapToGrid w:val="0"/>
              <w:ind w:firstLine="480"/>
              <w:rPr>
                <w:szCs w:val="22"/>
              </w:rPr>
            </w:pPr>
            <w:r>
              <w:rPr>
                <w:szCs w:val="22"/>
              </w:rPr>
              <w:t>b.pH的标准指数为：</w:t>
            </w:r>
          </w:p>
          <w:p w14:paraId="45F980FF">
            <w:pPr>
              <w:ind w:firstLine="480"/>
              <w:jc w:val="center"/>
              <w:rPr>
                <w:szCs w:val="22"/>
              </w:rPr>
            </w:pPr>
            <w:r>
              <w:rPr>
                <w:szCs w:val="22"/>
              </w:rPr>
              <w:drawing>
                <wp:inline distT="0" distB="0" distL="0" distR="0">
                  <wp:extent cx="1112520" cy="4267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112520" cy="426720"/>
                          </a:xfrm>
                          <a:prstGeom prst="rect">
                            <a:avLst/>
                          </a:prstGeom>
                          <a:noFill/>
                          <a:ln>
                            <a:noFill/>
                          </a:ln>
                        </pic:spPr>
                      </pic:pic>
                    </a:graphicData>
                  </a:graphic>
                </wp:inline>
              </w:drawing>
            </w:r>
          </w:p>
          <w:p w14:paraId="42F04253">
            <w:pPr>
              <w:ind w:firstLine="480"/>
              <w:jc w:val="center"/>
              <w:rPr>
                <w:szCs w:val="22"/>
              </w:rPr>
            </w:pPr>
            <w:r>
              <w:rPr>
                <w:szCs w:val="22"/>
              </w:rPr>
              <w:drawing>
                <wp:inline distT="0" distB="0" distL="0" distR="0">
                  <wp:extent cx="1440180" cy="335280"/>
                  <wp:effectExtent l="0" t="0" r="7620" b="7620"/>
                  <wp:docPr id="8" name="图片 8" descr="1554099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5409958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440180" cy="335280"/>
                          </a:xfrm>
                          <a:prstGeom prst="rect">
                            <a:avLst/>
                          </a:prstGeom>
                          <a:noFill/>
                          <a:ln>
                            <a:noFill/>
                          </a:ln>
                        </pic:spPr>
                      </pic:pic>
                    </a:graphicData>
                  </a:graphic>
                </wp:inline>
              </w:drawing>
            </w:r>
          </w:p>
          <w:p w14:paraId="774B5E89">
            <w:pPr>
              <w:ind w:firstLine="480"/>
              <w:jc w:val="center"/>
              <w:rPr>
                <w:szCs w:val="22"/>
              </w:rPr>
            </w:pPr>
            <w:r>
              <w:rPr>
                <w:szCs w:val="22"/>
              </w:rPr>
              <w:drawing>
                <wp:inline distT="0" distB="0" distL="0" distR="0">
                  <wp:extent cx="1211580" cy="327660"/>
                  <wp:effectExtent l="0" t="0" r="7620" b="0"/>
                  <wp:docPr id="9" name="图片 9" descr="1554099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5409964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11580" cy="327660"/>
                          </a:xfrm>
                          <a:prstGeom prst="rect">
                            <a:avLst/>
                          </a:prstGeom>
                          <a:noFill/>
                          <a:ln>
                            <a:noFill/>
                          </a:ln>
                        </pic:spPr>
                      </pic:pic>
                    </a:graphicData>
                  </a:graphic>
                </wp:inline>
              </w:drawing>
            </w:r>
          </w:p>
          <w:p w14:paraId="2EB58340">
            <w:pPr>
              <w:adjustRightInd w:val="0"/>
              <w:snapToGrid w:val="0"/>
              <w:ind w:firstLine="480"/>
              <w:rPr>
                <w:szCs w:val="22"/>
              </w:rPr>
            </w:pPr>
            <w:r>
              <w:rPr>
                <w:szCs w:val="22"/>
              </w:rPr>
              <w:t>式中：SpH－pH的污染指数；pH－pH的监测值；</w:t>
            </w:r>
          </w:p>
          <w:p w14:paraId="09FDD1FB">
            <w:pPr>
              <w:adjustRightInd w:val="0"/>
              <w:snapToGrid w:val="0"/>
              <w:ind w:firstLine="480"/>
              <w:rPr>
                <w:szCs w:val="22"/>
              </w:rPr>
            </w:pPr>
            <w:r>
              <w:rPr>
                <w:szCs w:val="22"/>
              </w:rPr>
              <w:t>pHsd－水质标准中的下限值；pHsu－水质标准中的上限值。</w:t>
            </w:r>
          </w:p>
          <w:p w14:paraId="2904E1AB">
            <w:pPr>
              <w:adjustRightInd w:val="0"/>
              <w:snapToGrid w:val="0"/>
              <w:ind w:firstLine="480"/>
              <w:rPr>
                <w:szCs w:val="22"/>
              </w:rPr>
            </w:pPr>
            <w:r>
              <w:rPr>
                <w:szCs w:val="22"/>
              </w:rPr>
              <w:t>c.DO的标准指数为：</w:t>
            </w:r>
          </w:p>
          <w:p w14:paraId="7E9134D1">
            <w:pPr>
              <w:ind w:firstLine="480"/>
              <w:jc w:val="center"/>
              <w:rPr>
                <w:szCs w:val="22"/>
              </w:rPr>
            </w:pPr>
            <w:r>
              <w:rPr>
                <w:szCs w:val="22"/>
              </w:rPr>
              <w:drawing>
                <wp:inline distT="0" distB="0" distL="0" distR="0">
                  <wp:extent cx="1836420" cy="441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836420" cy="441960"/>
                          </a:xfrm>
                          <a:prstGeom prst="rect">
                            <a:avLst/>
                          </a:prstGeom>
                          <a:noFill/>
                          <a:ln>
                            <a:noFill/>
                          </a:ln>
                        </pic:spPr>
                      </pic:pic>
                    </a:graphicData>
                  </a:graphic>
                </wp:inline>
              </w:drawing>
            </w:r>
          </w:p>
          <w:p w14:paraId="0837168B">
            <w:pPr>
              <w:ind w:firstLine="480"/>
              <w:jc w:val="center"/>
              <w:rPr>
                <w:szCs w:val="22"/>
              </w:rPr>
            </w:pPr>
            <w:r>
              <w:rPr>
                <w:szCs w:val="22"/>
              </w:rPr>
              <w:drawing>
                <wp:inline distT="0" distB="0" distL="0" distR="0">
                  <wp:extent cx="1722120" cy="4343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22120" cy="434340"/>
                          </a:xfrm>
                          <a:prstGeom prst="rect">
                            <a:avLst/>
                          </a:prstGeom>
                          <a:noFill/>
                          <a:ln>
                            <a:noFill/>
                          </a:ln>
                        </pic:spPr>
                      </pic:pic>
                    </a:graphicData>
                  </a:graphic>
                </wp:inline>
              </w:drawing>
            </w:r>
          </w:p>
          <w:p w14:paraId="14FD930E">
            <w:pPr>
              <w:ind w:firstLine="480"/>
              <w:jc w:val="center"/>
              <w:rPr>
                <w:szCs w:val="22"/>
              </w:rPr>
            </w:pPr>
            <w:r>
              <w:rPr>
                <w:szCs w:val="22"/>
              </w:rPr>
              <w:drawing>
                <wp:inline distT="0" distB="0" distL="0" distR="0">
                  <wp:extent cx="1417320" cy="2590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417320" cy="259080"/>
                          </a:xfrm>
                          <a:prstGeom prst="rect">
                            <a:avLst/>
                          </a:prstGeom>
                          <a:noFill/>
                          <a:ln>
                            <a:noFill/>
                          </a:ln>
                        </pic:spPr>
                      </pic:pic>
                    </a:graphicData>
                  </a:graphic>
                </wp:inline>
              </w:drawing>
            </w:r>
          </w:p>
          <w:p w14:paraId="22C43BE8">
            <w:pPr>
              <w:ind w:firstLine="196" w:firstLineChars="82"/>
              <w:jc w:val="center"/>
              <w:rPr>
                <w:b/>
              </w:rPr>
            </w:pPr>
            <w:r>
              <w:rPr>
                <w:szCs w:val="22"/>
              </w:rPr>
              <w:t>式中DO为监测值；DOs为评价标准值；DO</w:t>
            </w:r>
            <w:r>
              <w:rPr>
                <w:szCs w:val="22"/>
                <w:vertAlign w:val="subscript"/>
              </w:rPr>
              <w:t>f</w:t>
            </w:r>
            <w:r>
              <w:rPr>
                <w:szCs w:val="22"/>
              </w:rPr>
              <w:t>为当时水温条件下饱和溶解氧值。</w:t>
            </w:r>
          </w:p>
          <w:p w14:paraId="5B57CEE0">
            <w:pPr>
              <w:adjustRightInd w:val="0"/>
              <w:snapToGrid w:val="0"/>
              <w:ind w:firstLine="480"/>
              <w:rPr>
                <w:szCs w:val="22"/>
              </w:rPr>
            </w:pPr>
            <w:r>
              <w:rPr>
                <w:szCs w:val="22"/>
              </w:rPr>
              <w:t>（4）监测与评价结果</w:t>
            </w:r>
          </w:p>
          <w:p w14:paraId="62ED26C4">
            <w:pPr>
              <w:adjustRightInd w:val="0"/>
              <w:snapToGrid w:val="0"/>
              <w:ind w:firstLine="480"/>
            </w:pPr>
            <w:r>
              <w:rPr>
                <w:szCs w:val="22"/>
              </w:rPr>
              <w:t>海水水质监测、评价结果见下表。</w:t>
            </w:r>
            <w:bookmarkEnd w:id="10"/>
          </w:p>
        </w:tc>
      </w:tr>
    </w:tbl>
    <w:p w14:paraId="334724F0">
      <w:pPr>
        <w:ind w:firstLine="0" w:firstLineChars="0"/>
        <w:jc w:val="center"/>
        <w:outlineLvl w:val="0"/>
        <w:rPr>
          <w:rFonts w:eastAsia="黑体"/>
          <w:snapToGrid w:val="0"/>
          <w:sz w:val="36"/>
          <w:szCs w:val="36"/>
        </w:rPr>
        <w:sectPr>
          <w:pgSz w:w="11905" w:h="16838"/>
          <w:pgMar w:top="1417" w:right="1417" w:bottom="1417" w:left="1417" w:header="851" w:footer="850" w:gutter="0"/>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20370"/>
      </w:tblGrid>
      <w:tr w14:paraId="081AC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2" w:hRule="atLeast"/>
          <w:jc w:val="center"/>
        </w:trPr>
        <w:tc>
          <w:tcPr>
            <w:tcW w:w="296" w:type="dxa"/>
            <w:tcMar>
              <w:left w:w="28" w:type="dxa"/>
              <w:right w:w="28" w:type="dxa"/>
            </w:tcMar>
            <w:vAlign w:val="center"/>
          </w:tcPr>
          <w:p w14:paraId="76D0773D">
            <w:pPr>
              <w:pStyle w:val="71"/>
              <w:adjustRightInd w:val="0"/>
              <w:snapToGrid w:val="0"/>
              <w:ind w:firstLine="480"/>
              <w:rPr>
                <w:kern w:val="2"/>
                <w:szCs w:val="24"/>
                <w:lang w:val="en-US" w:eastAsia="zh-CN"/>
              </w:rPr>
            </w:pPr>
            <w:r>
              <w:rPr>
                <w:kern w:val="2"/>
                <w:szCs w:val="24"/>
                <w:lang w:val="en-US" w:eastAsia="zh-CN"/>
              </w:rPr>
              <w:t>区</w:t>
            </w:r>
            <w:r>
              <w:rPr>
                <w:rFonts w:hint="eastAsia"/>
                <w:kern w:val="2"/>
                <w:szCs w:val="24"/>
                <w:lang w:val="en-US" w:eastAsia="zh-CN"/>
              </w:rPr>
              <w:t>区</w:t>
            </w:r>
            <w:r>
              <w:rPr>
                <w:kern w:val="2"/>
                <w:szCs w:val="24"/>
                <w:lang w:val="en-US" w:eastAsia="zh-CN"/>
              </w:rPr>
              <w:t>域</w:t>
            </w:r>
          </w:p>
          <w:p w14:paraId="44B64405">
            <w:pPr>
              <w:pStyle w:val="71"/>
              <w:adjustRightInd w:val="0"/>
              <w:snapToGrid w:val="0"/>
              <w:rPr>
                <w:kern w:val="2"/>
                <w:szCs w:val="24"/>
                <w:lang w:val="en-US" w:eastAsia="zh-CN"/>
              </w:rPr>
            </w:pPr>
            <w:r>
              <w:rPr>
                <w:kern w:val="2"/>
                <w:szCs w:val="24"/>
                <w:lang w:val="en-US" w:eastAsia="zh-CN"/>
              </w:rPr>
              <w:t>环境</w:t>
            </w:r>
          </w:p>
          <w:p w14:paraId="45F57A4B">
            <w:pPr>
              <w:pStyle w:val="71"/>
              <w:adjustRightInd w:val="0"/>
              <w:snapToGrid w:val="0"/>
              <w:rPr>
                <w:kern w:val="2"/>
                <w:szCs w:val="24"/>
                <w:lang w:val="en-US" w:eastAsia="zh-CN"/>
              </w:rPr>
            </w:pPr>
            <w:r>
              <w:rPr>
                <w:kern w:val="2"/>
                <w:szCs w:val="24"/>
                <w:lang w:val="en-US" w:eastAsia="zh-CN"/>
              </w:rPr>
              <w:t>质量</w:t>
            </w:r>
          </w:p>
          <w:p w14:paraId="1E4684E6">
            <w:pPr>
              <w:adjustRightInd w:val="0"/>
              <w:snapToGrid w:val="0"/>
              <w:spacing w:line="240" w:lineRule="auto"/>
              <w:ind w:firstLine="0" w:firstLineChars="0"/>
              <w:jc w:val="center"/>
              <w:rPr>
                <w:szCs w:val="22"/>
              </w:rPr>
            </w:pPr>
            <w:r>
              <w:t>现</w:t>
            </w:r>
            <w:r>
              <w:rPr>
                <w:rFonts w:hint="eastAsia"/>
              </w:rPr>
              <w:t>状</w:t>
            </w:r>
          </w:p>
        </w:tc>
        <w:tc>
          <w:tcPr>
            <w:tcW w:w="20820" w:type="dxa"/>
            <w:vAlign w:val="center"/>
          </w:tcPr>
          <w:p w14:paraId="44BCA926">
            <w:pPr>
              <w:spacing w:line="240" w:lineRule="auto"/>
              <w:ind w:firstLine="0" w:firstLineChars="0"/>
              <w:jc w:val="center"/>
              <w:rPr>
                <w:b/>
                <w:bCs/>
                <w:lang w:val="zh-CN" w:bidi="he-IL"/>
              </w:rPr>
            </w:pPr>
            <w:bookmarkStart w:id="11" w:name="_Ref118359897"/>
            <w:r>
              <w:rPr>
                <w:b/>
                <w:szCs w:val="20"/>
              </w:rPr>
              <w:t>表</w:t>
            </w:r>
            <w:bookmarkEnd w:id="11"/>
            <w:r>
              <w:rPr>
                <w:rFonts w:hint="eastAsia"/>
                <w:b/>
                <w:szCs w:val="20"/>
              </w:rPr>
              <w:t>3.2-6</w:t>
            </w:r>
            <w:r>
              <w:rPr>
                <w:b/>
                <w:bCs/>
                <w:lang w:val="zh-CN" w:bidi="he-IL"/>
              </w:rPr>
              <w:t>海水水质监测结果（大潮期高平潮）</w:t>
            </w:r>
          </w:p>
          <w:p w14:paraId="6ED31464">
            <w:pPr>
              <w:ind w:firstLine="0" w:firstLineChars="0"/>
              <w:jc w:val="center"/>
              <w:rPr>
                <w:lang w:val="zh-CN" w:bidi="he-IL"/>
              </w:rPr>
            </w:pPr>
            <w:r>
              <w:rPr>
                <w:rFonts w:hint="eastAsia"/>
                <w:b/>
              </w:rPr>
              <w:t>***（略，涉及商业秘密）</w:t>
            </w:r>
          </w:p>
          <w:p w14:paraId="1E6AA253">
            <w:pPr>
              <w:spacing w:line="240" w:lineRule="auto"/>
              <w:ind w:firstLine="0" w:firstLineChars="0"/>
              <w:jc w:val="center"/>
              <w:rPr>
                <w:b/>
                <w:bCs/>
                <w:lang w:bidi="he-IL"/>
              </w:rPr>
            </w:pPr>
            <w:r>
              <w:rPr>
                <w:b/>
                <w:szCs w:val="20"/>
              </w:rPr>
              <w:t>续表</w:t>
            </w:r>
            <w:r>
              <w:rPr>
                <w:rFonts w:hint="eastAsia"/>
                <w:b/>
                <w:szCs w:val="20"/>
              </w:rPr>
              <w:t>3.2-6</w:t>
            </w:r>
            <w:r>
              <w:rPr>
                <w:b/>
                <w:bCs/>
                <w:lang w:bidi="he-IL"/>
              </w:rPr>
              <w:t>海水水质监测结果（大潮期低平潮）</w:t>
            </w:r>
          </w:p>
          <w:p w14:paraId="266D5D1B">
            <w:pPr>
              <w:ind w:firstLine="0" w:firstLineChars="0"/>
              <w:jc w:val="center"/>
              <w:rPr>
                <w:b/>
              </w:rPr>
            </w:pPr>
            <w:r>
              <w:rPr>
                <w:rFonts w:hint="eastAsia"/>
                <w:b/>
              </w:rPr>
              <w:t>***（略，涉及商业秘密）</w:t>
            </w:r>
          </w:p>
          <w:p w14:paraId="27B814B1">
            <w:pPr>
              <w:spacing w:line="240" w:lineRule="auto"/>
              <w:ind w:firstLine="0" w:firstLineChars="0"/>
              <w:jc w:val="center"/>
              <w:rPr>
                <w:b/>
                <w:bCs/>
                <w:lang w:bidi="he-IL"/>
              </w:rPr>
            </w:pPr>
            <w:r>
              <w:rPr>
                <w:b/>
                <w:szCs w:val="20"/>
              </w:rPr>
              <w:t>续表</w:t>
            </w:r>
            <w:r>
              <w:rPr>
                <w:rFonts w:hint="eastAsia"/>
                <w:b/>
                <w:szCs w:val="20"/>
              </w:rPr>
              <w:t>3.2-6</w:t>
            </w:r>
            <w:r>
              <w:rPr>
                <w:b/>
                <w:bCs/>
                <w:lang w:bidi="he-IL"/>
              </w:rPr>
              <w:t>海水水质监测结果（小潮期高平潮）</w:t>
            </w:r>
          </w:p>
          <w:p w14:paraId="60A59F5F">
            <w:pPr>
              <w:ind w:firstLine="0" w:firstLineChars="0"/>
              <w:jc w:val="center"/>
            </w:pPr>
            <w:r>
              <w:rPr>
                <w:rFonts w:hint="eastAsia"/>
                <w:b/>
              </w:rPr>
              <w:t>***（略，涉及商业秘密）</w:t>
            </w:r>
          </w:p>
          <w:p w14:paraId="46D86C4A">
            <w:pPr>
              <w:pStyle w:val="71"/>
              <w:ind w:firstLine="482"/>
              <w:rPr>
                <w:b/>
                <w:bCs/>
                <w:sz w:val="24"/>
                <w:szCs w:val="24"/>
                <w:lang w:eastAsia="zh-CN" w:bidi="he-IL"/>
              </w:rPr>
            </w:pPr>
            <w:r>
              <w:rPr>
                <w:b/>
                <w:kern w:val="2"/>
                <w:sz w:val="24"/>
                <w:lang w:val="en-US" w:eastAsia="zh-CN"/>
              </w:rPr>
              <w:t>续表</w:t>
            </w:r>
            <w:r>
              <w:rPr>
                <w:rFonts w:hint="eastAsia"/>
                <w:b/>
                <w:kern w:val="2"/>
                <w:sz w:val="24"/>
                <w:lang w:val="en-US" w:eastAsia="zh-CN"/>
              </w:rPr>
              <w:t>3.2-6</w:t>
            </w:r>
            <w:r>
              <w:rPr>
                <w:b/>
                <w:kern w:val="2"/>
                <w:sz w:val="24"/>
                <w:lang w:val="en-US" w:eastAsia="zh-CN"/>
              </w:rPr>
              <w:t>海</w:t>
            </w:r>
            <w:r>
              <w:rPr>
                <w:b/>
                <w:bCs/>
                <w:sz w:val="24"/>
                <w:szCs w:val="24"/>
                <w:lang w:bidi="he-IL"/>
              </w:rPr>
              <w:t>水水质监测结果（小潮期低平潮）</w:t>
            </w:r>
          </w:p>
          <w:p w14:paraId="72527C05">
            <w:pPr>
              <w:ind w:firstLine="0" w:firstLineChars="0"/>
              <w:jc w:val="center"/>
            </w:pPr>
            <w:r>
              <w:rPr>
                <w:rFonts w:hint="eastAsia"/>
                <w:b/>
              </w:rPr>
              <w:t>***（略，涉及商业秘密）</w:t>
            </w:r>
          </w:p>
          <w:p w14:paraId="20E1FD11">
            <w:pPr>
              <w:snapToGrid w:val="0"/>
              <w:spacing w:line="240" w:lineRule="auto"/>
              <w:ind w:firstLine="0" w:firstLineChars="0"/>
              <w:jc w:val="center"/>
              <w:outlineLvl w:val="4"/>
              <w:rPr>
                <w:rFonts w:ascii="宋体" w:hAnsi="宋体" w:cs="宋体"/>
                <w:b/>
                <w:bCs/>
                <w:lang w:bidi="he-IL"/>
              </w:rPr>
            </w:pPr>
            <w:r>
              <w:rPr>
                <w:rFonts w:hint="eastAsia"/>
                <w:b/>
                <w:szCs w:val="20"/>
              </w:rPr>
              <w:t>表3.2-7海水水</w:t>
            </w:r>
            <w:r>
              <w:rPr>
                <w:rFonts w:hint="eastAsia"/>
                <w:b/>
                <w:kern w:val="0"/>
                <w:sz w:val="21"/>
                <w:szCs w:val="20"/>
                <w:lang w:val="zh-CN" w:eastAsia="zh-CN"/>
              </w:rPr>
              <w:t>质</w:t>
            </w:r>
            <w:r>
              <w:rPr>
                <w:rFonts w:hint="eastAsia" w:ascii="宋体" w:hAnsi="宋体" w:cs="宋体"/>
                <w:b/>
                <w:bCs/>
                <w:lang w:bidi="he-IL"/>
              </w:rPr>
              <w:t>评价结果（</w:t>
            </w:r>
            <w:r>
              <w:rPr>
                <w:rFonts w:eastAsia="Times New Roman"/>
                <w:b/>
                <w:bCs/>
                <w:lang w:bidi="he-IL"/>
              </w:rPr>
              <w:t>Pi</w:t>
            </w:r>
            <w:r>
              <w:rPr>
                <w:rFonts w:hint="eastAsia" w:ascii="宋体" w:hAnsi="宋体" w:cs="宋体"/>
                <w:b/>
                <w:bCs/>
                <w:lang w:bidi="he-IL"/>
              </w:rPr>
              <w:t>值）（大潮期高平潮）</w:t>
            </w:r>
          </w:p>
          <w:p w14:paraId="74F668A7">
            <w:pPr>
              <w:ind w:firstLine="0" w:firstLineChars="0"/>
              <w:jc w:val="center"/>
            </w:pPr>
            <w:r>
              <w:rPr>
                <w:rFonts w:hint="eastAsia"/>
                <w:b/>
              </w:rPr>
              <w:t>***（略，涉及商业秘密）</w:t>
            </w:r>
          </w:p>
          <w:p w14:paraId="64124E55">
            <w:pPr>
              <w:snapToGrid w:val="0"/>
              <w:spacing w:line="240" w:lineRule="auto"/>
              <w:ind w:firstLine="0" w:firstLineChars="0"/>
              <w:jc w:val="center"/>
              <w:outlineLvl w:val="4"/>
              <w:rPr>
                <w:rFonts w:ascii="宋体" w:hAnsi="宋体" w:cs="宋体"/>
                <w:b/>
                <w:bCs/>
                <w:lang w:bidi="he-IL"/>
              </w:rPr>
            </w:pPr>
            <w:r>
              <w:rPr>
                <w:rFonts w:hint="eastAsia"/>
                <w:b/>
                <w:szCs w:val="20"/>
              </w:rPr>
              <w:t>续表3.2-7海水</w:t>
            </w:r>
            <w:r>
              <w:rPr>
                <w:rFonts w:hint="eastAsia" w:ascii="宋体" w:hAnsi="宋体" w:cs="宋体"/>
                <w:b/>
                <w:bCs/>
                <w:lang w:bidi="he-IL"/>
              </w:rPr>
              <w:t>水质评价结果（</w:t>
            </w:r>
            <w:r>
              <w:rPr>
                <w:rFonts w:eastAsia="Times New Roman"/>
                <w:b/>
                <w:bCs/>
                <w:lang w:bidi="he-IL"/>
              </w:rPr>
              <w:t>Pi</w:t>
            </w:r>
            <w:r>
              <w:rPr>
                <w:rFonts w:hint="eastAsia" w:ascii="宋体" w:hAnsi="宋体" w:cs="宋体"/>
                <w:b/>
                <w:bCs/>
                <w:lang w:bidi="he-IL"/>
              </w:rPr>
              <w:t>值）（大潮期低平潮）</w:t>
            </w:r>
          </w:p>
          <w:p w14:paraId="360F4253">
            <w:pPr>
              <w:ind w:firstLine="0" w:firstLineChars="0"/>
              <w:jc w:val="center"/>
            </w:pPr>
            <w:r>
              <w:rPr>
                <w:rFonts w:hint="eastAsia"/>
                <w:b/>
              </w:rPr>
              <w:t>***（略，涉及商业秘密）</w:t>
            </w:r>
          </w:p>
          <w:p w14:paraId="1C5CCED2">
            <w:pPr>
              <w:snapToGrid w:val="0"/>
              <w:spacing w:line="240" w:lineRule="auto"/>
              <w:ind w:firstLine="0" w:firstLineChars="0"/>
              <w:jc w:val="center"/>
              <w:outlineLvl w:val="4"/>
              <w:rPr>
                <w:rFonts w:ascii="宋体" w:hAnsi="宋体" w:cs="宋体"/>
                <w:b/>
                <w:bCs/>
                <w:lang w:bidi="he-IL"/>
              </w:rPr>
            </w:pPr>
            <w:r>
              <w:rPr>
                <w:rFonts w:hint="eastAsia"/>
                <w:b/>
                <w:szCs w:val="20"/>
              </w:rPr>
              <w:t>续表3.2-7海水水质</w:t>
            </w:r>
            <w:r>
              <w:rPr>
                <w:rFonts w:hint="eastAsia" w:ascii="宋体" w:hAnsi="宋体" w:cs="宋体"/>
                <w:b/>
                <w:bCs/>
                <w:lang w:bidi="he-IL"/>
              </w:rPr>
              <w:t>评价结果（</w:t>
            </w:r>
            <w:r>
              <w:rPr>
                <w:rFonts w:eastAsia="Times New Roman"/>
                <w:b/>
                <w:bCs/>
                <w:lang w:bidi="he-IL"/>
              </w:rPr>
              <w:t>Pi</w:t>
            </w:r>
            <w:r>
              <w:rPr>
                <w:rFonts w:hint="eastAsia" w:ascii="宋体" w:hAnsi="宋体" w:cs="宋体"/>
                <w:b/>
                <w:bCs/>
                <w:lang w:bidi="he-IL"/>
              </w:rPr>
              <w:t>值）（小潮期高平潮）</w:t>
            </w:r>
          </w:p>
          <w:p w14:paraId="5CC553FF">
            <w:pPr>
              <w:ind w:firstLine="0" w:firstLineChars="0"/>
              <w:jc w:val="center"/>
            </w:pPr>
            <w:r>
              <w:rPr>
                <w:rFonts w:hint="eastAsia"/>
                <w:b/>
              </w:rPr>
              <w:t>***（略，涉及商业秘密）</w:t>
            </w:r>
          </w:p>
          <w:p w14:paraId="43176AC4">
            <w:pPr>
              <w:snapToGrid w:val="0"/>
              <w:spacing w:line="240" w:lineRule="auto"/>
              <w:ind w:firstLine="0" w:firstLineChars="0"/>
              <w:jc w:val="center"/>
              <w:outlineLvl w:val="4"/>
              <w:rPr>
                <w:rFonts w:ascii="宋体" w:hAnsi="宋体" w:cs="宋体"/>
                <w:b/>
                <w:bCs/>
                <w:lang w:bidi="he-IL"/>
              </w:rPr>
            </w:pPr>
            <w:r>
              <w:rPr>
                <w:rFonts w:hint="eastAsia"/>
                <w:b/>
                <w:szCs w:val="20"/>
              </w:rPr>
              <w:t>续表3.2-7海</w:t>
            </w:r>
            <w:r>
              <w:rPr>
                <w:rFonts w:hint="eastAsia" w:ascii="宋体" w:hAnsi="宋体" w:cs="宋体"/>
                <w:b/>
                <w:bCs/>
                <w:lang w:bidi="he-IL"/>
              </w:rPr>
              <w:t>水水质评价结果（</w:t>
            </w:r>
            <w:r>
              <w:rPr>
                <w:rFonts w:eastAsia="Times New Roman"/>
                <w:b/>
                <w:bCs/>
                <w:lang w:bidi="he-IL"/>
              </w:rPr>
              <w:t>Pi</w:t>
            </w:r>
            <w:r>
              <w:rPr>
                <w:rFonts w:hint="eastAsia" w:ascii="宋体" w:hAnsi="宋体" w:cs="宋体"/>
                <w:b/>
                <w:bCs/>
                <w:lang w:bidi="he-IL"/>
              </w:rPr>
              <w:t>值）（小潮期低平潮）</w:t>
            </w:r>
          </w:p>
          <w:p w14:paraId="2008EB64">
            <w:pPr>
              <w:ind w:firstLine="0" w:firstLineChars="0"/>
              <w:jc w:val="center"/>
            </w:pPr>
            <w:r>
              <w:rPr>
                <w:rFonts w:hint="eastAsia"/>
                <w:b/>
              </w:rPr>
              <w:t>***（略，涉及商业秘密）</w:t>
            </w:r>
          </w:p>
          <w:p w14:paraId="07E49999">
            <w:pPr>
              <w:pStyle w:val="2"/>
              <w:ind w:firstLine="480"/>
              <w:rPr>
                <w:lang w:val="en-US" w:eastAsia="zh-CN" w:bidi="he-IL"/>
              </w:rPr>
            </w:pPr>
          </w:p>
          <w:p w14:paraId="4CA60D6C">
            <w:pPr>
              <w:pStyle w:val="2"/>
              <w:ind w:firstLine="480"/>
              <w:rPr>
                <w:lang w:val="en-US" w:eastAsia="zh-CN" w:bidi="he-IL"/>
              </w:rPr>
            </w:pPr>
          </w:p>
        </w:tc>
      </w:tr>
    </w:tbl>
    <w:p w14:paraId="604784D8">
      <w:pPr>
        <w:ind w:firstLine="0" w:firstLineChars="0"/>
        <w:jc w:val="center"/>
        <w:outlineLvl w:val="0"/>
        <w:rPr>
          <w:rFonts w:eastAsia="黑体"/>
          <w:snapToGrid w:val="0"/>
          <w:sz w:val="36"/>
          <w:szCs w:val="36"/>
        </w:rPr>
        <w:sectPr>
          <w:footerReference r:id="rId27" w:type="default"/>
          <w:pgSz w:w="23814" w:h="16839" w:orient="landscape"/>
          <w:pgMar w:top="1417" w:right="1417" w:bottom="1417" w:left="1417" w:header="851" w:footer="850" w:gutter="0"/>
          <w:cols w:space="720" w:num="1"/>
          <w:docGrid w:linePitch="326"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1"/>
      </w:tblGrid>
      <w:tr w14:paraId="53DE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4" w:hRule="atLeast"/>
          <w:jc w:val="center"/>
        </w:trPr>
        <w:tc>
          <w:tcPr>
            <w:tcW w:w="448" w:type="dxa"/>
            <w:vAlign w:val="center"/>
          </w:tcPr>
          <w:p w14:paraId="1198A241">
            <w:pPr>
              <w:pStyle w:val="71"/>
              <w:adjustRightInd w:val="0"/>
              <w:snapToGrid w:val="0"/>
              <w:rPr>
                <w:kern w:val="2"/>
                <w:szCs w:val="24"/>
                <w:lang w:val="en-US" w:eastAsia="zh-CN"/>
              </w:rPr>
            </w:pPr>
            <w:r>
              <w:rPr>
                <w:kern w:val="2"/>
                <w:szCs w:val="24"/>
                <w:lang w:val="en-US" w:eastAsia="zh-CN"/>
              </w:rPr>
              <w:t>区域</w:t>
            </w:r>
          </w:p>
          <w:p w14:paraId="6E5F3A66">
            <w:pPr>
              <w:pStyle w:val="71"/>
              <w:adjustRightInd w:val="0"/>
              <w:snapToGrid w:val="0"/>
              <w:rPr>
                <w:kern w:val="2"/>
                <w:szCs w:val="24"/>
                <w:lang w:val="en-US" w:eastAsia="zh-CN"/>
              </w:rPr>
            </w:pPr>
            <w:r>
              <w:rPr>
                <w:kern w:val="2"/>
                <w:szCs w:val="24"/>
                <w:lang w:val="en-US" w:eastAsia="zh-CN"/>
              </w:rPr>
              <w:t>环境</w:t>
            </w:r>
          </w:p>
          <w:p w14:paraId="3B089C85">
            <w:pPr>
              <w:pStyle w:val="71"/>
              <w:adjustRightInd w:val="0"/>
              <w:snapToGrid w:val="0"/>
              <w:rPr>
                <w:kern w:val="2"/>
                <w:szCs w:val="24"/>
                <w:lang w:val="en-US" w:eastAsia="zh-CN"/>
              </w:rPr>
            </w:pPr>
            <w:r>
              <w:rPr>
                <w:kern w:val="2"/>
                <w:szCs w:val="24"/>
                <w:lang w:val="en-US" w:eastAsia="zh-CN"/>
              </w:rPr>
              <w:t>质量</w:t>
            </w:r>
          </w:p>
          <w:p w14:paraId="22800EEC">
            <w:pPr>
              <w:adjustRightInd w:val="0"/>
              <w:snapToGrid w:val="0"/>
              <w:spacing w:line="240" w:lineRule="auto"/>
              <w:ind w:firstLine="0" w:firstLineChars="0"/>
              <w:jc w:val="center"/>
              <w:outlineLvl w:val="0"/>
              <w:rPr>
                <w:rFonts w:eastAsia="黑体"/>
                <w:snapToGrid w:val="0"/>
                <w:sz w:val="36"/>
                <w:szCs w:val="36"/>
              </w:rPr>
            </w:pPr>
            <w:r>
              <w:t>现状</w:t>
            </w:r>
          </w:p>
        </w:tc>
        <w:tc>
          <w:tcPr>
            <w:tcW w:w="8839" w:type="dxa"/>
          </w:tcPr>
          <w:p w14:paraId="5FC3DF9B">
            <w:pPr>
              <w:pStyle w:val="117"/>
              <w:ind w:firstLine="480"/>
              <w:rPr>
                <w:szCs w:val="21"/>
                <w:lang w:val="en-US" w:eastAsia="zh-CN"/>
              </w:rPr>
            </w:pPr>
            <w:r>
              <w:rPr>
                <w:szCs w:val="21"/>
                <w:lang w:val="en-US" w:eastAsia="zh-CN"/>
              </w:rPr>
              <w:t>①pH</w:t>
            </w:r>
          </w:p>
          <w:p w14:paraId="555EF5B2">
            <w:pPr>
              <w:pStyle w:val="117"/>
              <w:ind w:firstLine="480"/>
              <w:rPr>
                <w:szCs w:val="21"/>
                <w:lang w:val="en-US" w:eastAsia="zh-CN"/>
              </w:rPr>
            </w:pPr>
            <w:r>
              <w:rPr>
                <w:szCs w:val="21"/>
                <w:lang w:val="en-US" w:eastAsia="zh-CN"/>
              </w:rPr>
              <w:t>大潮期高平潮：监测海域各站位的pH值介于7.89~8.17之间，平均值为8.02，Pi值介于0.03~0.83之间；大潮期低平潮：监测海域各站位的pH值介于7.85~8.17之间，平均值为8.06，Pi值介于0.06~0.80之间；小潮期高平潮：监测海域各站位的pH值介于7.89~8.17之间，平均值为8.02，Pi值介于0.00~0.74之间；小潮期低平潮：监测海域各站位的pH值介于7.85~8.17之间，平均值为8.06，Pi值介于0.00~0.86之间；监测结果显示，所有站位的pH值均符合海洋环境保护规划规定的水质标准。</w:t>
            </w:r>
          </w:p>
          <w:p w14:paraId="48694216">
            <w:pPr>
              <w:pStyle w:val="117"/>
              <w:ind w:firstLine="480"/>
              <w:rPr>
                <w:szCs w:val="21"/>
                <w:lang w:val="en-US" w:eastAsia="zh-CN"/>
              </w:rPr>
            </w:pPr>
            <w:r>
              <w:rPr>
                <w:szCs w:val="21"/>
                <w:lang w:val="en-US" w:eastAsia="zh-CN"/>
              </w:rPr>
              <w:t>②溶解氧</w:t>
            </w:r>
          </w:p>
          <w:p w14:paraId="2C5C73D2">
            <w:pPr>
              <w:pStyle w:val="117"/>
              <w:ind w:firstLine="480"/>
              <w:rPr>
                <w:szCs w:val="21"/>
                <w:lang w:val="en-US" w:eastAsia="zh-CN"/>
              </w:rPr>
            </w:pPr>
            <w:r>
              <w:rPr>
                <w:szCs w:val="21"/>
                <w:lang w:val="en-US" w:eastAsia="zh-CN"/>
              </w:rPr>
              <w:t>大潮期高平潮：监测海域各站位的溶解氧值介于6.53mg/L~6.71mg/L之间，平均值为6.62mg/L，Pi值介于0.48~0.65之间；大潮期低平潮：监测海域各站位的溶解氧值介于6.51mg/L~6.67mg/L之间，平均值为6.60mg/L，Pi值介于0.52~0.65之间；小潮期高平潮：监测海域各站位的溶解氧值介于6.41mg/L~6.82mg/L之间，平均值为6.63，Pi于0.49~0.68之间；小潮期低平潮：监测海域各站位的溶解氧值介于6mg/L~6.81mg/L之间，平均值为6.67mg/L，Pi值介于0.47~0.85之间。监测结果显示，所有站位的溶解氧含量均符合海洋环境保护规划规定的水质标准。</w:t>
            </w:r>
          </w:p>
          <w:p w14:paraId="5B9D5BA6">
            <w:pPr>
              <w:pStyle w:val="117"/>
              <w:ind w:firstLine="480"/>
              <w:rPr>
                <w:szCs w:val="21"/>
                <w:lang w:val="en-US" w:eastAsia="zh-CN"/>
              </w:rPr>
            </w:pPr>
            <w:bookmarkStart w:id="12" w:name="_Toc27535"/>
            <w:r>
              <w:rPr>
                <w:szCs w:val="21"/>
                <w:lang w:val="en-US" w:eastAsia="zh-CN"/>
              </w:rPr>
              <w:t>③</w:t>
            </w:r>
            <w:bookmarkEnd w:id="12"/>
            <w:r>
              <w:rPr>
                <w:szCs w:val="21"/>
                <w:lang w:val="en-US" w:eastAsia="zh-CN"/>
              </w:rPr>
              <w:t>化学需氧量</w:t>
            </w:r>
          </w:p>
          <w:p w14:paraId="40B6B373">
            <w:pPr>
              <w:pStyle w:val="117"/>
              <w:ind w:firstLine="480"/>
              <w:rPr>
                <w:szCs w:val="21"/>
                <w:lang w:val="en-US" w:eastAsia="zh-CN"/>
              </w:rPr>
            </w:pPr>
            <w:r>
              <w:rPr>
                <w:szCs w:val="21"/>
                <w:lang w:val="en-US" w:eastAsia="zh-CN"/>
              </w:rPr>
              <w:t>大潮期高平潮：监测海域各站位的化学需氧量值介于0.87mg/L~1.03mg/L之间，平均值为0.95mg/L，Pi值介于0.22~0.33之间；大潮期低平潮：监测海域各站位的化学需氧量值介于0.88mg/L~1.06mg/L之间，平均值为0.98，Pi值介于0.22mg/L~0.34mg/L之间；小潮期高平潮：监测海域各站位的化学需氧量值介于0.96mg/L~1.36mg/L之间，平均值为1.10mg/L，Pi值介于0.25~0.45之间；小潮期低平潮：监测海域各站位的化学需氧量值介于1.04mg/L~1.43mg/L之间，平均值为1.19mg/L，Pi值介于0.27~0.53之间。监测结果显示，所有站位的化学需氧量含量均符合海洋环境保护规划规定的水质标准。</w:t>
            </w:r>
          </w:p>
          <w:p w14:paraId="72AC6B8E">
            <w:pPr>
              <w:pStyle w:val="117"/>
              <w:ind w:firstLine="480"/>
              <w:rPr>
                <w:szCs w:val="21"/>
                <w:lang w:val="en-US" w:eastAsia="zh-CN"/>
              </w:rPr>
            </w:pPr>
            <w:bookmarkStart w:id="13" w:name="_Toc15487"/>
            <w:r>
              <w:rPr>
                <w:szCs w:val="21"/>
                <w:lang w:val="en-US" w:eastAsia="zh-CN"/>
              </w:rPr>
              <w:t>④</w:t>
            </w:r>
            <w:bookmarkEnd w:id="13"/>
            <w:r>
              <w:rPr>
                <w:szCs w:val="21"/>
                <w:lang w:val="en-US" w:eastAsia="zh-CN"/>
              </w:rPr>
              <w:t>活性磷酸盐</w:t>
            </w:r>
          </w:p>
          <w:p w14:paraId="60ADB5D1">
            <w:pPr>
              <w:pStyle w:val="117"/>
              <w:ind w:firstLine="480"/>
              <w:rPr>
                <w:szCs w:val="21"/>
                <w:lang w:val="en-US" w:eastAsia="zh-CN"/>
              </w:rPr>
            </w:pPr>
            <w:r>
              <w:rPr>
                <w:szCs w:val="21"/>
                <w:lang w:val="en-US" w:eastAsia="zh-CN"/>
              </w:rPr>
              <w:t>大潮期高平潮：监测海域各站位的活性磷酸盐值介于0.0263mg/L~0.0409mg/L之间，平均值为0.0339mg/L，Pi值介于0.88~1.36之间；大潮期低平潮：监测海域各站位的活性磷酸盐值介于0.0273mg/L~0.0424mg/L之间，平均值为0.0341mg/L，Pi值介于0.91~1.41之间；小潮期高平潮：监测海域各站位的活性磷酸盐值介于0.0271mg/L~0.0448mg/L之间，平均值为0.0359mg/L，Pi值介于0.90~1.49之间；小潮期低平潮：监测海域各站位的活性磷酸盐值介于0.0266mg/L~0.0453mg/L之间，平均值为0.0361mg/L，Pi值介于0.95~1.37之间。监测结果显示，13#站位活性磷酸盐含量符合第二类海水水质标准，4#、6#站位活性磷酸盐含量符合第三类海水水质标准，其他站位的活性磷酸盐含量劣于第三类海水水质标准，但符合第四类海水水质标准。</w:t>
            </w:r>
          </w:p>
          <w:p w14:paraId="30344BC8">
            <w:pPr>
              <w:pStyle w:val="117"/>
              <w:ind w:firstLine="480"/>
              <w:rPr>
                <w:szCs w:val="21"/>
                <w:lang w:val="en-US" w:eastAsia="zh-CN"/>
              </w:rPr>
            </w:pPr>
            <w:bookmarkStart w:id="14" w:name="_Toc31816"/>
            <w:r>
              <w:rPr>
                <w:szCs w:val="21"/>
                <w:lang w:val="en-US" w:eastAsia="zh-CN"/>
              </w:rPr>
              <w:t>⑤</w:t>
            </w:r>
            <w:bookmarkEnd w:id="14"/>
            <w:r>
              <w:rPr>
                <w:szCs w:val="21"/>
                <w:lang w:val="en-US" w:eastAsia="zh-CN"/>
              </w:rPr>
              <w:t>无机氮</w:t>
            </w:r>
          </w:p>
          <w:p w14:paraId="63538438">
            <w:pPr>
              <w:pStyle w:val="117"/>
              <w:ind w:firstLine="480"/>
              <w:rPr>
                <w:szCs w:val="21"/>
                <w:lang w:val="en-US" w:eastAsia="zh-CN"/>
              </w:rPr>
            </w:pPr>
            <w:r>
              <w:rPr>
                <w:szCs w:val="21"/>
                <w:lang w:val="en-US" w:eastAsia="zh-CN"/>
              </w:rPr>
              <w:t>大潮期高平潮：监测海域各站位的无机氮值介于0.2842mg/L~0.5079mg/L之间，平均值为0.4280mg/L，Pi值介于0.83~1.69之间；大潮期低平潮：监测海域各站位的无机氮值介于0.2920mg/L~0.5104mg/L之间，平均值为0.4308mg/L，Pi值介于0.85~1.70之间；小潮期高平潮：监测海域各站位的无机氮值介于0.2941mg/L~0.5225mg/L之间，平均值为0.4507mg/L，Pi值介于0.90~1.49之间；小潮期低平潮：监测海域各站位的无机氮值介于0.2955mg/L~0.5213mg/L之间，平均值为0.4554mg/L，Pi值介于0.95~1.77之间。监测结果显示，大潮期13#站位无机氮含量符合二类海水水质标准，11#站位的无机氮含量劣于第四类海水水质标准，其他站位的无机氮含量劣于三类海水水质标准，但符合第四类海水水质标准；监测结果显示，小潮期13#站位无机氮含量符合第二类海水水质标准，10#、11#、12#站位的无机氮含量劣于第四类海水水质标准，其他站位的无机氮含量劣于第三类海水水质标准，但符合第四类海水水质标准。</w:t>
            </w:r>
          </w:p>
          <w:p w14:paraId="6813461C">
            <w:pPr>
              <w:pStyle w:val="117"/>
              <w:ind w:firstLine="480"/>
              <w:rPr>
                <w:szCs w:val="21"/>
                <w:lang w:val="en-US" w:eastAsia="zh-CN"/>
              </w:rPr>
            </w:pPr>
            <w:bookmarkStart w:id="15" w:name="_Toc20051"/>
            <w:r>
              <w:rPr>
                <w:szCs w:val="21"/>
                <w:lang w:val="en-US" w:eastAsia="zh-CN"/>
              </w:rPr>
              <w:t>⑥</w:t>
            </w:r>
            <w:bookmarkEnd w:id="15"/>
            <w:r>
              <w:rPr>
                <w:szCs w:val="21"/>
                <w:lang w:val="en-US" w:eastAsia="zh-CN"/>
              </w:rPr>
              <w:t>生化需氧量</w:t>
            </w:r>
          </w:p>
          <w:p w14:paraId="7C00AD36">
            <w:pPr>
              <w:pStyle w:val="117"/>
              <w:ind w:firstLine="480"/>
              <w:rPr>
                <w:szCs w:val="21"/>
                <w:lang w:val="en-US" w:eastAsia="zh-CN"/>
              </w:rPr>
            </w:pPr>
            <w:r>
              <w:rPr>
                <w:szCs w:val="21"/>
                <w:lang w:val="en-US" w:eastAsia="zh-CN"/>
              </w:rPr>
              <w:t>大潮期高平潮：监测海域各站位的生化需氧量值介于0.35mg/L~0.916mg/L之间，平均值为0.61mg/L，Pi值介于0.09~0.30之间；大潮期低平潮：监测海域各站位的生化需氧量值介于0.43mg/L~0.92mg/L之间，平均值为0.66mg/L，Pi值介于0.11~0.31之间；小潮期高平潮：监测海域各站位的生化需氧量值介于0.31mg/L~0.86mg/L之间，平均值为0.60mg/L，Pi值介于0.09~0.25之间；小潮期低平潮：监测海域各站位的生化需氧量值介于0.35mg/L~0.94mg/L之间，平均值为0.72mg/L，Pi值介于0.09~0.30之间。监测结果显示，所有站位的生化需氧量含量均符合海洋环境保护规划规定的水质标准。</w:t>
            </w:r>
          </w:p>
          <w:p w14:paraId="4AFE22EB">
            <w:pPr>
              <w:pStyle w:val="117"/>
              <w:ind w:firstLine="480"/>
              <w:rPr>
                <w:szCs w:val="21"/>
                <w:lang w:val="en-US" w:eastAsia="zh-CN"/>
              </w:rPr>
            </w:pPr>
            <w:r>
              <w:rPr>
                <w:szCs w:val="21"/>
                <w:lang w:val="en-US" w:eastAsia="zh-CN"/>
              </w:rPr>
              <w:t>⑦石油类</w:t>
            </w:r>
          </w:p>
          <w:p w14:paraId="7A0D0017">
            <w:pPr>
              <w:pStyle w:val="117"/>
              <w:ind w:firstLine="480"/>
              <w:rPr>
                <w:szCs w:val="21"/>
                <w:lang w:val="en-US" w:eastAsia="zh-CN"/>
              </w:rPr>
            </w:pPr>
            <w:r>
              <w:rPr>
                <w:szCs w:val="21"/>
                <w:lang w:val="en-US" w:eastAsia="zh-CN"/>
              </w:rPr>
              <w:t>大潮期高平潮：监测海域各站位的石油类值介于19.5μg/L~43.5μg/L之间，平均值为31.0μg/L，Pi值介于0.07~0.46之间；大潮期低平潮：监测海域各站位的石油类值介于20.3μg/L~42.6μg/L之间，平均值为31.5μg/L，Pi值介于0.07~0.45之间；小潮期高平潮：监测海域各站位的石油类值介于19.6μg/L~43.0μg/L之间，平均值为31.5μg/L，Pi值介于0.13~0.86之间；小潮期低平潮：监测海域各站位的石油类值介于20.2μg/L~44.2μg/L之间，平均值为32.7μg/L，Pi值介于0.11~0.88之间。监测结果显示，所有站位的石油类含量均符合海洋环境保护规划规定的水质标准。</w:t>
            </w:r>
          </w:p>
          <w:p w14:paraId="1528F5F8">
            <w:pPr>
              <w:pStyle w:val="117"/>
              <w:ind w:firstLine="480"/>
              <w:rPr>
                <w:szCs w:val="21"/>
                <w:lang w:val="en-US" w:eastAsia="zh-CN"/>
              </w:rPr>
            </w:pPr>
            <w:bookmarkStart w:id="16" w:name="_Toc23574"/>
            <w:r>
              <w:rPr>
                <w:szCs w:val="21"/>
                <w:lang w:val="en-US" w:eastAsia="zh-CN"/>
              </w:rPr>
              <w:t>⑧</w:t>
            </w:r>
            <w:bookmarkEnd w:id="16"/>
            <w:r>
              <w:rPr>
                <w:szCs w:val="21"/>
                <w:lang w:val="en-US" w:eastAsia="zh-CN"/>
              </w:rPr>
              <w:t>锌</w:t>
            </w:r>
          </w:p>
          <w:p w14:paraId="15C811CE">
            <w:pPr>
              <w:pStyle w:val="117"/>
              <w:ind w:firstLine="480"/>
              <w:rPr>
                <w:szCs w:val="21"/>
                <w:lang w:val="en-US" w:eastAsia="zh-CN"/>
              </w:rPr>
            </w:pPr>
            <w:r>
              <w:rPr>
                <w:szCs w:val="21"/>
                <w:lang w:val="en-US" w:eastAsia="zh-CN"/>
              </w:rPr>
              <w:t>大潮期高平潮：监测海域各站位的锌含量介于6.1μg/L~10.8μg/L之间，平均值为8.5μg/L，Pi值介于0.07~0.14之间；大潮期低平潮：监测海域各站位的锌含量介于6.5μg/L~11.7μg/L之间，平均值为6.2μg/L，Pi值介于0.07~0.20之间；小潮期高平潮：监测海域各站位的锌含量介于6.7μg/L~13.7μg/L之间，平均值为9.8μg/L，Pi值介于0.09~0.27之间；小潮期低平潮：监测海域各站位的锌含量介于7.1μg/L~12.9μg/L之间，平均值为10.0μg/L，Pi值介于0.09~0.36之间。监测结果显示，所有站位的锌含量均符合海洋环境保护规划规定的水质标准。</w:t>
            </w:r>
          </w:p>
          <w:p w14:paraId="6AD8A32B">
            <w:pPr>
              <w:pStyle w:val="117"/>
              <w:ind w:firstLine="480"/>
              <w:rPr>
                <w:szCs w:val="21"/>
                <w:lang w:val="en-US" w:eastAsia="zh-CN"/>
              </w:rPr>
            </w:pPr>
            <w:bookmarkStart w:id="17" w:name="_Toc8996"/>
            <w:r>
              <w:rPr>
                <w:szCs w:val="21"/>
                <w:lang w:val="en-US" w:eastAsia="zh-CN"/>
              </w:rPr>
              <w:t>⑨</w:t>
            </w:r>
            <w:bookmarkEnd w:id="17"/>
            <w:r>
              <w:rPr>
                <w:szCs w:val="21"/>
                <w:lang w:val="en-US" w:eastAsia="zh-CN"/>
              </w:rPr>
              <w:t>铜</w:t>
            </w:r>
          </w:p>
          <w:p w14:paraId="76DBB843">
            <w:pPr>
              <w:pStyle w:val="117"/>
              <w:ind w:firstLine="480"/>
              <w:rPr>
                <w:szCs w:val="21"/>
                <w:lang w:val="en-US" w:eastAsia="zh-CN"/>
              </w:rPr>
            </w:pPr>
            <w:r>
              <w:rPr>
                <w:szCs w:val="21"/>
                <w:lang w:val="en-US" w:eastAsia="zh-CN"/>
              </w:rPr>
              <w:t>大潮期高平潮：监测海域各站位的铜含量介于0.6μg/L~6.01μg/L之间，平均值为1.2μg/L，Pi值介于0.01~0.12之间；大潮期低平潮：监测海域各站位的铜含量介于0.7μg/L~1.5μg/L之间，平均值为0.9μg/L，Pi值介于0.01~0.15之间；小潮期高平潮：监测海域各站位的锌含量介于0.7μg/L~1.1μg/L之间，平均值为0.9μg/L，Pi值介于0.01~0.11之间；小潮期低平潮：监测海域各站位的铜含量介于0.7μg/L~1.2μg/L之间，平均值为0.9μg/L，Pi值介于0.02~0.14之间。监测结果显示，所有站位的铜含量均符合海洋环境保护规划规定的水质标准。</w:t>
            </w:r>
          </w:p>
          <w:p w14:paraId="4BE4284D">
            <w:pPr>
              <w:pStyle w:val="117"/>
              <w:ind w:firstLine="480"/>
              <w:rPr>
                <w:szCs w:val="21"/>
                <w:lang w:val="en-US" w:eastAsia="zh-CN"/>
              </w:rPr>
            </w:pPr>
            <w:bookmarkStart w:id="18" w:name="_Toc28700"/>
            <w:r>
              <w:rPr>
                <w:szCs w:val="21"/>
                <w:lang w:val="en-US" w:eastAsia="zh-CN"/>
              </w:rPr>
              <w:t>⑩</w:t>
            </w:r>
            <w:bookmarkEnd w:id="18"/>
            <w:r>
              <w:rPr>
                <w:szCs w:val="21"/>
                <w:lang w:val="en-US" w:eastAsia="zh-CN"/>
              </w:rPr>
              <w:t>铅</w:t>
            </w:r>
          </w:p>
          <w:p w14:paraId="300FA2EC">
            <w:pPr>
              <w:pStyle w:val="117"/>
              <w:ind w:firstLine="480"/>
              <w:rPr>
                <w:szCs w:val="21"/>
                <w:lang w:val="en-US" w:eastAsia="zh-CN"/>
              </w:rPr>
            </w:pPr>
            <w:r>
              <w:rPr>
                <w:szCs w:val="21"/>
                <w:lang w:val="en-US" w:eastAsia="zh-CN"/>
              </w:rPr>
              <w:t>大潮期高平潮：监测海域各站位的铅含量介于0.47μg/L~0.82μg/L之间，平均值为0.65μg/L，Pi值介于0.05~0.13之间；大潮期低平潮：监测海域各站位的铅含量介于0.43μg/L~0.78μg/L之间，平均值为0.63μg/L，Pi值介于0.04~0.16之间；小潮期高平潮：监测海域各站位的铅含量介于6.14μg/L~6.47μg/L之间，平均值为6.26μg/L，Pi值介于0.06~0.15之间；小潮期低平潮：监测海域各站位的铅含量介于6.14μg/L~6.41μg/L之间，平均值为6.25μg/L，Pi值介于0.01~0.63之间。监测结果显示，所有站位的铅含量均符合海洋环境保护规划规定的水质标准。</w:t>
            </w:r>
          </w:p>
          <w:p w14:paraId="7FDF5DA1">
            <w:pPr>
              <w:pStyle w:val="117"/>
              <w:ind w:firstLine="480"/>
              <w:rPr>
                <w:szCs w:val="21"/>
                <w:lang w:val="en-US" w:eastAsia="zh-CN"/>
              </w:rPr>
            </w:pPr>
            <w:r>
              <w:rPr>
                <w:rFonts w:hint="eastAsia" w:ascii="MS Gothic" w:hAnsi="MS Gothic" w:eastAsia="MS Gothic" w:cs="MS Gothic"/>
                <w:shd w:val="clear" w:color="auto" w:fill="FFFFFF"/>
              </w:rPr>
              <w:t>⑪</w:t>
            </w:r>
            <w:r>
              <w:rPr>
                <w:szCs w:val="21"/>
                <w:lang w:val="en-US" w:eastAsia="zh-CN"/>
              </w:rPr>
              <w:t>镉</w:t>
            </w:r>
          </w:p>
          <w:p w14:paraId="16C228CE">
            <w:pPr>
              <w:pStyle w:val="117"/>
              <w:ind w:firstLine="480"/>
              <w:rPr>
                <w:szCs w:val="21"/>
                <w:lang w:val="en-US" w:eastAsia="zh-CN"/>
              </w:rPr>
            </w:pPr>
            <w:r>
              <w:rPr>
                <w:szCs w:val="21"/>
                <w:lang w:val="en-US" w:eastAsia="zh-CN"/>
              </w:rPr>
              <w:t>大潮期高平潮：监测海域各站位的镉含量介于0.05μg/L~0.13μg/L之间，平均值为0.07μg/L，Pi值介于0.01~0.02之间；大潮期低平潮：监测海域各站位的镉含量介于0.05μg/L~0.14μg/L之间，平均值为0.09μg/L，Pi值介于0.01~0.02之间；小潮期高平潮：监测海域各站位的镉含量介于0.06μg/L~0.15μg/L之间，平均值为0.09μg/L，Pi值介于0.01~0.03之间；小潮期低平潮：监测海域各站位的镉含量介于0.07μg/L~0.18μg/L之间，平均值为0.12μg/L，Pi值介于0.01~0.05之间。监测结果显示，所有站位的镉含量均符合海洋环境保护规划规定的水质标准。</w:t>
            </w:r>
          </w:p>
          <w:p w14:paraId="4A7A4AB7">
            <w:pPr>
              <w:pStyle w:val="117"/>
              <w:ind w:firstLine="480"/>
              <w:rPr>
                <w:szCs w:val="21"/>
                <w:lang w:val="en-US" w:eastAsia="zh-CN"/>
              </w:rPr>
            </w:pPr>
            <w:r>
              <w:rPr>
                <w:rFonts w:hint="eastAsia" w:ascii="MS Gothic" w:hAnsi="MS Gothic" w:eastAsia="MS Gothic" w:cs="MS Gothic"/>
                <w:shd w:val="clear" w:color="auto" w:fill="FFFFFF"/>
              </w:rPr>
              <w:t>⑫</w:t>
            </w:r>
            <w:r>
              <w:rPr>
                <w:szCs w:val="21"/>
                <w:lang w:val="en-US" w:eastAsia="zh-CN"/>
              </w:rPr>
              <w:t>总铬</w:t>
            </w:r>
          </w:p>
          <w:p w14:paraId="6258F53E">
            <w:pPr>
              <w:pStyle w:val="117"/>
              <w:ind w:firstLine="480"/>
              <w:rPr>
                <w:szCs w:val="21"/>
                <w:lang w:val="en-US" w:eastAsia="zh-CN"/>
              </w:rPr>
            </w:pPr>
            <w:r>
              <w:rPr>
                <w:szCs w:val="21"/>
                <w:lang w:val="en-US" w:eastAsia="zh-CN"/>
              </w:rPr>
              <w:t>大潮期高平潮：监测海域各站位的总铬含量介于0.5μg/L~1.3μg/L之间，平均值为0.8μg/L，Pi值介于0.003~0.011之间；大潮期低平潮：监测海域各站位的总铬含量介于0.4μg/L~1.5μg/L之间，平均值为0.7μg/L，Pi值介于0.002~0.011之间；小潮期高平潮：监测海域各站位的总铬含量介于0.7μg/L~1.4μg/L之间，平均值为0.9μg/L，Pi值介于0.004~0.012之间；小潮期低平潮：监测海域各站位的总铬含量介于0.5μg/L~1.1μg/L之间，平均值为0.9μg/L，Pi值介于0.004~0.020之间。监测结果显示，所有站位的总铬含量均符合海洋环境保护规划规定的水质标准。</w:t>
            </w:r>
          </w:p>
          <w:p w14:paraId="2CEF1DFD">
            <w:pPr>
              <w:pStyle w:val="117"/>
              <w:ind w:firstLine="480"/>
              <w:rPr>
                <w:szCs w:val="21"/>
                <w:lang w:val="en-US" w:eastAsia="zh-CN"/>
              </w:rPr>
            </w:pPr>
            <w:r>
              <w:rPr>
                <w:rFonts w:hint="eastAsia" w:ascii="MS Gothic" w:hAnsi="MS Gothic" w:eastAsia="MS Gothic" w:cs="MS Gothic"/>
                <w:shd w:val="clear" w:color="auto" w:fill="FFFFFF"/>
              </w:rPr>
              <w:t>⑬</w:t>
            </w:r>
            <w:r>
              <w:rPr>
                <w:szCs w:val="21"/>
                <w:lang w:val="en-US" w:eastAsia="zh-CN"/>
              </w:rPr>
              <w:t>汞</w:t>
            </w:r>
          </w:p>
          <w:p w14:paraId="30D822D2">
            <w:pPr>
              <w:pStyle w:val="117"/>
              <w:ind w:firstLine="480"/>
              <w:rPr>
                <w:szCs w:val="21"/>
                <w:lang w:val="en-US" w:eastAsia="zh-CN"/>
              </w:rPr>
            </w:pPr>
            <w:r>
              <w:rPr>
                <w:szCs w:val="21"/>
                <w:lang w:val="en-US" w:eastAsia="zh-CN"/>
              </w:rPr>
              <w:t>大潮期高平潮：监测海域各站位的汞含量介于0.016μg/L~0.037μg/L之间，平均值为0.028μg/L，Pi值介于0.08~0.19之间；大潮期低平潮：监测海域各站位的汞含量介于0.020μg/L~0.038μg/L之间，平均值为0.028μg/L，Pi值介于0.10~0.19之间；小潮期高平潮：监测海域各站位的汞含量介于0.022μg/L~0.043μg/L之间，平均值为0.032μg/L，Pi值介于0.11~0.22之间；小潮期低平潮：监测海域各站位的汞含量介于0.018μg/L~0.047μg/L之间，平均值为0.0.32μg/L，Pi值介于0.09~0.24之间。监测结果显示，所有站位的汞含量均符合海洋环境保护规划规定的水质标准。</w:t>
            </w:r>
          </w:p>
          <w:p w14:paraId="014EFCD4">
            <w:pPr>
              <w:pStyle w:val="117"/>
              <w:ind w:firstLine="480"/>
              <w:rPr>
                <w:szCs w:val="21"/>
                <w:lang w:val="en-US" w:eastAsia="zh-CN"/>
              </w:rPr>
            </w:pPr>
            <w:r>
              <w:rPr>
                <w:rFonts w:hint="eastAsia" w:ascii="MS Gothic" w:hAnsi="MS Gothic" w:eastAsia="MS Gothic" w:cs="MS Gothic"/>
                <w:shd w:val="clear" w:color="auto" w:fill="FFFFFF"/>
              </w:rPr>
              <w:t>⑭</w:t>
            </w:r>
            <w:r>
              <w:rPr>
                <w:szCs w:val="21"/>
                <w:lang w:val="en-US" w:eastAsia="zh-CN"/>
              </w:rPr>
              <w:t>砷</w:t>
            </w:r>
          </w:p>
          <w:p w14:paraId="3C2489C5">
            <w:pPr>
              <w:pStyle w:val="117"/>
              <w:ind w:firstLine="480"/>
              <w:rPr>
                <w:szCs w:val="21"/>
                <w:lang w:val="en-US" w:eastAsia="zh-CN"/>
              </w:rPr>
            </w:pPr>
            <w:r>
              <w:rPr>
                <w:szCs w:val="21"/>
                <w:lang w:val="en-US" w:eastAsia="zh-CN"/>
              </w:rPr>
              <w:t>大潮期高平潮：监测海域各站位的砷含量介于0.7μg/L~2.1μg/L之间，平均值为1.5μg/L，Pi值介于0.02~0.04之间；大潮期低平潮：监测海域各站位的砷含量介于0.7μg/L~2.3μg/L之间，平均值为1.5μg/L，Pi值介于0.02~0.05之间；小潮期高平潮：监测海域各站位的砷含量介于1.0μg/L~2.4μg/L之间，平均值为1.7μg/L，Pi值介于0.03~0.08之间；小潮期低平潮：监测海域各站位的砷含量介于0.8μg/L~2.4μg/L之间，平均值为1.8μg/L，Pi值介于0.03~0.06之间。监测结果显示，所有站位的砷含量均符合海洋环境保护规划规定的水质标准。</w:t>
            </w:r>
          </w:p>
          <w:p w14:paraId="773D5154">
            <w:pPr>
              <w:pStyle w:val="117"/>
              <w:ind w:firstLine="480"/>
              <w:rPr>
                <w:szCs w:val="21"/>
                <w:lang w:val="en-US" w:eastAsia="zh-CN"/>
              </w:rPr>
            </w:pPr>
            <w:r>
              <w:rPr>
                <w:rFonts w:hint="eastAsia" w:ascii="MS Gothic" w:hAnsi="MS Gothic" w:eastAsia="MS Gothic" w:cs="MS Gothic"/>
                <w:shd w:val="clear" w:color="auto" w:fill="FFFFFF"/>
              </w:rPr>
              <w:t>⑮</w:t>
            </w:r>
            <w:r>
              <w:rPr>
                <w:szCs w:val="21"/>
                <w:lang w:val="en-US" w:eastAsia="zh-CN"/>
              </w:rPr>
              <w:t>镍</w:t>
            </w:r>
          </w:p>
          <w:p w14:paraId="791F1B5D">
            <w:pPr>
              <w:pStyle w:val="117"/>
              <w:ind w:firstLine="480"/>
              <w:rPr>
                <w:szCs w:val="21"/>
                <w:lang w:val="en-US" w:eastAsia="zh-CN"/>
              </w:rPr>
            </w:pPr>
            <w:r>
              <w:rPr>
                <w:szCs w:val="21"/>
                <w:lang w:val="en-US" w:eastAsia="zh-CN"/>
              </w:rPr>
              <w:t>大潮期高平潮：监测海域各站位的镍含量介于2.2μg/L~5.2μg/L之间，平均值为3.9μg/L，Pi值介于0.11~0.48之间；大潮期低平潮：监测海域各站位的镍含量介于2.5μg/L~5.0μg/L之间，平均值为3.6μg/L，Pi值介于0.13~0.50之间；小潮期高平潮：监测海域各站位的镍含量介于2.3μg/L~4.9μg/L之间，平均值为3.9μg/L，Pi值介于0.15~0.40之间；小潮期低平潮：监测海域各站位的镍含量介于2.2μg/L~4.3μg/L之间，平均值为3.3μg/L，Pi值介于0.11~0.30之间。监测结果显示，所有站位的镍含量均符合海洋环境保护规划规定的水质标准。</w:t>
            </w:r>
          </w:p>
          <w:p w14:paraId="2D7A10A1">
            <w:pPr>
              <w:pStyle w:val="117"/>
              <w:ind w:firstLine="480"/>
              <w:rPr>
                <w:szCs w:val="21"/>
                <w:lang w:val="en-US" w:eastAsia="zh-CN"/>
              </w:rPr>
            </w:pPr>
            <w:r>
              <w:rPr>
                <w:szCs w:val="21"/>
                <w:lang w:val="en-US" w:eastAsia="zh-CN"/>
              </w:rPr>
              <w:t>综上可知，除了活性磷酸盐和无机氮外，其余各监测指标均符合《海水水质标准》（GB3097-1997）第二、三类水质标准。</w:t>
            </w:r>
          </w:p>
          <w:p w14:paraId="07F93861">
            <w:pPr>
              <w:pStyle w:val="117"/>
              <w:ind w:firstLine="480"/>
              <w:rPr>
                <w:szCs w:val="21"/>
                <w:lang w:val="en-US" w:eastAsia="zh-CN"/>
              </w:rPr>
            </w:pPr>
            <w:r>
              <w:rPr>
                <w:szCs w:val="21"/>
                <w:lang w:val="en-US" w:eastAsia="zh-CN"/>
              </w:rPr>
              <w:t>13#站位活性磷酸盐含量符合第二类海水水质标准，4#、6#站位活性磷酸盐含量符合第三类海水水质标准，其他站位的活性磷酸盐含量劣于第三类海水水质标准，但符合第四类海水水质标准。</w:t>
            </w:r>
          </w:p>
          <w:p w14:paraId="1EB647F7">
            <w:pPr>
              <w:pStyle w:val="117"/>
              <w:ind w:firstLine="480"/>
              <w:rPr>
                <w:szCs w:val="21"/>
                <w:lang w:val="en-US" w:eastAsia="zh-CN"/>
              </w:rPr>
            </w:pPr>
            <w:r>
              <w:rPr>
                <w:szCs w:val="21"/>
                <w:lang w:val="en-US" w:eastAsia="zh-CN"/>
              </w:rPr>
              <w:t>大潮期13#站位无机氮含量符合二类海水水质标准，11#站位的无机氮含量劣于第四类海水水质标准，其他站位的无机氮含量劣于三类海水水质标准，但符合第四类海水水质标准；小潮期13#站位无机氮含量符合二类海水水质标准，10#、11#、12#站位的无机氮含量劣于第四类海水水质标准，其他站位的无机氨含量劣于三类海水水质标准，但符合第四类海水水质标准。超标原因可能是兴化湾周边陆源污染物汇入以及湾内海域水产养殖活动有关，附近海水养殖过程中使用的含氮和磷的饲料和肥料释放到海水中。</w:t>
            </w:r>
          </w:p>
          <w:p w14:paraId="5A96D5DA">
            <w:pPr>
              <w:adjustRightInd w:val="0"/>
              <w:snapToGrid w:val="0"/>
              <w:ind w:firstLine="0" w:firstLineChars="0"/>
              <w:outlineLvl w:val="2"/>
              <w:rPr>
                <w:b/>
                <w:bCs/>
              </w:rPr>
            </w:pPr>
            <w:r>
              <w:rPr>
                <w:b/>
                <w:bCs/>
              </w:rPr>
              <w:t>3.2.</w:t>
            </w:r>
            <w:r>
              <w:rPr>
                <w:rFonts w:hint="eastAsia"/>
                <w:b/>
                <w:bCs/>
              </w:rPr>
              <w:t>3</w:t>
            </w:r>
            <w:r>
              <w:rPr>
                <w:b/>
                <w:bCs/>
              </w:rPr>
              <w:t>地下水环境现状</w:t>
            </w:r>
          </w:p>
          <w:p w14:paraId="1E59C6B1">
            <w:pPr>
              <w:pStyle w:val="117"/>
              <w:ind w:firstLine="480"/>
              <w:rPr>
                <w:lang w:val="en-US" w:eastAsia="zh-CN"/>
              </w:rPr>
            </w:pPr>
            <w:r>
              <w:rPr>
                <w:lang w:val="en-US" w:eastAsia="zh-CN"/>
              </w:rPr>
              <w:t>（1）地</w:t>
            </w:r>
            <w:r>
              <w:rPr>
                <w:spacing w:val="2"/>
                <w:lang w:val="en-US" w:eastAsia="zh-CN"/>
              </w:rPr>
              <w:t>下</w:t>
            </w:r>
            <w:r>
              <w:rPr>
                <w:lang w:val="en-US" w:eastAsia="zh-CN"/>
              </w:rPr>
              <w:t>水</w:t>
            </w:r>
            <w:r>
              <w:rPr>
                <w:spacing w:val="2"/>
                <w:lang w:val="en-US" w:eastAsia="zh-CN"/>
              </w:rPr>
              <w:t>监</w:t>
            </w:r>
            <w:r>
              <w:rPr>
                <w:lang w:val="en-US" w:eastAsia="zh-CN"/>
              </w:rPr>
              <w:t>测点位、</w:t>
            </w:r>
            <w:r>
              <w:rPr>
                <w:spacing w:val="2"/>
                <w:lang w:val="en-US" w:eastAsia="zh-CN"/>
              </w:rPr>
              <w:t>时</w:t>
            </w:r>
            <w:r>
              <w:rPr>
                <w:lang w:val="en-US" w:eastAsia="zh-CN"/>
              </w:rPr>
              <w:t>间</w:t>
            </w:r>
            <w:r>
              <w:rPr>
                <w:spacing w:val="2"/>
                <w:lang w:val="en-US" w:eastAsia="zh-CN"/>
              </w:rPr>
              <w:t>、</w:t>
            </w:r>
            <w:r>
              <w:rPr>
                <w:lang w:val="en-US" w:eastAsia="zh-CN"/>
              </w:rPr>
              <w:t>频次与监测项目</w:t>
            </w:r>
          </w:p>
          <w:p w14:paraId="3144FCE2">
            <w:pPr>
              <w:pStyle w:val="117"/>
              <w:ind w:firstLine="480"/>
              <w:rPr>
                <w:lang w:val="en-US" w:eastAsia="zh-CN"/>
              </w:rPr>
            </w:pPr>
            <w:r>
              <w:rPr>
                <w:lang w:val="en-US" w:eastAsia="zh-CN"/>
              </w:rPr>
              <w:t>扩建项目位于江阴港城内，为了解项目所在区域地下水环境质量现状，本报</w:t>
            </w:r>
            <w:r>
              <w:rPr>
                <w:rFonts w:hint="eastAsia"/>
                <w:lang w:val="en-US" w:eastAsia="zh-CN"/>
              </w:rPr>
              <w:t>告监测点位D1引用</w:t>
            </w:r>
            <w:r>
              <w:rPr>
                <w:rFonts w:hint="eastAsia"/>
                <w:szCs w:val="21"/>
                <w:lang w:val="en-US" w:eastAsia="zh-CN"/>
              </w:rPr>
              <w:t>福建省闽测检测技术服务有限公司</w:t>
            </w:r>
            <w:r>
              <w:rPr>
                <w:szCs w:val="21"/>
                <w:lang w:val="en-US" w:eastAsia="zh-CN"/>
              </w:rPr>
              <w:t>202</w:t>
            </w:r>
            <w:r>
              <w:rPr>
                <w:rFonts w:hint="eastAsia"/>
                <w:szCs w:val="21"/>
                <w:lang w:val="en-US" w:eastAsia="zh-CN"/>
              </w:rPr>
              <w:t>4</w:t>
            </w:r>
            <w:r>
              <w:rPr>
                <w:szCs w:val="21"/>
                <w:lang w:val="en-US" w:eastAsia="zh-CN"/>
              </w:rPr>
              <w:t>年</w:t>
            </w:r>
            <w:r>
              <w:rPr>
                <w:rFonts w:hint="eastAsia"/>
                <w:szCs w:val="21"/>
                <w:lang w:val="en-US" w:eastAsia="zh-CN"/>
              </w:rPr>
              <w:t>6</w:t>
            </w:r>
            <w:r>
              <w:rPr>
                <w:szCs w:val="21"/>
                <w:lang w:val="en-US" w:eastAsia="zh-CN"/>
              </w:rPr>
              <w:t>月</w:t>
            </w:r>
            <w:r>
              <w:rPr>
                <w:rFonts w:hint="eastAsia"/>
                <w:szCs w:val="21"/>
                <w:lang w:val="en-US" w:eastAsia="zh-CN"/>
              </w:rPr>
              <w:t>21</w:t>
            </w:r>
            <w:r>
              <w:rPr>
                <w:lang w:val="en-US" w:eastAsia="zh-CN"/>
              </w:rPr>
              <w:t>日</w:t>
            </w:r>
            <w:r>
              <w:rPr>
                <w:rFonts w:hint="eastAsia"/>
                <w:lang w:val="en-US" w:eastAsia="zh-CN"/>
              </w:rPr>
              <w:t>监测数据（监测报告详见附件10），D2、D3、D4</w:t>
            </w:r>
            <w:r>
              <w:rPr>
                <w:lang w:val="en-US" w:eastAsia="zh-CN"/>
              </w:rPr>
              <w:t>引用了福建省化工产品质量检验站</w:t>
            </w:r>
            <w:r>
              <w:rPr>
                <w:rFonts w:hint="eastAsia"/>
                <w:lang w:val="en-US" w:eastAsia="zh-CN"/>
              </w:rPr>
              <w:t>于</w:t>
            </w:r>
            <w:r>
              <w:rPr>
                <w:lang w:val="en-US" w:eastAsia="zh-CN"/>
              </w:rPr>
              <w:t>202</w:t>
            </w:r>
            <w:r>
              <w:rPr>
                <w:rFonts w:hint="eastAsia"/>
                <w:lang w:val="en-US" w:eastAsia="zh-CN"/>
              </w:rPr>
              <w:t>5</w:t>
            </w:r>
            <w:r>
              <w:rPr>
                <w:lang w:val="en-US" w:eastAsia="zh-CN"/>
              </w:rPr>
              <w:t>年</w:t>
            </w:r>
            <w:r>
              <w:rPr>
                <w:rFonts w:hint="eastAsia"/>
                <w:lang w:val="en-US" w:eastAsia="zh-CN"/>
              </w:rPr>
              <w:t>11</w:t>
            </w:r>
            <w:r>
              <w:rPr>
                <w:lang w:val="en-US" w:eastAsia="zh-CN"/>
              </w:rPr>
              <w:t>月</w:t>
            </w:r>
            <w:r>
              <w:rPr>
                <w:rFonts w:hint="eastAsia"/>
                <w:lang w:val="en-US" w:eastAsia="zh-CN"/>
              </w:rPr>
              <w:t>20</w:t>
            </w:r>
            <w:r>
              <w:rPr>
                <w:lang w:val="en-US" w:eastAsia="zh-CN"/>
              </w:rPr>
              <w:t>日</w:t>
            </w:r>
            <w:r>
              <w:rPr>
                <w:rFonts w:hint="eastAsia"/>
                <w:lang w:val="en-US" w:eastAsia="zh-CN"/>
              </w:rPr>
              <w:t>监测</w:t>
            </w:r>
            <w:r>
              <w:rPr>
                <w:lang w:val="en-US" w:eastAsia="zh-CN"/>
              </w:rPr>
              <w:t>数据</w:t>
            </w:r>
            <w:r>
              <w:rPr>
                <w:rFonts w:hint="eastAsia"/>
                <w:lang w:val="en-US" w:eastAsia="zh-CN"/>
              </w:rPr>
              <w:t>（监测报告详见附件8）</w:t>
            </w:r>
            <w:r>
              <w:rPr>
                <w:lang w:val="en-US" w:eastAsia="zh-CN"/>
              </w:rPr>
              <w:t>。</w:t>
            </w:r>
            <w:bookmarkStart w:id="19" w:name="OLE_LINK55"/>
            <w:r>
              <w:rPr>
                <w:rFonts w:hint="eastAsia"/>
                <w:lang w:val="en-US" w:eastAsia="zh-CN"/>
              </w:rPr>
              <w:t>监测点位D5</w:t>
            </w:r>
            <w:r>
              <w:rPr>
                <w:lang w:val="en-US" w:eastAsia="zh-CN"/>
              </w:rPr>
              <w:t>引用</w:t>
            </w:r>
            <w:bookmarkEnd w:id="19"/>
            <w:r>
              <w:rPr>
                <w:rFonts w:hint="eastAsia"/>
                <w:lang w:val="en-US" w:eastAsia="zh-CN"/>
              </w:rPr>
              <w:t>福</w:t>
            </w:r>
            <w:r>
              <w:rPr>
                <w:lang w:val="en-US" w:eastAsia="zh-CN"/>
              </w:rPr>
              <w:t>建创投环境检测有限公司</w:t>
            </w:r>
            <w:r>
              <w:rPr>
                <w:rFonts w:hint="eastAsia"/>
                <w:lang w:val="en-US" w:eastAsia="zh-CN"/>
              </w:rPr>
              <w:t>于2025年4月2日监测</w:t>
            </w:r>
            <w:r>
              <w:rPr>
                <w:lang w:val="en-US" w:eastAsia="zh-CN"/>
              </w:rPr>
              <w:t>数据</w:t>
            </w:r>
            <w:r>
              <w:rPr>
                <w:rFonts w:hint="eastAsia"/>
                <w:lang w:val="en-US" w:eastAsia="zh-CN"/>
              </w:rPr>
              <w:t>（监测报告详见附件11）</w:t>
            </w:r>
            <w:r>
              <w:rPr>
                <w:lang w:val="en-US" w:eastAsia="zh-CN"/>
              </w:rPr>
              <w:t>。地下水监测点位及监测站位图分别见表</w:t>
            </w:r>
            <w:r>
              <w:rPr>
                <w:rFonts w:hint="eastAsia"/>
                <w:lang w:val="en-US" w:eastAsia="zh-CN"/>
              </w:rPr>
              <w:t>3.2-8</w:t>
            </w:r>
            <w:r>
              <w:rPr>
                <w:lang w:val="en-US" w:eastAsia="zh-CN"/>
              </w:rPr>
              <w:t>和图</w:t>
            </w:r>
            <w:r>
              <w:rPr>
                <w:rFonts w:hint="eastAsia"/>
                <w:lang w:val="en-US" w:eastAsia="zh-CN"/>
              </w:rPr>
              <w:t>3.2-3</w:t>
            </w:r>
            <w:r>
              <w:rPr>
                <w:lang w:val="en-US" w:eastAsia="zh-CN"/>
              </w:rPr>
              <w:t>。</w:t>
            </w:r>
          </w:p>
          <w:p w14:paraId="72C7D103">
            <w:pPr>
              <w:spacing w:line="240" w:lineRule="auto"/>
              <w:ind w:firstLine="0" w:firstLineChars="0"/>
              <w:jc w:val="center"/>
              <w:rPr>
                <w:b/>
                <w:szCs w:val="20"/>
              </w:rPr>
            </w:pPr>
            <w:r>
              <w:rPr>
                <w:b/>
                <w:szCs w:val="20"/>
              </w:rPr>
              <w:t>表3.2-</w:t>
            </w:r>
            <w:r>
              <w:rPr>
                <w:rFonts w:hint="eastAsia"/>
                <w:b/>
                <w:szCs w:val="20"/>
              </w:rPr>
              <w:t>8</w:t>
            </w:r>
            <w:r>
              <w:rPr>
                <w:b/>
                <w:szCs w:val="20"/>
              </w:rPr>
              <w:t>地下水监测点位</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331"/>
              <w:gridCol w:w="1741"/>
              <w:gridCol w:w="3620"/>
              <w:gridCol w:w="1275"/>
            </w:tblGrid>
            <w:tr w14:paraId="3D38C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9" w:type="dxa"/>
                  <w:vAlign w:val="center"/>
                </w:tcPr>
                <w:p w14:paraId="768192E9">
                  <w:pPr>
                    <w:widowControl/>
                    <w:adjustRightInd w:val="0"/>
                    <w:snapToGrid w:val="0"/>
                    <w:spacing w:line="240" w:lineRule="auto"/>
                    <w:ind w:firstLine="0" w:firstLineChars="0"/>
                    <w:jc w:val="center"/>
                    <w:textAlignment w:val="bottom"/>
                    <w:rPr>
                      <w:sz w:val="21"/>
                      <w:szCs w:val="21"/>
                    </w:rPr>
                  </w:pPr>
                  <w:r>
                    <w:rPr>
                      <w:sz w:val="21"/>
                      <w:szCs w:val="21"/>
                    </w:rPr>
                    <w:t>编号</w:t>
                  </w:r>
                </w:p>
              </w:tc>
              <w:tc>
                <w:tcPr>
                  <w:tcW w:w="1333" w:type="dxa"/>
                  <w:vAlign w:val="center"/>
                </w:tcPr>
                <w:p w14:paraId="1EDF365A">
                  <w:pPr>
                    <w:widowControl/>
                    <w:adjustRightInd w:val="0"/>
                    <w:snapToGrid w:val="0"/>
                    <w:spacing w:line="240" w:lineRule="auto"/>
                    <w:ind w:firstLine="0" w:firstLineChars="0"/>
                    <w:jc w:val="center"/>
                    <w:textAlignment w:val="bottom"/>
                    <w:rPr>
                      <w:sz w:val="21"/>
                      <w:szCs w:val="21"/>
                    </w:rPr>
                  </w:pPr>
                  <w:r>
                    <w:rPr>
                      <w:rFonts w:hint="eastAsia"/>
                      <w:sz w:val="21"/>
                      <w:szCs w:val="21"/>
                    </w:rPr>
                    <w:t>点位位置</w:t>
                  </w:r>
                </w:p>
              </w:tc>
              <w:tc>
                <w:tcPr>
                  <w:tcW w:w="1741" w:type="dxa"/>
                  <w:vAlign w:val="center"/>
                </w:tcPr>
                <w:p w14:paraId="6DF69BD0">
                  <w:pPr>
                    <w:widowControl/>
                    <w:adjustRightInd w:val="0"/>
                    <w:snapToGrid w:val="0"/>
                    <w:spacing w:line="240" w:lineRule="auto"/>
                    <w:ind w:firstLine="0" w:firstLineChars="0"/>
                    <w:jc w:val="center"/>
                    <w:textAlignment w:val="bottom"/>
                    <w:rPr>
                      <w:sz w:val="21"/>
                      <w:szCs w:val="21"/>
                    </w:rPr>
                  </w:pPr>
                  <w:r>
                    <w:rPr>
                      <w:sz w:val="21"/>
                      <w:szCs w:val="21"/>
                    </w:rPr>
                    <w:t>经纬度</w:t>
                  </w:r>
                </w:p>
              </w:tc>
              <w:tc>
                <w:tcPr>
                  <w:tcW w:w="3625" w:type="dxa"/>
                  <w:vAlign w:val="center"/>
                </w:tcPr>
                <w:p w14:paraId="08CCA06C">
                  <w:pPr>
                    <w:widowControl/>
                    <w:adjustRightInd w:val="0"/>
                    <w:snapToGrid w:val="0"/>
                    <w:spacing w:line="240" w:lineRule="auto"/>
                    <w:ind w:firstLine="0" w:firstLineChars="0"/>
                    <w:jc w:val="center"/>
                    <w:textAlignment w:val="bottom"/>
                    <w:rPr>
                      <w:sz w:val="21"/>
                      <w:szCs w:val="21"/>
                    </w:rPr>
                  </w:pPr>
                  <w:r>
                    <w:rPr>
                      <w:sz w:val="21"/>
                      <w:szCs w:val="21"/>
                    </w:rPr>
                    <w:t>监测项目</w:t>
                  </w:r>
                </w:p>
              </w:tc>
              <w:tc>
                <w:tcPr>
                  <w:tcW w:w="1276" w:type="dxa"/>
                  <w:vAlign w:val="center"/>
                </w:tcPr>
                <w:p w14:paraId="4042E67E">
                  <w:pPr>
                    <w:widowControl/>
                    <w:adjustRightInd w:val="0"/>
                    <w:snapToGrid w:val="0"/>
                    <w:spacing w:line="240" w:lineRule="auto"/>
                    <w:ind w:firstLine="0" w:firstLineChars="0"/>
                    <w:jc w:val="center"/>
                    <w:textAlignment w:val="bottom"/>
                    <w:rPr>
                      <w:sz w:val="21"/>
                      <w:szCs w:val="21"/>
                    </w:rPr>
                  </w:pPr>
                  <w:r>
                    <w:rPr>
                      <w:rFonts w:hint="eastAsia"/>
                      <w:sz w:val="21"/>
                      <w:szCs w:val="21"/>
                    </w:rPr>
                    <w:t>备注</w:t>
                  </w:r>
                </w:p>
              </w:tc>
            </w:tr>
            <w:tr w14:paraId="7D19B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9" w:type="dxa"/>
                  <w:vAlign w:val="center"/>
                </w:tcPr>
                <w:p w14:paraId="5AE6A20E">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D</w:t>
                  </w:r>
                  <w:r>
                    <w:rPr>
                      <w:rFonts w:hint="eastAsia"/>
                      <w:kern w:val="0"/>
                      <w:sz w:val="21"/>
                      <w:szCs w:val="21"/>
                      <w:lang w:bidi="ar"/>
                    </w:rPr>
                    <w:t>1</w:t>
                  </w:r>
                </w:p>
              </w:tc>
              <w:tc>
                <w:tcPr>
                  <w:tcW w:w="1333" w:type="dxa"/>
                  <w:vAlign w:val="center"/>
                </w:tcPr>
                <w:p w14:paraId="0AAC13D8">
                  <w:pPr>
                    <w:adjustRightInd w:val="0"/>
                    <w:snapToGrid w:val="0"/>
                    <w:spacing w:line="240" w:lineRule="auto"/>
                    <w:ind w:firstLine="0" w:firstLineChars="0"/>
                    <w:jc w:val="center"/>
                    <w:textAlignment w:val="bottom"/>
                    <w:rPr>
                      <w:kern w:val="0"/>
                      <w:sz w:val="21"/>
                      <w:szCs w:val="21"/>
                      <w:lang w:bidi="ar"/>
                    </w:rPr>
                  </w:pPr>
                  <w:r>
                    <w:rPr>
                      <w:rFonts w:hint="eastAsia"/>
                      <w:kern w:val="0"/>
                      <w:sz w:val="21"/>
                      <w:szCs w:val="21"/>
                      <w:lang w:bidi="ar"/>
                    </w:rPr>
                    <w:t>项目区上游</w:t>
                  </w:r>
                </w:p>
              </w:tc>
              <w:tc>
                <w:tcPr>
                  <w:tcW w:w="1741" w:type="dxa"/>
                  <w:vAlign w:val="center"/>
                </w:tcPr>
                <w:p w14:paraId="71A13313">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N25.443980556°</w:t>
                  </w:r>
                </w:p>
                <w:p w14:paraId="6D1F1B90">
                  <w:pPr>
                    <w:adjustRightInd w:val="0"/>
                    <w:snapToGrid w:val="0"/>
                    <w:spacing w:line="240" w:lineRule="auto"/>
                    <w:ind w:firstLine="0" w:firstLineChars="0"/>
                    <w:jc w:val="center"/>
                    <w:textAlignment w:val="bottom"/>
                    <w:rPr>
                      <w:sz w:val="21"/>
                      <w:szCs w:val="21"/>
                    </w:rPr>
                  </w:pPr>
                  <w:r>
                    <w:rPr>
                      <w:kern w:val="0"/>
                      <w:sz w:val="21"/>
                      <w:szCs w:val="21"/>
                      <w:lang w:bidi="ar"/>
                    </w:rPr>
                    <w:t>E119.263569444°</w:t>
                  </w:r>
                </w:p>
              </w:tc>
              <w:tc>
                <w:tcPr>
                  <w:tcW w:w="3625" w:type="dxa"/>
                  <w:vAlign w:val="center"/>
                </w:tcPr>
                <w:p w14:paraId="39BAE31B">
                  <w:pPr>
                    <w:widowControl/>
                    <w:adjustRightInd w:val="0"/>
                    <w:snapToGrid w:val="0"/>
                    <w:spacing w:line="240" w:lineRule="auto"/>
                    <w:ind w:firstLine="0" w:firstLineChars="0"/>
                    <w:jc w:val="center"/>
                    <w:textAlignment w:val="bottom"/>
                    <w:rPr>
                      <w:sz w:val="21"/>
                      <w:szCs w:val="21"/>
                    </w:rPr>
                  </w:pPr>
                  <w:r>
                    <w:rPr>
                      <w:sz w:val="21"/>
                      <w:szCs w:val="21"/>
                    </w:rPr>
                    <w:t>pH、总硬度、</w:t>
                  </w:r>
                  <w:r>
                    <w:rPr>
                      <w:rFonts w:hint="eastAsia"/>
                      <w:sz w:val="21"/>
                      <w:szCs w:val="21"/>
                    </w:rPr>
                    <w:t>耗氧量、溶解性总固体、氨氮、硫化物、</w:t>
                  </w:r>
                  <w:r>
                    <w:rPr>
                      <w:sz w:val="21"/>
                      <w:szCs w:val="21"/>
                    </w:rPr>
                    <w:t>挥发性酚类、氰化物、六价铬、砷、汞、氟化物、氯化物、硫酸盐、亚硝酸盐、</w:t>
                  </w:r>
                  <w:r>
                    <w:rPr>
                      <w:rFonts w:hint="eastAsia"/>
                      <w:sz w:val="21"/>
                      <w:szCs w:val="21"/>
                    </w:rPr>
                    <w:t>硝酸盐、</w:t>
                  </w:r>
                  <w:r>
                    <w:rPr>
                      <w:sz w:val="21"/>
                      <w:szCs w:val="21"/>
                    </w:rPr>
                    <w:t>铅、镉、</w:t>
                  </w:r>
                  <w:r>
                    <w:rPr>
                      <w:rFonts w:hint="eastAsia"/>
                      <w:sz w:val="21"/>
                      <w:szCs w:val="21"/>
                    </w:rPr>
                    <w:t>铜、锌</w:t>
                  </w:r>
                  <w:r>
                    <w:rPr>
                      <w:sz w:val="21"/>
                      <w:szCs w:val="21"/>
                    </w:rPr>
                    <w:t>、</w:t>
                  </w:r>
                  <w:r>
                    <w:rPr>
                      <w:rFonts w:hint="eastAsia"/>
                      <w:sz w:val="21"/>
                      <w:szCs w:val="21"/>
                    </w:rPr>
                    <w:t>铁、锰、石油烃（C</w:t>
                  </w:r>
                  <w:r>
                    <w:rPr>
                      <w:rFonts w:hint="eastAsia"/>
                      <w:sz w:val="21"/>
                      <w:szCs w:val="21"/>
                      <w:vertAlign w:val="subscript"/>
                    </w:rPr>
                    <w:t>10</w:t>
                  </w:r>
                  <w:r>
                    <w:rPr>
                      <w:rFonts w:hint="eastAsia"/>
                      <w:sz w:val="21"/>
                      <w:szCs w:val="21"/>
                    </w:rPr>
                    <w:t>-C</w:t>
                  </w:r>
                  <w:r>
                    <w:rPr>
                      <w:rFonts w:hint="eastAsia"/>
                      <w:sz w:val="21"/>
                      <w:szCs w:val="21"/>
                      <w:vertAlign w:val="subscript"/>
                    </w:rPr>
                    <w:t>40</w:t>
                  </w:r>
                  <w:r>
                    <w:rPr>
                      <w:rFonts w:hint="eastAsia"/>
                      <w:sz w:val="21"/>
                      <w:szCs w:val="21"/>
                    </w:rPr>
                    <w:t>）</w:t>
                  </w:r>
                </w:p>
              </w:tc>
              <w:tc>
                <w:tcPr>
                  <w:tcW w:w="1276" w:type="dxa"/>
                  <w:vAlign w:val="center"/>
                </w:tcPr>
                <w:p w14:paraId="64DAEB77">
                  <w:pPr>
                    <w:widowControl/>
                    <w:adjustRightInd w:val="0"/>
                    <w:snapToGrid w:val="0"/>
                    <w:spacing w:line="240" w:lineRule="auto"/>
                    <w:ind w:firstLine="0" w:firstLineChars="0"/>
                    <w:jc w:val="center"/>
                    <w:textAlignment w:val="bottom"/>
                    <w:rPr>
                      <w:sz w:val="21"/>
                      <w:szCs w:val="21"/>
                    </w:rPr>
                  </w:pPr>
                  <w:r>
                    <w:rPr>
                      <w:rFonts w:hint="eastAsia"/>
                      <w:sz w:val="21"/>
                      <w:szCs w:val="21"/>
                    </w:rPr>
                    <w:t>福建省闽测检测技术服务有限公司于2</w:t>
                  </w:r>
                  <w:r>
                    <w:rPr>
                      <w:sz w:val="21"/>
                      <w:szCs w:val="21"/>
                    </w:rPr>
                    <w:t>02</w:t>
                  </w:r>
                  <w:r>
                    <w:rPr>
                      <w:rFonts w:hint="eastAsia"/>
                      <w:sz w:val="21"/>
                      <w:szCs w:val="21"/>
                    </w:rPr>
                    <w:t>4</w:t>
                  </w:r>
                  <w:r>
                    <w:rPr>
                      <w:sz w:val="21"/>
                      <w:szCs w:val="21"/>
                    </w:rPr>
                    <w:t>年</w:t>
                  </w:r>
                  <w:r>
                    <w:rPr>
                      <w:rFonts w:hint="eastAsia"/>
                      <w:sz w:val="21"/>
                      <w:szCs w:val="21"/>
                    </w:rPr>
                    <w:t>6</w:t>
                  </w:r>
                  <w:r>
                    <w:rPr>
                      <w:sz w:val="21"/>
                      <w:szCs w:val="21"/>
                    </w:rPr>
                    <w:t>月</w:t>
                  </w:r>
                  <w:r>
                    <w:rPr>
                      <w:rFonts w:hint="eastAsia"/>
                      <w:sz w:val="21"/>
                      <w:szCs w:val="21"/>
                    </w:rPr>
                    <w:t>21</w:t>
                  </w:r>
                  <w:r>
                    <w:rPr>
                      <w:sz w:val="21"/>
                      <w:szCs w:val="21"/>
                    </w:rPr>
                    <w:t>日</w:t>
                  </w:r>
                  <w:r>
                    <w:rPr>
                      <w:rFonts w:hint="eastAsia"/>
                      <w:sz w:val="21"/>
                      <w:szCs w:val="21"/>
                    </w:rPr>
                    <w:t>监测数据</w:t>
                  </w:r>
                </w:p>
              </w:tc>
            </w:tr>
            <w:tr w14:paraId="761A2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4BE7DC89">
                  <w:pPr>
                    <w:adjustRightInd w:val="0"/>
                    <w:snapToGrid w:val="0"/>
                    <w:spacing w:line="240" w:lineRule="auto"/>
                    <w:ind w:firstLine="0" w:firstLineChars="0"/>
                    <w:jc w:val="center"/>
                    <w:textAlignment w:val="bottom"/>
                    <w:rPr>
                      <w:kern w:val="0"/>
                      <w:sz w:val="21"/>
                      <w:szCs w:val="21"/>
                      <w:lang w:bidi="ar"/>
                    </w:rPr>
                  </w:pPr>
                  <w:r>
                    <w:rPr>
                      <w:rFonts w:hint="eastAsia"/>
                      <w:kern w:val="0"/>
                      <w:sz w:val="21"/>
                      <w:szCs w:val="21"/>
                      <w:lang w:bidi="ar"/>
                    </w:rPr>
                    <w:t>D2</w:t>
                  </w:r>
                </w:p>
              </w:tc>
              <w:tc>
                <w:tcPr>
                  <w:tcW w:w="1333" w:type="dxa"/>
                  <w:vAlign w:val="center"/>
                </w:tcPr>
                <w:p w14:paraId="2842DD0A">
                  <w:pPr>
                    <w:adjustRightInd w:val="0"/>
                    <w:snapToGrid w:val="0"/>
                    <w:spacing w:line="240" w:lineRule="auto"/>
                    <w:ind w:firstLine="0" w:firstLineChars="0"/>
                    <w:jc w:val="center"/>
                    <w:textAlignment w:val="bottom"/>
                    <w:rPr>
                      <w:sz w:val="21"/>
                      <w:szCs w:val="21"/>
                    </w:rPr>
                  </w:pPr>
                  <w:r>
                    <w:rPr>
                      <w:rFonts w:hint="eastAsia"/>
                      <w:kern w:val="0"/>
                      <w:sz w:val="21"/>
                      <w:szCs w:val="21"/>
                      <w:lang w:bidi="ar"/>
                    </w:rPr>
                    <w:t>项目区场地</w:t>
                  </w:r>
                </w:p>
              </w:tc>
              <w:tc>
                <w:tcPr>
                  <w:tcW w:w="1741" w:type="dxa"/>
                  <w:vAlign w:val="center"/>
                </w:tcPr>
                <w:p w14:paraId="39B642EF">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N2</w:t>
                  </w:r>
                  <w:r>
                    <w:rPr>
                      <w:rFonts w:hint="eastAsia"/>
                      <w:kern w:val="0"/>
                      <w:sz w:val="21"/>
                      <w:szCs w:val="21"/>
                      <w:lang w:bidi="ar"/>
                    </w:rPr>
                    <w:t>5</w:t>
                  </w:r>
                  <w:r>
                    <w:rPr>
                      <w:kern w:val="0"/>
                      <w:sz w:val="21"/>
                      <w:szCs w:val="21"/>
                      <w:lang w:bidi="ar"/>
                    </w:rPr>
                    <w:t>°</w:t>
                  </w:r>
                  <w:r>
                    <w:rPr>
                      <w:rFonts w:hint="eastAsia"/>
                      <w:kern w:val="0"/>
                      <w:sz w:val="21"/>
                      <w:szCs w:val="21"/>
                      <w:lang w:bidi="ar"/>
                    </w:rPr>
                    <w:t>26</w:t>
                  </w:r>
                  <w:r>
                    <w:rPr>
                      <w:kern w:val="0"/>
                      <w:sz w:val="21"/>
                      <w:szCs w:val="21"/>
                      <w:lang w:bidi="ar"/>
                    </w:rPr>
                    <w:t>′</w:t>
                  </w:r>
                  <w:r>
                    <w:rPr>
                      <w:rFonts w:hint="eastAsia"/>
                      <w:kern w:val="0"/>
                      <w:sz w:val="21"/>
                      <w:szCs w:val="21"/>
                      <w:lang w:bidi="ar"/>
                    </w:rPr>
                    <w:t>10</w:t>
                  </w:r>
                  <w:r>
                    <w:rPr>
                      <w:kern w:val="0"/>
                      <w:sz w:val="21"/>
                      <w:szCs w:val="21"/>
                      <w:lang w:bidi="ar"/>
                    </w:rPr>
                    <w:t>"</w:t>
                  </w:r>
                </w:p>
                <w:p w14:paraId="4422AC6C">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E1</w:t>
                  </w:r>
                  <w:r>
                    <w:rPr>
                      <w:rFonts w:hint="eastAsia"/>
                      <w:kern w:val="0"/>
                      <w:sz w:val="21"/>
                      <w:szCs w:val="21"/>
                      <w:lang w:bidi="ar"/>
                    </w:rPr>
                    <w:t>19</w:t>
                  </w:r>
                  <w:r>
                    <w:rPr>
                      <w:kern w:val="0"/>
                      <w:sz w:val="21"/>
                      <w:szCs w:val="21"/>
                      <w:lang w:bidi="ar"/>
                    </w:rPr>
                    <w:t>°</w:t>
                  </w:r>
                  <w:r>
                    <w:rPr>
                      <w:rFonts w:hint="eastAsia"/>
                      <w:kern w:val="0"/>
                      <w:sz w:val="21"/>
                      <w:szCs w:val="21"/>
                      <w:lang w:bidi="ar"/>
                    </w:rPr>
                    <w:t>15</w:t>
                  </w:r>
                  <w:r>
                    <w:rPr>
                      <w:kern w:val="0"/>
                      <w:sz w:val="21"/>
                      <w:szCs w:val="21"/>
                      <w:lang w:bidi="ar"/>
                    </w:rPr>
                    <w:t>′</w:t>
                  </w:r>
                  <w:r>
                    <w:rPr>
                      <w:rFonts w:hint="eastAsia"/>
                      <w:kern w:val="0"/>
                      <w:sz w:val="21"/>
                      <w:szCs w:val="21"/>
                      <w:lang w:bidi="ar"/>
                    </w:rPr>
                    <w:t>50</w:t>
                  </w:r>
                  <w:r>
                    <w:rPr>
                      <w:kern w:val="0"/>
                      <w:sz w:val="21"/>
                      <w:szCs w:val="21"/>
                      <w:lang w:bidi="ar"/>
                    </w:rPr>
                    <w:t>"</w:t>
                  </w:r>
                </w:p>
              </w:tc>
              <w:tc>
                <w:tcPr>
                  <w:tcW w:w="3625" w:type="dxa"/>
                  <w:vMerge w:val="restart"/>
                  <w:vAlign w:val="center"/>
                </w:tcPr>
                <w:p w14:paraId="6A129D99">
                  <w:pPr>
                    <w:widowControl/>
                    <w:adjustRightInd w:val="0"/>
                    <w:snapToGrid w:val="0"/>
                    <w:spacing w:line="240" w:lineRule="auto"/>
                    <w:ind w:firstLine="0" w:firstLineChars="0"/>
                    <w:jc w:val="center"/>
                    <w:textAlignment w:val="bottom"/>
                    <w:rPr>
                      <w:sz w:val="21"/>
                      <w:szCs w:val="21"/>
                    </w:rPr>
                  </w:pPr>
                  <w:r>
                    <w:rPr>
                      <w:sz w:val="21"/>
                      <w:szCs w:val="21"/>
                    </w:rPr>
                    <w:t>pH、总硬度、</w:t>
                  </w:r>
                  <w:r>
                    <w:rPr>
                      <w:rFonts w:hint="eastAsia"/>
                      <w:sz w:val="21"/>
                      <w:szCs w:val="21"/>
                    </w:rPr>
                    <w:t>耗氧量、溶解性总固体、氨氮、硫化物、</w:t>
                  </w:r>
                  <w:r>
                    <w:rPr>
                      <w:sz w:val="21"/>
                      <w:szCs w:val="21"/>
                    </w:rPr>
                    <w:t>挥发性酚类、氰化物、六价铬、砷、汞、氟化物、氯化物、硫酸盐、亚硝酸盐、</w:t>
                  </w:r>
                  <w:r>
                    <w:rPr>
                      <w:rFonts w:hint="eastAsia"/>
                      <w:sz w:val="21"/>
                      <w:szCs w:val="21"/>
                    </w:rPr>
                    <w:t>硝酸盐、</w:t>
                  </w:r>
                  <w:r>
                    <w:rPr>
                      <w:sz w:val="21"/>
                      <w:szCs w:val="21"/>
                    </w:rPr>
                    <w:t>铅、镉、</w:t>
                  </w:r>
                  <w:r>
                    <w:rPr>
                      <w:rFonts w:hint="eastAsia"/>
                      <w:sz w:val="21"/>
                      <w:szCs w:val="21"/>
                    </w:rPr>
                    <w:t>铜、锌</w:t>
                  </w:r>
                  <w:r>
                    <w:rPr>
                      <w:sz w:val="21"/>
                      <w:szCs w:val="21"/>
                    </w:rPr>
                    <w:t>、</w:t>
                  </w:r>
                  <w:r>
                    <w:rPr>
                      <w:rFonts w:hint="eastAsia"/>
                      <w:sz w:val="21"/>
                      <w:szCs w:val="21"/>
                    </w:rPr>
                    <w:t>铁、锰、</w:t>
                  </w:r>
                  <w:r>
                    <w:rPr>
                      <w:sz w:val="21"/>
                      <w:szCs w:val="21"/>
                    </w:rPr>
                    <w:t>K</w:t>
                  </w:r>
                  <w:r>
                    <w:rPr>
                      <w:sz w:val="21"/>
                      <w:szCs w:val="21"/>
                      <w:vertAlign w:val="superscript"/>
                    </w:rPr>
                    <w:t>+</w:t>
                  </w:r>
                  <w:r>
                    <w:rPr>
                      <w:sz w:val="21"/>
                      <w:szCs w:val="21"/>
                    </w:rPr>
                    <w:t>、Ca</w:t>
                  </w:r>
                  <w:r>
                    <w:rPr>
                      <w:sz w:val="21"/>
                      <w:szCs w:val="21"/>
                      <w:vertAlign w:val="superscript"/>
                    </w:rPr>
                    <w:t>2+</w:t>
                  </w:r>
                  <w:r>
                    <w:rPr>
                      <w:sz w:val="21"/>
                      <w:szCs w:val="21"/>
                    </w:rPr>
                    <w:t>、Mg</w:t>
                  </w:r>
                  <w:r>
                    <w:rPr>
                      <w:sz w:val="21"/>
                      <w:szCs w:val="21"/>
                      <w:vertAlign w:val="superscript"/>
                    </w:rPr>
                    <w:t>2+</w:t>
                  </w:r>
                  <w:r>
                    <w:rPr>
                      <w:rFonts w:hint="eastAsia"/>
                      <w:sz w:val="21"/>
                      <w:szCs w:val="21"/>
                    </w:rPr>
                    <w:t>、石油烃（C</w:t>
                  </w:r>
                  <w:r>
                    <w:rPr>
                      <w:rFonts w:hint="eastAsia"/>
                      <w:sz w:val="21"/>
                      <w:szCs w:val="21"/>
                      <w:vertAlign w:val="subscript"/>
                    </w:rPr>
                    <w:t>10</w:t>
                  </w:r>
                  <w:r>
                    <w:rPr>
                      <w:rFonts w:hint="eastAsia"/>
                      <w:sz w:val="21"/>
                      <w:szCs w:val="21"/>
                    </w:rPr>
                    <w:t>-C</w:t>
                  </w:r>
                  <w:r>
                    <w:rPr>
                      <w:rFonts w:hint="eastAsia"/>
                      <w:sz w:val="21"/>
                      <w:szCs w:val="21"/>
                      <w:vertAlign w:val="subscript"/>
                    </w:rPr>
                    <w:t>40</w:t>
                  </w:r>
                  <w:r>
                    <w:rPr>
                      <w:rFonts w:hint="eastAsia"/>
                      <w:sz w:val="21"/>
                      <w:szCs w:val="21"/>
                    </w:rPr>
                    <w:t>）</w:t>
                  </w:r>
                </w:p>
              </w:tc>
              <w:tc>
                <w:tcPr>
                  <w:tcW w:w="1276" w:type="dxa"/>
                  <w:vMerge w:val="restart"/>
                  <w:vAlign w:val="center"/>
                </w:tcPr>
                <w:p w14:paraId="153D0CFB">
                  <w:pPr>
                    <w:widowControl/>
                    <w:adjustRightInd w:val="0"/>
                    <w:snapToGrid w:val="0"/>
                    <w:spacing w:line="240" w:lineRule="auto"/>
                    <w:ind w:firstLine="0" w:firstLineChars="0"/>
                    <w:jc w:val="center"/>
                    <w:textAlignment w:val="bottom"/>
                    <w:rPr>
                      <w:sz w:val="21"/>
                      <w:szCs w:val="21"/>
                    </w:rPr>
                  </w:pPr>
                  <w:r>
                    <w:rPr>
                      <w:sz w:val="21"/>
                      <w:szCs w:val="21"/>
                    </w:rPr>
                    <w:t>福建省化工产品质量检验站</w:t>
                  </w:r>
                  <w:r>
                    <w:rPr>
                      <w:rFonts w:hint="eastAsia"/>
                      <w:sz w:val="21"/>
                      <w:szCs w:val="21"/>
                    </w:rPr>
                    <w:t>于2025年11月20日的监测数据</w:t>
                  </w:r>
                </w:p>
              </w:tc>
            </w:tr>
            <w:tr w14:paraId="65B29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574C3EEA">
                  <w:pPr>
                    <w:adjustRightInd w:val="0"/>
                    <w:snapToGrid w:val="0"/>
                    <w:spacing w:line="240" w:lineRule="auto"/>
                    <w:ind w:firstLine="0" w:firstLineChars="0"/>
                    <w:jc w:val="center"/>
                    <w:textAlignment w:val="bottom"/>
                    <w:rPr>
                      <w:kern w:val="0"/>
                      <w:sz w:val="21"/>
                      <w:szCs w:val="21"/>
                      <w:lang w:bidi="ar"/>
                    </w:rPr>
                  </w:pPr>
                  <w:r>
                    <w:rPr>
                      <w:rFonts w:hint="eastAsia"/>
                      <w:kern w:val="0"/>
                      <w:sz w:val="21"/>
                      <w:szCs w:val="21"/>
                      <w:lang w:bidi="ar"/>
                    </w:rPr>
                    <w:t>D3</w:t>
                  </w:r>
                </w:p>
              </w:tc>
              <w:tc>
                <w:tcPr>
                  <w:tcW w:w="1333" w:type="dxa"/>
                  <w:vAlign w:val="center"/>
                </w:tcPr>
                <w:p w14:paraId="74083AB2">
                  <w:pPr>
                    <w:adjustRightInd w:val="0"/>
                    <w:snapToGrid w:val="0"/>
                    <w:spacing w:line="240" w:lineRule="auto"/>
                    <w:ind w:firstLine="0" w:firstLineChars="0"/>
                    <w:jc w:val="center"/>
                    <w:textAlignment w:val="bottom"/>
                    <w:rPr>
                      <w:sz w:val="21"/>
                      <w:szCs w:val="21"/>
                    </w:rPr>
                  </w:pPr>
                  <w:r>
                    <w:rPr>
                      <w:rFonts w:hint="eastAsia"/>
                      <w:kern w:val="0"/>
                      <w:sz w:val="21"/>
                      <w:szCs w:val="21"/>
                      <w:lang w:bidi="ar"/>
                    </w:rPr>
                    <w:t>项目区</w:t>
                  </w:r>
                  <w:r>
                    <w:rPr>
                      <w:rFonts w:hint="eastAsia"/>
                      <w:sz w:val="21"/>
                      <w:szCs w:val="21"/>
                    </w:rPr>
                    <w:t>西侧</w:t>
                  </w:r>
                </w:p>
              </w:tc>
              <w:tc>
                <w:tcPr>
                  <w:tcW w:w="1741" w:type="dxa"/>
                  <w:vAlign w:val="center"/>
                </w:tcPr>
                <w:p w14:paraId="22D4C498">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N2</w:t>
                  </w:r>
                  <w:r>
                    <w:rPr>
                      <w:rFonts w:hint="eastAsia"/>
                      <w:kern w:val="0"/>
                      <w:sz w:val="21"/>
                      <w:szCs w:val="21"/>
                      <w:lang w:bidi="ar"/>
                    </w:rPr>
                    <w:t>5</w:t>
                  </w:r>
                  <w:r>
                    <w:rPr>
                      <w:kern w:val="0"/>
                      <w:sz w:val="21"/>
                      <w:szCs w:val="21"/>
                      <w:lang w:bidi="ar"/>
                    </w:rPr>
                    <w:t>°</w:t>
                  </w:r>
                  <w:r>
                    <w:rPr>
                      <w:rFonts w:hint="eastAsia"/>
                      <w:kern w:val="0"/>
                      <w:sz w:val="21"/>
                      <w:szCs w:val="21"/>
                      <w:lang w:bidi="ar"/>
                    </w:rPr>
                    <w:t>26</w:t>
                  </w:r>
                  <w:r>
                    <w:rPr>
                      <w:kern w:val="0"/>
                      <w:sz w:val="21"/>
                      <w:szCs w:val="21"/>
                      <w:lang w:bidi="ar"/>
                    </w:rPr>
                    <w:t>′</w:t>
                  </w:r>
                  <w:r>
                    <w:rPr>
                      <w:rFonts w:hint="eastAsia"/>
                      <w:kern w:val="0"/>
                      <w:sz w:val="21"/>
                      <w:szCs w:val="21"/>
                      <w:lang w:bidi="ar"/>
                    </w:rPr>
                    <w:t>2</w:t>
                  </w:r>
                  <w:r>
                    <w:rPr>
                      <w:kern w:val="0"/>
                      <w:sz w:val="21"/>
                      <w:szCs w:val="21"/>
                      <w:lang w:bidi="ar"/>
                    </w:rPr>
                    <w:t>"</w:t>
                  </w:r>
                </w:p>
                <w:p w14:paraId="7249DB4B">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E1</w:t>
                  </w:r>
                  <w:r>
                    <w:rPr>
                      <w:rFonts w:hint="eastAsia"/>
                      <w:kern w:val="0"/>
                      <w:sz w:val="21"/>
                      <w:szCs w:val="21"/>
                      <w:lang w:bidi="ar"/>
                    </w:rPr>
                    <w:t>19</w:t>
                  </w:r>
                  <w:r>
                    <w:rPr>
                      <w:kern w:val="0"/>
                      <w:sz w:val="21"/>
                      <w:szCs w:val="21"/>
                      <w:lang w:bidi="ar"/>
                    </w:rPr>
                    <w:t>°</w:t>
                  </w:r>
                  <w:r>
                    <w:rPr>
                      <w:rFonts w:hint="eastAsia"/>
                      <w:kern w:val="0"/>
                      <w:sz w:val="21"/>
                      <w:szCs w:val="21"/>
                      <w:lang w:bidi="ar"/>
                    </w:rPr>
                    <w:t>15</w:t>
                  </w:r>
                  <w:r>
                    <w:rPr>
                      <w:kern w:val="0"/>
                      <w:sz w:val="21"/>
                      <w:szCs w:val="21"/>
                      <w:lang w:bidi="ar"/>
                    </w:rPr>
                    <w:t>′</w:t>
                  </w:r>
                  <w:r>
                    <w:rPr>
                      <w:rFonts w:hint="eastAsia"/>
                      <w:kern w:val="0"/>
                      <w:sz w:val="21"/>
                      <w:szCs w:val="21"/>
                      <w:lang w:bidi="ar"/>
                    </w:rPr>
                    <w:t>30</w:t>
                  </w:r>
                  <w:r>
                    <w:rPr>
                      <w:kern w:val="0"/>
                      <w:sz w:val="21"/>
                      <w:szCs w:val="21"/>
                      <w:lang w:bidi="ar"/>
                    </w:rPr>
                    <w:t>"</w:t>
                  </w:r>
                </w:p>
              </w:tc>
              <w:tc>
                <w:tcPr>
                  <w:tcW w:w="3625" w:type="dxa"/>
                  <w:vMerge w:val="continue"/>
                  <w:vAlign w:val="center"/>
                </w:tcPr>
                <w:p w14:paraId="3A4B9FB1">
                  <w:pPr>
                    <w:adjustRightInd w:val="0"/>
                    <w:snapToGrid w:val="0"/>
                    <w:spacing w:line="240" w:lineRule="auto"/>
                    <w:ind w:firstLine="0" w:firstLineChars="0"/>
                    <w:jc w:val="center"/>
                    <w:textAlignment w:val="bottom"/>
                    <w:rPr>
                      <w:sz w:val="21"/>
                      <w:szCs w:val="21"/>
                    </w:rPr>
                  </w:pPr>
                </w:p>
              </w:tc>
              <w:tc>
                <w:tcPr>
                  <w:tcW w:w="1276" w:type="dxa"/>
                  <w:vMerge w:val="continue"/>
                  <w:vAlign w:val="center"/>
                </w:tcPr>
                <w:p w14:paraId="68D52EC3">
                  <w:pPr>
                    <w:widowControl/>
                    <w:adjustRightInd w:val="0"/>
                    <w:snapToGrid w:val="0"/>
                    <w:spacing w:line="240" w:lineRule="auto"/>
                    <w:ind w:firstLine="0" w:firstLineChars="0"/>
                    <w:jc w:val="center"/>
                    <w:textAlignment w:val="bottom"/>
                    <w:rPr>
                      <w:sz w:val="21"/>
                      <w:szCs w:val="21"/>
                    </w:rPr>
                  </w:pPr>
                </w:p>
              </w:tc>
            </w:tr>
            <w:tr w14:paraId="633BB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2664F6A1">
                  <w:pPr>
                    <w:adjustRightInd w:val="0"/>
                    <w:snapToGrid w:val="0"/>
                    <w:spacing w:line="240" w:lineRule="auto"/>
                    <w:ind w:firstLine="0" w:firstLineChars="0"/>
                    <w:jc w:val="center"/>
                    <w:textAlignment w:val="bottom"/>
                    <w:rPr>
                      <w:kern w:val="0"/>
                      <w:sz w:val="21"/>
                      <w:szCs w:val="21"/>
                      <w:lang w:bidi="ar"/>
                    </w:rPr>
                  </w:pPr>
                  <w:r>
                    <w:rPr>
                      <w:rFonts w:hint="eastAsia"/>
                      <w:kern w:val="0"/>
                      <w:sz w:val="21"/>
                      <w:szCs w:val="21"/>
                      <w:lang w:bidi="ar"/>
                    </w:rPr>
                    <w:t>D4</w:t>
                  </w:r>
                </w:p>
              </w:tc>
              <w:tc>
                <w:tcPr>
                  <w:tcW w:w="1333" w:type="dxa"/>
                  <w:vAlign w:val="center"/>
                </w:tcPr>
                <w:p w14:paraId="2F29B080">
                  <w:pPr>
                    <w:adjustRightInd w:val="0"/>
                    <w:snapToGrid w:val="0"/>
                    <w:spacing w:line="240" w:lineRule="auto"/>
                    <w:ind w:firstLine="0" w:firstLineChars="0"/>
                    <w:jc w:val="center"/>
                    <w:textAlignment w:val="bottom"/>
                    <w:rPr>
                      <w:sz w:val="21"/>
                      <w:szCs w:val="21"/>
                    </w:rPr>
                  </w:pPr>
                  <w:r>
                    <w:rPr>
                      <w:rFonts w:hint="eastAsia"/>
                      <w:kern w:val="0"/>
                      <w:sz w:val="21"/>
                      <w:szCs w:val="21"/>
                      <w:lang w:bidi="ar"/>
                    </w:rPr>
                    <w:t>项目区下游</w:t>
                  </w:r>
                </w:p>
              </w:tc>
              <w:tc>
                <w:tcPr>
                  <w:tcW w:w="1741" w:type="dxa"/>
                  <w:vAlign w:val="center"/>
                </w:tcPr>
                <w:p w14:paraId="763BCA7F">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N2</w:t>
                  </w:r>
                  <w:r>
                    <w:rPr>
                      <w:rFonts w:hint="eastAsia"/>
                      <w:kern w:val="0"/>
                      <w:sz w:val="21"/>
                      <w:szCs w:val="21"/>
                      <w:lang w:bidi="ar"/>
                    </w:rPr>
                    <w:t>5</w:t>
                  </w:r>
                  <w:r>
                    <w:rPr>
                      <w:kern w:val="0"/>
                      <w:sz w:val="21"/>
                      <w:szCs w:val="21"/>
                      <w:lang w:bidi="ar"/>
                    </w:rPr>
                    <w:t>°</w:t>
                  </w:r>
                  <w:r>
                    <w:rPr>
                      <w:rFonts w:hint="eastAsia"/>
                      <w:kern w:val="0"/>
                      <w:sz w:val="21"/>
                      <w:szCs w:val="21"/>
                      <w:lang w:bidi="ar"/>
                    </w:rPr>
                    <w:t>25</w:t>
                  </w:r>
                  <w:r>
                    <w:rPr>
                      <w:kern w:val="0"/>
                      <w:sz w:val="21"/>
                      <w:szCs w:val="21"/>
                      <w:lang w:bidi="ar"/>
                    </w:rPr>
                    <w:t>′</w:t>
                  </w:r>
                  <w:r>
                    <w:rPr>
                      <w:rFonts w:hint="eastAsia"/>
                      <w:kern w:val="0"/>
                      <w:sz w:val="21"/>
                      <w:szCs w:val="21"/>
                      <w:lang w:bidi="ar"/>
                    </w:rPr>
                    <w:t>58</w:t>
                  </w:r>
                  <w:r>
                    <w:rPr>
                      <w:kern w:val="0"/>
                      <w:sz w:val="21"/>
                      <w:szCs w:val="21"/>
                      <w:lang w:bidi="ar"/>
                    </w:rPr>
                    <w:t>"</w:t>
                  </w:r>
                </w:p>
                <w:p w14:paraId="3AAA791C">
                  <w:pPr>
                    <w:adjustRightInd w:val="0"/>
                    <w:snapToGrid w:val="0"/>
                    <w:spacing w:line="240" w:lineRule="auto"/>
                    <w:ind w:firstLine="0" w:firstLineChars="0"/>
                    <w:jc w:val="center"/>
                    <w:textAlignment w:val="bottom"/>
                    <w:rPr>
                      <w:kern w:val="0"/>
                      <w:sz w:val="21"/>
                      <w:szCs w:val="21"/>
                      <w:lang w:bidi="ar"/>
                    </w:rPr>
                  </w:pPr>
                  <w:r>
                    <w:rPr>
                      <w:kern w:val="0"/>
                      <w:sz w:val="21"/>
                      <w:szCs w:val="21"/>
                      <w:lang w:bidi="ar"/>
                    </w:rPr>
                    <w:t>E1</w:t>
                  </w:r>
                  <w:r>
                    <w:rPr>
                      <w:rFonts w:hint="eastAsia"/>
                      <w:kern w:val="0"/>
                      <w:sz w:val="21"/>
                      <w:szCs w:val="21"/>
                      <w:lang w:bidi="ar"/>
                    </w:rPr>
                    <w:t>19</w:t>
                  </w:r>
                  <w:r>
                    <w:rPr>
                      <w:kern w:val="0"/>
                      <w:sz w:val="21"/>
                      <w:szCs w:val="21"/>
                      <w:lang w:bidi="ar"/>
                    </w:rPr>
                    <w:t>°</w:t>
                  </w:r>
                  <w:r>
                    <w:rPr>
                      <w:rFonts w:hint="eastAsia"/>
                      <w:kern w:val="0"/>
                      <w:sz w:val="21"/>
                      <w:szCs w:val="21"/>
                      <w:lang w:bidi="ar"/>
                    </w:rPr>
                    <w:t>15</w:t>
                  </w:r>
                  <w:r>
                    <w:rPr>
                      <w:kern w:val="0"/>
                      <w:sz w:val="21"/>
                      <w:szCs w:val="21"/>
                      <w:lang w:bidi="ar"/>
                    </w:rPr>
                    <w:t>′</w:t>
                  </w:r>
                  <w:r>
                    <w:rPr>
                      <w:rFonts w:hint="eastAsia"/>
                      <w:kern w:val="0"/>
                      <w:sz w:val="21"/>
                      <w:szCs w:val="21"/>
                      <w:lang w:bidi="ar"/>
                    </w:rPr>
                    <w:t>43</w:t>
                  </w:r>
                  <w:r>
                    <w:rPr>
                      <w:kern w:val="0"/>
                      <w:sz w:val="21"/>
                      <w:szCs w:val="21"/>
                      <w:lang w:bidi="ar"/>
                    </w:rPr>
                    <w:t>"</w:t>
                  </w:r>
                </w:p>
              </w:tc>
              <w:tc>
                <w:tcPr>
                  <w:tcW w:w="3625" w:type="dxa"/>
                  <w:vMerge w:val="continue"/>
                  <w:vAlign w:val="center"/>
                </w:tcPr>
                <w:p w14:paraId="57D21615">
                  <w:pPr>
                    <w:adjustRightInd w:val="0"/>
                    <w:snapToGrid w:val="0"/>
                    <w:spacing w:line="240" w:lineRule="auto"/>
                    <w:ind w:firstLine="0" w:firstLineChars="0"/>
                    <w:jc w:val="center"/>
                    <w:textAlignment w:val="bottom"/>
                    <w:rPr>
                      <w:sz w:val="21"/>
                      <w:szCs w:val="21"/>
                    </w:rPr>
                  </w:pPr>
                </w:p>
              </w:tc>
              <w:tc>
                <w:tcPr>
                  <w:tcW w:w="1276" w:type="dxa"/>
                  <w:vMerge w:val="continue"/>
                  <w:vAlign w:val="center"/>
                </w:tcPr>
                <w:p w14:paraId="3DFA9C99">
                  <w:pPr>
                    <w:widowControl/>
                    <w:adjustRightInd w:val="0"/>
                    <w:snapToGrid w:val="0"/>
                    <w:spacing w:line="240" w:lineRule="auto"/>
                    <w:ind w:firstLine="0" w:firstLineChars="0"/>
                    <w:jc w:val="center"/>
                    <w:textAlignment w:val="bottom"/>
                    <w:rPr>
                      <w:sz w:val="21"/>
                      <w:szCs w:val="21"/>
                    </w:rPr>
                  </w:pPr>
                </w:p>
              </w:tc>
            </w:tr>
            <w:tr w14:paraId="04F8E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15F9F2A0">
                  <w:pPr>
                    <w:adjustRightInd w:val="0"/>
                    <w:snapToGrid w:val="0"/>
                    <w:spacing w:line="240" w:lineRule="auto"/>
                    <w:ind w:firstLine="0" w:firstLineChars="0"/>
                    <w:jc w:val="center"/>
                    <w:textAlignment w:val="bottom"/>
                    <w:rPr>
                      <w:kern w:val="0"/>
                      <w:sz w:val="21"/>
                      <w:szCs w:val="21"/>
                      <w:lang w:bidi="ar"/>
                    </w:rPr>
                  </w:pPr>
                  <w:r>
                    <w:rPr>
                      <w:rFonts w:hint="eastAsia"/>
                      <w:kern w:val="0"/>
                      <w:sz w:val="21"/>
                      <w:szCs w:val="21"/>
                      <w:lang w:bidi="ar"/>
                    </w:rPr>
                    <w:t>D5</w:t>
                  </w:r>
                </w:p>
              </w:tc>
              <w:tc>
                <w:tcPr>
                  <w:tcW w:w="1333" w:type="dxa"/>
                  <w:vAlign w:val="center"/>
                </w:tcPr>
                <w:p w14:paraId="7E048471">
                  <w:pPr>
                    <w:adjustRightInd w:val="0"/>
                    <w:snapToGrid w:val="0"/>
                    <w:spacing w:line="240" w:lineRule="auto"/>
                    <w:ind w:firstLine="0" w:firstLineChars="0"/>
                    <w:jc w:val="center"/>
                    <w:textAlignment w:val="bottom"/>
                    <w:rPr>
                      <w:sz w:val="21"/>
                      <w:szCs w:val="21"/>
                    </w:rPr>
                  </w:pPr>
                  <w:r>
                    <w:rPr>
                      <w:rFonts w:hint="eastAsia"/>
                      <w:kern w:val="0"/>
                      <w:sz w:val="21"/>
                      <w:szCs w:val="21"/>
                      <w:lang w:bidi="ar"/>
                    </w:rPr>
                    <w:t>项目区</w:t>
                  </w:r>
                  <w:r>
                    <w:rPr>
                      <w:rFonts w:hint="eastAsia"/>
                      <w:sz w:val="21"/>
                      <w:szCs w:val="21"/>
                    </w:rPr>
                    <w:t>东侧</w:t>
                  </w:r>
                </w:p>
              </w:tc>
              <w:tc>
                <w:tcPr>
                  <w:tcW w:w="1741" w:type="dxa"/>
                  <w:vAlign w:val="center"/>
                </w:tcPr>
                <w:p w14:paraId="45F74D39">
                  <w:pPr>
                    <w:adjustRightInd w:val="0"/>
                    <w:snapToGrid w:val="0"/>
                    <w:spacing w:line="240" w:lineRule="auto"/>
                    <w:ind w:firstLine="0" w:firstLineChars="0"/>
                    <w:jc w:val="center"/>
                    <w:textAlignment w:val="bottom"/>
                    <w:rPr>
                      <w:sz w:val="21"/>
                      <w:szCs w:val="21"/>
                    </w:rPr>
                  </w:pPr>
                  <w:r>
                    <w:rPr>
                      <w:sz w:val="21"/>
                      <w:szCs w:val="21"/>
                    </w:rPr>
                    <w:t>N</w:t>
                  </w:r>
                  <w:r>
                    <w:rPr>
                      <w:sz w:val="21"/>
                      <w:szCs w:val="21"/>
                      <w:lang w:bidi="ar"/>
                    </w:rPr>
                    <w:t xml:space="preserve"> 25.42777°</w:t>
                  </w:r>
                </w:p>
                <w:p w14:paraId="2D6246E9">
                  <w:pPr>
                    <w:adjustRightInd w:val="0"/>
                    <w:snapToGrid w:val="0"/>
                    <w:spacing w:line="240" w:lineRule="auto"/>
                    <w:ind w:firstLine="0" w:firstLineChars="0"/>
                    <w:jc w:val="center"/>
                    <w:textAlignment w:val="bottom"/>
                    <w:rPr>
                      <w:sz w:val="21"/>
                      <w:szCs w:val="21"/>
                    </w:rPr>
                  </w:pPr>
                  <w:r>
                    <w:rPr>
                      <w:sz w:val="21"/>
                      <w:szCs w:val="21"/>
                    </w:rPr>
                    <w:t>E</w:t>
                  </w:r>
                  <w:r>
                    <w:rPr>
                      <w:sz w:val="21"/>
                      <w:szCs w:val="21"/>
                      <w:lang w:bidi="ar"/>
                    </w:rPr>
                    <w:t xml:space="preserve"> 119.27531°</w:t>
                  </w:r>
                </w:p>
              </w:tc>
              <w:tc>
                <w:tcPr>
                  <w:tcW w:w="3625" w:type="dxa"/>
                  <w:vAlign w:val="center"/>
                </w:tcPr>
                <w:p w14:paraId="3ED87801">
                  <w:pPr>
                    <w:adjustRightInd w:val="0"/>
                    <w:snapToGrid w:val="0"/>
                    <w:spacing w:line="240" w:lineRule="auto"/>
                    <w:ind w:firstLine="0" w:firstLineChars="0"/>
                    <w:jc w:val="center"/>
                    <w:textAlignment w:val="bottom"/>
                    <w:rPr>
                      <w:sz w:val="21"/>
                      <w:szCs w:val="21"/>
                    </w:rPr>
                  </w:pPr>
                  <w:r>
                    <w:rPr>
                      <w:sz w:val="21"/>
                      <w:szCs w:val="21"/>
                    </w:rPr>
                    <w:t>pH、总硬度、</w:t>
                  </w:r>
                  <w:r>
                    <w:rPr>
                      <w:rFonts w:hint="eastAsia"/>
                      <w:sz w:val="21"/>
                      <w:szCs w:val="21"/>
                    </w:rPr>
                    <w:t>耗氧量、溶解性总固体、氨氮、硫化物、</w:t>
                  </w:r>
                  <w:r>
                    <w:rPr>
                      <w:sz w:val="21"/>
                      <w:szCs w:val="21"/>
                    </w:rPr>
                    <w:t>挥发性酚类、氰化物、六价铬、砷、汞、氟化物、氯化物、硫酸盐、亚硝酸盐、</w:t>
                  </w:r>
                  <w:r>
                    <w:rPr>
                      <w:rFonts w:hint="eastAsia"/>
                      <w:sz w:val="21"/>
                      <w:szCs w:val="21"/>
                    </w:rPr>
                    <w:t>硝酸盐、</w:t>
                  </w:r>
                  <w:r>
                    <w:rPr>
                      <w:sz w:val="21"/>
                      <w:szCs w:val="21"/>
                    </w:rPr>
                    <w:t>铅、镉、</w:t>
                  </w:r>
                  <w:r>
                    <w:rPr>
                      <w:rFonts w:hint="eastAsia"/>
                      <w:sz w:val="21"/>
                      <w:szCs w:val="21"/>
                    </w:rPr>
                    <w:t>铜、锌</w:t>
                  </w:r>
                  <w:r>
                    <w:rPr>
                      <w:sz w:val="21"/>
                      <w:szCs w:val="21"/>
                    </w:rPr>
                    <w:t>、</w:t>
                  </w:r>
                  <w:r>
                    <w:rPr>
                      <w:rFonts w:hint="eastAsia"/>
                      <w:sz w:val="21"/>
                      <w:szCs w:val="21"/>
                    </w:rPr>
                    <w:t>铁、锰、</w:t>
                  </w:r>
                  <w:r>
                    <w:rPr>
                      <w:sz w:val="21"/>
                      <w:szCs w:val="21"/>
                    </w:rPr>
                    <w:t>K</w:t>
                  </w:r>
                  <w:r>
                    <w:rPr>
                      <w:sz w:val="21"/>
                      <w:szCs w:val="21"/>
                      <w:vertAlign w:val="superscript"/>
                    </w:rPr>
                    <w:t>+</w:t>
                  </w:r>
                  <w:r>
                    <w:rPr>
                      <w:sz w:val="21"/>
                      <w:szCs w:val="21"/>
                    </w:rPr>
                    <w:t>、Ca</w:t>
                  </w:r>
                  <w:r>
                    <w:rPr>
                      <w:sz w:val="21"/>
                      <w:szCs w:val="21"/>
                      <w:vertAlign w:val="superscript"/>
                    </w:rPr>
                    <w:t>2+</w:t>
                  </w:r>
                  <w:r>
                    <w:rPr>
                      <w:sz w:val="21"/>
                      <w:szCs w:val="21"/>
                    </w:rPr>
                    <w:t>、Mg</w:t>
                  </w:r>
                  <w:r>
                    <w:rPr>
                      <w:sz w:val="21"/>
                      <w:szCs w:val="21"/>
                      <w:vertAlign w:val="superscript"/>
                    </w:rPr>
                    <w:t>2+</w:t>
                  </w:r>
                  <w:r>
                    <w:rPr>
                      <w:rFonts w:hint="eastAsia"/>
                      <w:sz w:val="21"/>
                      <w:szCs w:val="21"/>
                    </w:rPr>
                    <w:t>、石油类</w:t>
                  </w:r>
                </w:p>
              </w:tc>
              <w:tc>
                <w:tcPr>
                  <w:tcW w:w="1276" w:type="dxa"/>
                  <w:vAlign w:val="center"/>
                </w:tcPr>
                <w:p w14:paraId="3643FA8A">
                  <w:pPr>
                    <w:widowControl/>
                    <w:adjustRightInd w:val="0"/>
                    <w:snapToGrid w:val="0"/>
                    <w:spacing w:line="240" w:lineRule="auto"/>
                    <w:ind w:firstLine="0" w:firstLineChars="0"/>
                    <w:jc w:val="center"/>
                    <w:textAlignment w:val="bottom"/>
                    <w:rPr>
                      <w:sz w:val="21"/>
                      <w:szCs w:val="21"/>
                    </w:rPr>
                  </w:pPr>
                  <w:r>
                    <w:rPr>
                      <w:rFonts w:hint="eastAsia"/>
                      <w:sz w:val="21"/>
                      <w:szCs w:val="21"/>
                    </w:rPr>
                    <w:t>福</w:t>
                  </w:r>
                  <w:r>
                    <w:rPr>
                      <w:sz w:val="21"/>
                      <w:szCs w:val="21"/>
                    </w:rPr>
                    <w:t>建创投环境检测有限公司</w:t>
                  </w:r>
                  <w:r>
                    <w:rPr>
                      <w:rFonts w:hint="eastAsia"/>
                      <w:sz w:val="21"/>
                      <w:szCs w:val="21"/>
                    </w:rPr>
                    <w:t>于2025年4月2日监测</w:t>
                  </w:r>
                  <w:r>
                    <w:rPr>
                      <w:sz w:val="21"/>
                      <w:szCs w:val="21"/>
                    </w:rPr>
                    <w:t>数据</w:t>
                  </w:r>
                </w:p>
              </w:tc>
            </w:tr>
          </w:tbl>
          <w:p w14:paraId="25D1DFE5">
            <w:pPr>
              <w:ind w:firstLine="0" w:firstLineChars="0"/>
              <w:jc w:val="center"/>
              <w:rPr>
                <w:kern w:val="0"/>
              </w:rPr>
            </w:pPr>
            <w:r>
              <w:rPr>
                <w:rFonts w:hint="eastAsia"/>
                <w:b/>
              </w:rPr>
              <w:t>***（略，涉及商业秘密）</w:t>
            </w:r>
          </w:p>
          <w:p w14:paraId="2D062123">
            <w:pPr>
              <w:pStyle w:val="121"/>
              <w:numPr>
                <w:ilvl w:val="3"/>
                <w:numId w:val="0"/>
              </w:numPr>
              <w:adjustRightInd w:val="0"/>
              <w:snapToGrid w:val="0"/>
              <w:spacing w:line="240" w:lineRule="auto"/>
              <w:ind w:right="0"/>
              <w:jc w:val="center"/>
            </w:pPr>
            <w:r>
              <w:rPr>
                <w:rFonts w:hint="eastAsia"/>
                <w:kern w:val="0"/>
                <w:szCs w:val="24"/>
              </w:rPr>
              <w:t>3.2-3</w:t>
            </w:r>
            <w:r>
              <w:rPr>
                <w:kern w:val="0"/>
                <w:szCs w:val="24"/>
              </w:rPr>
              <w:t>地下水监测点位图</w:t>
            </w:r>
          </w:p>
          <w:p w14:paraId="2FF255FB">
            <w:pPr>
              <w:pStyle w:val="117"/>
              <w:ind w:firstLine="480"/>
              <w:rPr>
                <w:lang w:val="en-US" w:eastAsia="zh-CN"/>
              </w:rPr>
            </w:pPr>
            <w:r>
              <w:rPr>
                <w:lang w:val="en-US" w:eastAsia="zh-CN"/>
              </w:rPr>
              <w:t>（2）监测结果与评价</w:t>
            </w:r>
          </w:p>
          <w:p w14:paraId="33498DCD">
            <w:pPr>
              <w:pStyle w:val="117"/>
              <w:ind w:firstLine="480"/>
              <w:rPr>
                <w:lang w:val="en-US" w:eastAsia="zh-CN"/>
              </w:rPr>
            </w:pPr>
            <w:r>
              <w:rPr>
                <w:lang w:val="en-US" w:eastAsia="zh-CN"/>
              </w:rPr>
              <w:t>1）评价方法采用单指标评价，按指标值所在的限值范围确定地下水质量类别。</w:t>
            </w:r>
          </w:p>
          <w:p w14:paraId="0C8B7ACE">
            <w:pPr>
              <w:pStyle w:val="117"/>
              <w:ind w:firstLine="480"/>
              <w:rPr>
                <w:lang w:val="en-US" w:eastAsia="zh-CN"/>
              </w:rPr>
            </w:pPr>
            <w:r>
              <w:rPr>
                <w:lang w:val="en-US" w:eastAsia="zh-CN"/>
              </w:rPr>
              <w:t>2）评价标准评价区内地下水水质标准执行《地下水质量标准》（GB/T4848-2017）Ⅳ</w:t>
            </w:r>
            <w:r>
              <w:rPr>
                <w:rFonts w:hint="eastAsia"/>
                <w:lang w:val="en-US" w:eastAsia="zh-CN"/>
              </w:rPr>
              <w:t>类</w:t>
            </w:r>
            <w:r>
              <w:rPr>
                <w:lang w:val="en-US" w:eastAsia="zh-CN"/>
              </w:rPr>
              <w:t>。</w:t>
            </w:r>
          </w:p>
          <w:p w14:paraId="46C2A384">
            <w:pPr>
              <w:pStyle w:val="117"/>
              <w:ind w:firstLine="480"/>
              <w:rPr>
                <w:lang w:val="en-US" w:eastAsia="zh-CN"/>
              </w:rPr>
            </w:pPr>
            <w:r>
              <w:rPr>
                <w:lang w:val="en-US" w:eastAsia="zh-CN"/>
              </w:rPr>
              <w:t>3）监测结果与评价</w:t>
            </w:r>
          </w:p>
          <w:p w14:paraId="675D04D1">
            <w:pPr>
              <w:pStyle w:val="117"/>
              <w:ind w:firstLine="480"/>
              <w:rPr>
                <w:lang w:val="en-US" w:eastAsia="zh-CN"/>
              </w:rPr>
            </w:pPr>
            <w:r>
              <w:rPr>
                <w:lang w:val="en-US" w:eastAsia="zh-CN"/>
              </w:rPr>
              <w:t>地下水水质监测结果见表</w:t>
            </w:r>
            <w:r>
              <w:rPr>
                <w:rFonts w:hint="eastAsia"/>
                <w:lang w:val="en-US" w:eastAsia="zh-CN"/>
              </w:rPr>
              <w:t>3.2-9</w:t>
            </w:r>
            <w:r>
              <w:rPr>
                <w:lang w:val="en-US" w:eastAsia="zh-CN"/>
              </w:rPr>
              <w:t>，评价结果见表</w:t>
            </w:r>
            <w:r>
              <w:rPr>
                <w:rFonts w:hint="eastAsia"/>
                <w:lang w:val="en-US" w:eastAsia="zh-CN"/>
              </w:rPr>
              <w:t>3.2-10</w:t>
            </w:r>
            <w:r>
              <w:rPr>
                <w:lang w:val="en-US" w:eastAsia="zh-CN"/>
              </w:rPr>
              <w:t>。</w:t>
            </w:r>
          </w:p>
          <w:p w14:paraId="5306E576">
            <w:pPr>
              <w:spacing w:line="240" w:lineRule="auto"/>
              <w:ind w:firstLine="0" w:firstLineChars="0"/>
              <w:jc w:val="center"/>
              <w:rPr>
                <w:b/>
                <w:szCs w:val="20"/>
              </w:rPr>
            </w:pPr>
            <w:r>
              <w:rPr>
                <w:b/>
                <w:szCs w:val="20"/>
              </w:rPr>
              <w:t>表3.2-</w:t>
            </w:r>
            <w:r>
              <w:rPr>
                <w:rFonts w:hint="eastAsia"/>
                <w:b/>
                <w:szCs w:val="20"/>
              </w:rPr>
              <w:t>9</w:t>
            </w:r>
            <w:r>
              <w:rPr>
                <w:b/>
                <w:szCs w:val="20"/>
              </w:rPr>
              <w:t>地下水监测点位</w:t>
            </w:r>
          </w:p>
          <w:p w14:paraId="2C2D0E5E">
            <w:pPr>
              <w:ind w:firstLine="0" w:firstLineChars="0"/>
              <w:jc w:val="center"/>
            </w:pPr>
            <w:r>
              <w:rPr>
                <w:rFonts w:hint="eastAsia"/>
                <w:b/>
              </w:rPr>
              <w:t>***（略，涉及商业秘密）</w:t>
            </w:r>
          </w:p>
          <w:p w14:paraId="0D353813">
            <w:pPr>
              <w:spacing w:line="240" w:lineRule="auto"/>
              <w:ind w:firstLine="0" w:firstLineChars="0"/>
              <w:jc w:val="center"/>
              <w:rPr>
                <w:b/>
                <w:szCs w:val="20"/>
              </w:rPr>
            </w:pPr>
            <w:r>
              <w:rPr>
                <w:b/>
                <w:szCs w:val="20"/>
              </w:rPr>
              <w:t>表</w:t>
            </w:r>
            <w:r>
              <w:rPr>
                <w:rFonts w:hint="eastAsia"/>
                <w:b/>
                <w:szCs w:val="20"/>
              </w:rPr>
              <w:t>3.2-10</w:t>
            </w:r>
            <w:r>
              <w:rPr>
                <w:b/>
                <w:szCs w:val="20"/>
              </w:rPr>
              <w:t>评价结果Si</w:t>
            </w:r>
          </w:p>
          <w:p w14:paraId="3B7E028D">
            <w:pPr>
              <w:ind w:firstLine="0" w:firstLineChars="0"/>
              <w:jc w:val="center"/>
            </w:pPr>
            <w:r>
              <w:rPr>
                <w:rFonts w:hint="eastAsia"/>
                <w:b/>
              </w:rPr>
              <w:t>***（略，涉及商业秘密）</w:t>
            </w:r>
          </w:p>
          <w:p w14:paraId="1A8AA06C">
            <w:pPr>
              <w:pStyle w:val="117"/>
              <w:ind w:firstLine="480"/>
              <w:rPr>
                <w:lang w:val="en-US" w:eastAsia="zh-CN"/>
              </w:rPr>
            </w:pPr>
            <w:r>
              <w:rPr>
                <w:lang w:val="en-US" w:eastAsia="zh-CN"/>
              </w:rPr>
              <w:t>（2）地下水评价结果分析</w:t>
            </w:r>
          </w:p>
          <w:p w14:paraId="65E166B5">
            <w:pPr>
              <w:adjustRightInd w:val="0"/>
              <w:snapToGrid w:val="0"/>
              <w:ind w:firstLine="480"/>
              <w:rPr>
                <w:kern w:val="13"/>
              </w:rPr>
            </w:pPr>
            <w:r>
              <w:rPr>
                <w:kern w:val="13"/>
              </w:rPr>
              <w:t>综合各项指标的评价结果</w:t>
            </w:r>
            <w:r>
              <w:rPr>
                <w:rFonts w:hint="eastAsia"/>
                <w:kern w:val="13"/>
              </w:rPr>
              <w:t>，扩建项目</w:t>
            </w:r>
            <w:r>
              <w:rPr>
                <w:kern w:val="13"/>
              </w:rPr>
              <w:t>所在区域地下水环境质量现状</w:t>
            </w:r>
            <w:r>
              <w:rPr>
                <w:rFonts w:hint="eastAsia"/>
                <w:kern w:val="13"/>
              </w:rPr>
              <w:t>的调查结果，总硬度、溶解性总固体、氯化物、硫酸盐等指标超过《地下水质量标准》（GB14848-2017）中IV类标准；结合《福州江阴港城经济区产业发展规划环境影响报告书》中地下水调查的相关情况，总硬度、溶解性总固体、硫酸盐、氯化物等指标主要受海水入侵、滩涂养殖、海口沉积物的影响。</w:t>
            </w:r>
          </w:p>
          <w:p w14:paraId="6AE4EEA1">
            <w:pPr>
              <w:adjustRightInd w:val="0"/>
              <w:snapToGrid w:val="0"/>
              <w:ind w:firstLine="480"/>
              <w:rPr>
                <w:szCs w:val="20"/>
              </w:rPr>
            </w:pPr>
            <w:r>
              <w:rPr>
                <w:rFonts w:hint="eastAsia"/>
                <w:kern w:val="13"/>
              </w:rPr>
              <w:t>规划实施以来，园区地下水环境质量总体稳定；针对溶解性总固体、硫酸盐、氯化物、耗氧量等因子长期超标情况，目前，园区管委会高度重视规划区地下水质量状况，已经部署开展地下水调查工作；建议建设单位严格落实厂区分区防渗措施和跟踪监测，加强管理，并积极配合管委会共同防控地下水污染。</w:t>
            </w:r>
          </w:p>
          <w:p w14:paraId="5B87DD31">
            <w:pPr>
              <w:adjustRightInd w:val="0"/>
              <w:snapToGrid w:val="0"/>
              <w:ind w:firstLine="0" w:firstLineChars="0"/>
              <w:outlineLvl w:val="2"/>
              <w:rPr>
                <w:b/>
                <w:bCs/>
              </w:rPr>
            </w:pPr>
            <w:r>
              <w:rPr>
                <w:b/>
                <w:bCs/>
              </w:rPr>
              <w:t>3.2.</w:t>
            </w:r>
            <w:r>
              <w:rPr>
                <w:rFonts w:hint="eastAsia"/>
                <w:b/>
                <w:bCs/>
              </w:rPr>
              <w:t>4</w:t>
            </w:r>
            <w:r>
              <w:rPr>
                <w:b/>
                <w:bCs/>
              </w:rPr>
              <w:t>声环境质量现状</w:t>
            </w:r>
          </w:p>
          <w:p w14:paraId="0BA9B84B">
            <w:pPr>
              <w:adjustRightInd w:val="0"/>
              <w:snapToGrid w:val="0"/>
              <w:ind w:firstLine="480"/>
              <w:rPr>
                <w:b/>
                <w:szCs w:val="20"/>
              </w:rPr>
            </w:pPr>
            <w:r>
              <w:rPr>
                <w:kern w:val="13"/>
              </w:rPr>
              <w:t>为了解扩建项目所在区域的声环境质量现状，</w:t>
            </w:r>
            <w:r>
              <w:rPr>
                <w:rFonts w:hint="eastAsia"/>
                <w:kern w:val="13"/>
              </w:rPr>
              <w:t>引用《福建天汇石化400万吨/年丙烯丙烷低温罐区项目第二阶段竣工环境保护验收监测报告》的监测数据，验收监测范围包含本次扩建项目，验收</w:t>
            </w:r>
            <w:r>
              <w:rPr>
                <w:rFonts w:hint="eastAsia"/>
              </w:rPr>
              <w:t>监测时间为</w:t>
            </w:r>
            <w:r>
              <w:rPr>
                <w:kern w:val="13"/>
              </w:rPr>
              <w:t>202</w:t>
            </w:r>
            <w:r>
              <w:rPr>
                <w:rFonts w:hint="eastAsia"/>
                <w:kern w:val="13"/>
              </w:rPr>
              <w:t>3</w:t>
            </w:r>
            <w:r>
              <w:rPr>
                <w:kern w:val="13"/>
              </w:rPr>
              <w:t>年</w:t>
            </w:r>
            <w:r>
              <w:rPr>
                <w:rFonts w:hint="eastAsia"/>
                <w:kern w:val="13"/>
              </w:rPr>
              <w:t>4</w:t>
            </w:r>
            <w:r>
              <w:rPr>
                <w:kern w:val="13"/>
              </w:rPr>
              <w:t>月</w:t>
            </w:r>
            <w:r>
              <w:rPr>
                <w:rFonts w:hint="eastAsia"/>
                <w:kern w:val="13"/>
              </w:rPr>
              <w:t>18</w:t>
            </w:r>
            <w:r>
              <w:rPr>
                <w:kern w:val="13"/>
              </w:rPr>
              <w:t>日</w:t>
            </w:r>
            <w:r>
              <w:rPr>
                <w:rFonts w:hint="eastAsia"/>
                <w:kern w:val="13"/>
              </w:rPr>
              <w:t>，验收监测点位详见图3.2-4</w:t>
            </w:r>
            <w:r>
              <w:rPr>
                <w:kern w:val="13"/>
              </w:rPr>
              <w:t>。噪声监测结果见表3.2-</w:t>
            </w:r>
            <w:r>
              <w:rPr>
                <w:rFonts w:hint="eastAsia"/>
                <w:kern w:val="13"/>
              </w:rPr>
              <w:t>11</w:t>
            </w:r>
            <w:r>
              <w:rPr>
                <w:kern w:val="13"/>
              </w:rPr>
              <w:t>。</w:t>
            </w:r>
          </w:p>
          <w:p w14:paraId="46296091">
            <w:pPr>
              <w:ind w:firstLine="0" w:firstLineChars="0"/>
              <w:jc w:val="center"/>
              <w:rPr>
                <w:b/>
                <w:szCs w:val="20"/>
              </w:rPr>
            </w:pPr>
            <w:r>
              <w:rPr>
                <w:rFonts w:hint="eastAsia"/>
                <w:b/>
              </w:rPr>
              <w:t>***（略，涉及商业秘密）</w:t>
            </w:r>
          </w:p>
          <w:p w14:paraId="16DC5BC9">
            <w:pPr>
              <w:spacing w:line="240" w:lineRule="auto"/>
              <w:ind w:firstLine="0" w:firstLineChars="0"/>
              <w:jc w:val="center"/>
              <w:rPr>
                <w:b/>
                <w:szCs w:val="20"/>
              </w:rPr>
            </w:pPr>
            <w:r>
              <w:rPr>
                <w:b/>
                <w:szCs w:val="20"/>
              </w:rPr>
              <w:t>表3.2-</w:t>
            </w:r>
            <w:r>
              <w:rPr>
                <w:rFonts w:hint="eastAsia"/>
                <w:b/>
                <w:szCs w:val="20"/>
              </w:rPr>
              <w:t>11噪声排放情况验收</w:t>
            </w:r>
            <w:r>
              <w:rPr>
                <w:b/>
                <w:szCs w:val="20"/>
              </w:rPr>
              <w:t>监测</w:t>
            </w:r>
            <w:r>
              <w:rPr>
                <w:rFonts w:hint="eastAsia"/>
                <w:b/>
                <w:szCs w:val="20"/>
              </w:rPr>
              <w:t>结果</w:t>
            </w:r>
          </w:p>
          <w:p w14:paraId="1060B11E">
            <w:pPr>
              <w:ind w:firstLine="480"/>
            </w:pPr>
            <w:r>
              <w:t>由监测结果可知，</w:t>
            </w:r>
            <w:r>
              <w:rPr>
                <w:rFonts w:hint="eastAsia"/>
              </w:rPr>
              <w:t>码头罐区</w:t>
            </w:r>
            <w:r>
              <w:t>厂界声环境噪声值符合《声环境质量标准》（GB3096-2008）3类声环境功能区要求。</w:t>
            </w:r>
          </w:p>
          <w:p w14:paraId="552D24A9">
            <w:pPr>
              <w:adjustRightInd w:val="0"/>
              <w:snapToGrid w:val="0"/>
              <w:ind w:firstLine="0" w:firstLineChars="0"/>
              <w:outlineLvl w:val="2"/>
              <w:rPr>
                <w:b/>
                <w:bCs/>
              </w:rPr>
            </w:pPr>
            <w:r>
              <w:rPr>
                <w:b/>
                <w:bCs/>
              </w:rPr>
              <w:t>3.2.</w:t>
            </w:r>
            <w:r>
              <w:rPr>
                <w:rFonts w:hint="eastAsia"/>
                <w:b/>
                <w:bCs/>
              </w:rPr>
              <w:t>5</w:t>
            </w:r>
            <w:r>
              <w:rPr>
                <w:b/>
                <w:bCs/>
              </w:rPr>
              <w:t>土壤环境现状</w:t>
            </w:r>
          </w:p>
          <w:p w14:paraId="5887FE80">
            <w:pPr>
              <w:pStyle w:val="139"/>
              <w:ind w:firstLine="480"/>
              <w:rPr>
                <w:lang w:eastAsia="zh-CN"/>
              </w:rPr>
            </w:pPr>
            <w:r>
              <w:rPr>
                <w:lang w:eastAsia="zh-CN"/>
              </w:rPr>
              <w:t>为了解项目周边土壤环境质量现状，</w:t>
            </w:r>
            <w:r>
              <w:rPr>
                <w:rFonts w:hint="eastAsia"/>
                <w:lang w:eastAsia="zh-CN"/>
              </w:rPr>
              <w:t>引用</w:t>
            </w:r>
            <w:r>
              <w:rPr>
                <w:lang w:eastAsia="zh-CN"/>
              </w:rPr>
              <w:t>福建省化工产品质量检验站对项目所在区域的土壤环境质量现状进行监测（采样日期：20</w:t>
            </w:r>
            <w:r>
              <w:rPr>
                <w:rFonts w:hint="eastAsia"/>
                <w:lang w:eastAsia="zh-CN"/>
              </w:rPr>
              <w:t>25</w:t>
            </w:r>
            <w:r>
              <w:rPr>
                <w:lang w:eastAsia="zh-CN"/>
              </w:rPr>
              <w:t>年</w:t>
            </w:r>
            <w:r>
              <w:rPr>
                <w:lang w:val="en-US" w:eastAsia="zh-CN"/>
              </w:rPr>
              <w:t>11</w:t>
            </w:r>
            <w:r>
              <w:rPr>
                <w:lang w:eastAsia="zh-CN"/>
              </w:rPr>
              <w:t>月</w:t>
            </w:r>
            <w:r>
              <w:rPr>
                <w:rFonts w:hint="eastAsia"/>
                <w:lang w:val="en-US" w:eastAsia="zh-CN"/>
              </w:rPr>
              <w:t>04</w:t>
            </w:r>
            <w:r>
              <w:rPr>
                <w:lang w:eastAsia="zh-CN"/>
              </w:rPr>
              <w:t>日），</w:t>
            </w:r>
            <w:r>
              <w:rPr>
                <w:lang w:val="en-US" w:eastAsia="zh-CN"/>
              </w:rPr>
              <w:t>监测报告见附件</w:t>
            </w:r>
            <w:r>
              <w:rPr>
                <w:rFonts w:hint="eastAsia"/>
                <w:lang w:val="en-US" w:eastAsia="zh-CN"/>
              </w:rPr>
              <w:t>8</w:t>
            </w:r>
            <w:r>
              <w:rPr>
                <w:lang w:val="en-US" w:eastAsia="zh-CN"/>
              </w:rPr>
              <w:t>。</w:t>
            </w:r>
          </w:p>
          <w:p w14:paraId="47E05A64">
            <w:pPr>
              <w:pStyle w:val="139"/>
              <w:ind w:firstLine="480"/>
              <w:rPr>
                <w:lang w:eastAsia="zh-CN"/>
              </w:rPr>
            </w:pPr>
            <w:r>
              <w:rPr>
                <w:lang w:eastAsia="zh-CN"/>
              </w:rPr>
              <w:t>（1）监测点位与监测项目</w:t>
            </w:r>
          </w:p>
          <w:p w14:paraId="34F3BCC1">
            <w:pPr>
              <w:pStyle w:val="139"/>
              <w:ind w:firstLine="480"/>
              <w:rPr>
                <w:lang w:eastAsia="zh-CN"/>
              </w:rPr>
            </w:pPr>
            <w:r>
              <w:rPr>
                <w:lang w:eastAsia="zh-CN"/>
              </w:rPr>
              <w:t>在项目厂</w:t>
            </w:r>
            <w:r>
              <w:rPr>
                <w:lang w:val="en-US" w:eastAsia="zh-CN"/>
              </w:rPr>
              <w:t>地</w:t>
            </w:r>
            <w:r>
              <w:rPr>
                <w:lang w:eastAsia="zh-CN"/>
              </w:rPr>
              <w:t>内设</w:t>
            </w:r>
            <w:r>
              <w:rPr>
                <w:lang w:val="en-US" w:eastAsia="zh-CN"/>
              </w:rPr>
              <w:t>3</w:t>
            </w:r>
            <w:r>
              <w:rPr>
                <w:lang w:eastAsia="zh-CN"/>
              </w:rPr>
              <w:t>个表层样点</w:t>
            </w:r>
            <w:r>
              <w:rPr>
                <w:lang w:val="en-US" w:eastAsia="zh-CN"/>
              </w:rPr>
              <w:t>T1~T3</w:t>
            </w:r>
            <w:r>
              <w:rPr>
                <w:lang w:eastAsia="zh-CN"/>
              </w:rPr>
              <w:t>，</w:t>
            </w:r>
            <w:r>
              <w:rPr>
                <w:lang w:val="en-US" w:eastAsia="zh-CN"/>
              </w:rPr>
              <w:t>点位布设情况详见表</w:t>
            </w:r>
            <w:r>
              <w:rPr>
                <w:rFonts w:hint="eastAsia"/>
                <w:lang w:val="en-US" w:eastAsia="zh-CN"/>
              </w:rPr>
              <w:t>3.2-12</w:t>
            </w:r>
            <w:r>
              <w:rPr>
                <w:lang w:val="en-US" w:eastAsia="zh-CN"/>
              </w:rPr>
              <w:t>和图</w:t>
            </w:r>
            <w:r>
              <w:rPr>
                <w:rFonts w:hint="eastAsia"/>
                <w:lang w:val="en-US" w:eastAsia="zh-CN"/>
              </w:rPr>
              <w:t>3.2-4</w:t>
            </w:r>
            <w:r>
              <w:rPr>
                <w:lang w:val="en-US" w:eastAsia="zh-CN"/>
              </w:rPr>
              <w:t>。</w:t>
            </w:r>
          </w:p>
          <w:p w14:paraId="7F36041E">
            <w:pPr>
              <w:spacing w:line="240" w:lineRule="auto"/>
              <w:ind w:firstLine="0" w:firstLineChars="0"/>
              <w:jc w:val="center"/>
              <w:rPr>
                <w:b/>
                <w:szCs w:val="20"/>
              </w:rPr>
            </w:pPr>
            <w:r>
              <w:rPr>
                <w:b/>
                <w:szCs w:val="20"/>
              </w:rPr>
              <w:t>表3.2-</w:t>
            </w:r>
            <w:r>
              <w:rPr>
                <w:rFonts w:hint="eastAsia"/>
                <w:b/>
                <w:szCs w:val="20"/>
              </w:rPr>
              <w:t>12</w:t>
            </w:r>
            <w:r>
              <w:rPr>
                <w:b/>
                <w:szCs w:val="20"/>
              </w:rPr>
              <w:t>土壤监测点位布设情况一览表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342"/>
              <w:gridCol w:w="1049"/>
              <w:gridCol w:w="977"/>
              <w:gridCol w:w="4274"/>
            </w:tblGrid>
            <w:tr w14:paraId="61F6B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65" w:type="pct"/>
                  <w:vAlign w:val="center"/>
                </w:tcPr>
                <w:p w14:paraId="3B89FEAD">
                  <w:pPr>
                    <w:widowControl/>
                    <w:adjustRightInd w:val="0"/>
                    <w:snapToGrid w:val="0"/>
                    <w:spacing w:line="240" w:lineRule="auto"/>
                    <w:ind w:firstLine="0" w:firstLineChars="0"/>
                    <w:jc w:val="center"/>
                    <w:rPr>
                      <w:b/>
                      <w:bCs/>
                      <w:kern w:val="0"/>
                      <w:sz w:val="21"/>
                      <w:szCs w:val="21"/>
                    </w:rPr>
                  </w:pPr>
                  <w:r>
                    <w:rPr>
                      <w:rFonts w:hint="eastAsia"/>
                      <w:b/>
                      <w:bCs/>
                      <w:kern w:val="0"/>
                      <w:sz w:val="21"/>
                      <w:szCs w:val="21"/>
                    </w:rPr>
                    <w:t>位置</w:t>
                  </w:r>
                </w:p>
              </w:tc>
              <w:tc>
                <w:tcPr>
                  <w:tcW w:w="779" w:type="pct"/>
                  <w:tcMar>
                    <w:left w:w="28" w:type="dxa"/>
                    <w:right w:w="28" w:type="dxa"/>
                  </w:tcMar>
                  <w:vAlign w:val="center"/>
                </w:tcPr>
                <w:p w14:paraId="52247EC9">
                  <w:pPr>
                    <w:widowControl/>
                    <w:adjustRightInd w:val="0"/>
                    <w:snapToGrid w:val="0"/>
                    <w:spacing w:line="240" w:lineRule="auto"/>
                    <w:ind w:firstLine="0" w:firstLineChars="0"/>
                    <w:jc w:val="center"/>
                    <w:rPr>
                      <w:b/>
                      <w:bCs/>
                      <w:kern w:val="0"/>
                      <w:sz w:val="21"/>
                      <w:szCs w:val="21"/>
                    </w:rPr>
                  </w:pPr>
                  <w:r>
                    <w:rPr>
                      <w:b/>
                      <w:bCs/>
                      <w:kern w:val="0"/>
                      <w:sz w:val="21"/>
                      <w:szCs w:val="21"/>
                    </w:rPr>
                    <w:t>土壤采样点位</w:t>
                  </w:r>
                </w:p>
              </w:tc>
              <w:tc>
                <w:tcPr>
                  <w:tcW w:w="609" w:type="pct"/>
                  <w:vAlign w:val="center"/>
                </w:tcPr>
                <w:p w14:paraId="29FE1030">
                  <w:pPr>
                    <w:adjustRightInd w:val="0"/>
                    <w:snapToGrid w:val="0"/>
                    <w:spacing w:line="240" w:lineRule="auto"/>
                    <w:ind w:firstLine="0" w:firstLineChars="0"/>
                    <w:jc w:val="center"/>
                    <w:rPr>
                      <w:b/>
                      <w:bCs/>
                      <w:kern w:val="0"/>
                      <w:sz w:val="21"/>
                      <w:szCs w:val="21"/>
                    </w:rPr>
                  </w:pPr>
                  <w:r>
                    <w:rPr>
                      <w:b/>
                      <w:bCs/>
                      <w:kern w:val="0"/>
                      <w:sz w:val="21"/>
                      <w:szCs w:val="21"/>
                    </w:rPr>
                    <w:t>检测样品编号</w:t>
                  </w:r>
                </w:p>
              </w:tc>
              <w:tc>
                <w:tcPr>
                  <w:tcW w:w="567" w:type="pct"/>
                  <w:vAlign w:val="center"/>
                </w:tcPr>
                <w:p w14:paraId="74EFD2C0">
                  <w:pPr>
                    <w:widowControl/>
                    <w:adjustRightInd w:val="0"/>
                    <w:snapToGrid w:val="0"/>
                    <w:spacing w:line="240" w:lineRule="auto"/>
                    <w:ind w:firstLine="0" w:firstLineChars="0"/>
                    <w:jc w:val="center"/>
                    <w:rPr>
                      <w:b/>
                      <w:bCs/>
                      <w:kern w:val="0"/>
                      <w:sz w:val="21"/>
                      <w:szCs w:val="21"/>
                    </w:rPr>
                  </w:pPr>
                  <w:r>
                    <w:rPr>
                      <w:b/>
                      <w:bCs/>
                      <w:kern w:val="0"/>
                      <w:sz w:val="21"/>
                      <w:szCs w:val="21"/>
                    </w:rPr>
                    <w:t>采样深度</w:t>
                  </w:r>
                </w:p>
              </w:tc>
              <w:tc>
                <w:tcPr>
                  <w:tcW w:w="2480" w:type="pct"/>
                  <w:vAlign w:val="center"/>
                </w:tcPr>
                <w:p w14:paraId="05D411AC">
                  <w:pPr>
                    <w:widowControl/>
                    <w:adjustRightInd w:val="0"/>
                    <w:snapToGrid w:val="0"/>
                    <w:spacing w:line="240" w:lineRule="auto"/>
                    <w:ind w:firstLine="0" w:firstLineChars="0"/>
                    <w:jc w:val="center"/>
                    <w:rPr>
                      <w:b/>
                      <w:bCs/>
                      <w:kern w:val="0"/>
                      <w:sz w:val="21"/>
                      <w:szCs w:val="21"/>
                    </w:rPr>
                  </w:pPr>
                  <w:r>
                    <w:rPr>
                      <w:b/>
                      <w:bCs/>
                      <w:kern w:val="0"/>
                      <w:sz w:val="21"/>
                      <w:szCs w:val="21"/>
                    </w:rPr>
                    <w:t>监测因子</w:t>
                  </w:r>
                </w:p>
              </w:tc>
            </w:tr>
            <w:tr w14:paraId="0DDED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65" w:type="pct"/>
                  <w:vMerge w:val="restart"/>
                  <w:vAlign w:val="center"/>
                </w:tcPr>
                <w:p w14:paraId="1E64074E">
                  <w:pPr>
                    <w:widowControl/>
                    <w:adjustRightInd w:val="0"/>
                    <w:snapToGrid w:val="0"/>
                    <w:spacing w:line="240" w:lineRule="auto"/>
                    <w:ind w:firstLine="0" w:firstLineChars="0"/>
                    <w:jc w:val="center"/>
                    <w:rPr>
                      <w:kern w:val="0"/>
                      <w:sz w:val="21"/>
                      <w:szCs w:val="21"/>
                    </w:rPr>
                  </w:pPr>
                  <w:r>
                    <w:rPr>
                      <w:rFonts w:hint="eastAsia"/>
                      <w:kern w:val="0"/>
                      <w:sz w:val="21"/>
                      <w:szCs w:val="21"/>
                    </w:rPr>
                    <w:t>码头罐区</w:t>
                  </w:r>
                </w:p>
              </w:tc>
              <w:tc>
                <w:tcPr>
                  <w:tcW w:w="779" w:type="pct"/>
                  <w:tcMar>
                    <w:left w:w="28" w:type="dxa"/>
                    <w:right w:w="28" w:type="dxa"/>
                  </w:tcMar>
                  <w:vAlign w:val="center"/>
                </w:tcPr>
                <w:p w14:paraId="1F61AB4A">
                  <w:pPr>
                    <w:widowControl/>
                    <w:adjustRightInd w:val="0"/>
                    <w:snapToGrid w:val="0"/>
                    <w:spacing w:line="240" w:lineRule="auto"/>
                    <w:ind w:firstLine="0" w:firstLineChars="0"/>
                    <w:jc w:val="center"/>
                    <w:rPr>
                      <w:kern w:val="0"/>
                      <w:sz w:val="21"/>
                      <w:szCs w:val="21"/>
                    </w:rPr>
                  </w:pPr>
                  <w:r>
                    <w:rPr>
                      <w:kern w:val="0"/>
                      <w:sz w:val="21"/>
                      <w:szCs w:val="21"/>
                    </w:rPr>
                    <w:t>T1</w:t>
                  </w:r>
                </w:p>
              </w:tc>
              <w:tc>
                <w:tcPr>
                  <w:tcW w:w="609" w:type="pct"/>
                  <w:vAlign w:val="center"/>
                </w:tcPr>
                <w:p w14:paraId="205D5A95">
                  <w:pPr>
                    <w:widowControl/>
                    <w:adjustRightInd w:val="0"/>
                    <w:snapToGrid w:val="0"/>
                    <w:spacing w:line="240" w:lineRule="auto"/>
                    <w:ind w:firstLine="0" w:firstLineChars="0"/>
                    <w:jc w:val="center"/>
                    <w:rPr>
                      <w:kern w:val="0"/>
                      <w:sz w:val="21"/>
                      <w:szCs w:val="21"/>
                    </w:rPr>
                  </w:pPr>
                  <w:r>
                    <w:rPr>
                      <w:kern w:val="0"/>
                      <w:sz w:val="21"/>
                      <w:szCs w:val="21"/>
                    </w:rPr>
                    <w:t>1</w:t>
                  </w:r>
                </w:p>
              </w:tc>
              <w:tc>
                <w:tcPr>
                  <w:tcW w:w="567" w:type="pct"/>
                  <w:vAlign w:val="center"/>
                </w:tcPr>
                <w:p w14:paraId="29598054">
                  <w:pPr>
                    <w:widowControl/>
                    <w:adjustRightInd w:val="0"/>
                    <w:snapToGrid w:val="0"/>
                    <w:spacing w:line="240" w:lineRule="auto"/>
                    <w:ind w:firstLine="0" w:firstLineChars="0"/>
                    <w:jc w:val="center"/>
                    <w:rPr>
                      <w:kern w:val="0"/>
                      <w:sz w:val="21"/>
                      <w:szCs w:val="21"/>
                    </w:rPr>
                  </w:pPr>
                  <w:r>
                    <w:rPr>
                      <w:kern w:val="0"/>
                      <w:sz w:val="21"/>
                      <w:szCs w:val="21"/>
                    </w:rPr>
                    <w:t>0~0.2m</w:t>
                  </w:r>
                </w:p>
              </w:tc>
              <w:tc>
                <w:tcPr>
                  <w:tcW w:w="2480" w:type="pct"/>
                  <w:vAlign w:val="center"/>
                </w:tcPr>
                <w:p w14:paraId="0FF57B7D">
                  <w:pPr>
                    <w:widowControl/>
                    <w:adjustRightInd w:val="0"/>
                    <w:snapToGrid w:val="0"/>
                    <w:spacing w:line="240" w:lineRule="auto"/>
                    <w:ind w:firstLine="0" w:firstLineChars="0"/>
                    <w:jc w:val="center"/>
                    <w:rPr>
                      <w:kern w:val="0"/>
                      <w:sz w:val="21"/>
                      <w:szCs w:val="21"/>
                    </w:rPr>
                  </w:pPr>
                  <w:r>
                    <w:rPr>
                      <w:rFonts w:hint="eastAsia"/>
                      <w:kern w:val="0"/>
                      <w:sz w:val="21"/>
                      <w:szCs w:val="21"/>
                    </w:rPr>
                    <w:t>石油烃（C</w:t>
                  </w:r>
                  <w:r>
                    <w:rPr>
                      <w:rFonts w:hint="eastAsia"/>
                      <w:kern w:val="0"/>
                      <w:sz w:val="21"/>
                      <w:szCs w:val="21"/>
                      <w:vertAlign w:val="subscript"/>
                    </w:rPr>
                    <w:t>10</w:t>
                  </w:r>
                  <w:r>
                    <w:rPr>
                      <w:rFonts w:hint="eastAsia"/>
                      <w:kern w:val="0"/>
                      <w:sz w:val="21"/>
                      <w:szCs w:val="21"/>
                    </w:rPr>
                    <w:t>-C</w:t>
                  </w:r>
                  <w:r>
                    <w:rPr>
                      <w:rFonts w:hint="eastAsia"/>
                      <w:kern w:val="0"/>
                      <w:sz w:val="21"/>
                      <w:szCs w:val="21"/>
                      <w:vertAlign w:val="subscript"/>
                    </w:rPr>
                    <w:t>40</w:t>
                  </w:r>
                  <w:r>
                    <w:rPr>
                      <w:rFonts w:hint="eastAsia"/>
                      <w:kern w:val="0"/>
                      <w:sz w:val="21"/>
                      <w:szCs w:val="21"/>
                    </w:rPr>
                    <w:t>）</w:t>
                  </w:r>
                </w:p>
              </w:tc>
            </w:tr>
            <w:tr w14:paraId="3A6E3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65" w:type="pct"/>
                  <w:vMerge w:val="continue"/>
                  <w:vAlign w:val="center"/>
                </w:tcPr>
                <w:p w14:paraId="71C0A1F1">
                  <w:pPr>
                    <w:widowControl/>
                    <w:adjustRightInd w:val="0"/>
                    <w:snapToGrid w:val="0"/>
                    <w:spacing w:line="240" w:lineRule="auto"/>
                    <w:ind w:firstLine="0" w:firstLineChars="0"/>
                    <w:jc w:val="center"/>
                    <w:rPr>
                      <w:kern w:val="0"/>
                      <w:sz w:val="21"/>
                      <w:szCs w:val="21"/>
                    </w:rPr>
                  </w:pPr>
                </w:p>
              </w:tc>
              <w:tc>
                <w:tcPr>
                  <w:tcW w:w="779" w:type="pct"/>
                  <w:tcMar>
                    <w:left w:w="28" w:type="dxa"/>
                    <w:right w:w="28" w:type="dxa"/>
                  </w:tcMar>
                  <w:vAlign w:val="center"/>
                </w:tcPr>
                <w:p w14:paraId="18D84C9E">
                  <w:pPr>
                    <w:widowControl/>
                    <w:adjustRightInd w:val="0"/>
                    <w:snapToGrid w:val="0"/>
                    <w:spacing w:line="240" w:lineRule="auto"/>
                    <w:ind w:firstLine="0" w:firstLineChars="0"/>
                    <w:jc w:val="center"/>
                    <w:rPr>
                      <w:kern w:val="0"/>
                      <w:sz w:val="21"/>
                      <w:szCs w:val="21"/>
                    </w:rPr>
                  </w:pPr>
                  <w:r>
                    <w:rPr>
                      <w:kern w:val="0"/>
                      <w:sz w:val="21"/>
                      <w:szCs w:val="21"/>
                    </w:rPr>
                    <w:t>T2</w:t>
                  </w:r>
                </w:p>
              </w:tc>
              <w:tc>
                <w:tcPr>
                  <w:tcW w:w="609" w:type="pct"/>
                  <w:vAlign w:val="center"/>
                </w:tcPr>
                <w:p w14:paraId="3752707D">
                  <w:pPr>
                    <w:widowControl/>
                    <w:adjustRightInd w:val="0"/>
                    <w:snapToGrid w:val="0"/>
                    <w:spacing w:line="240" w:lineRule="auto"/>
                    <w:ind w:firstLine="0" w:firstLineChars="0"/>
                    <w:jc w:val="center"/>
                    <w:rPr>
                      <w:kern w:val="0"/>
                      <w:sz w:val="21"/>
                      <w:szCs w:val="21"/>
                    </w:rPr>
                  </w:pPr>
                  <w:r>
                    <w:rPr>
                      <w:kern w:val="0"/>
                      <w:sz w:val="21"/>
                      <w:szCs w:val="21"/>
                    </w:rPr>
                    <w:t>1</w:t>
                  </w:r>
                </w:p>
              </w:tc>
              <w:tc>
                <w:tcPr>
                  <w:tcW w:w="567" w:type="pct"/>
                  <w:vAlign w:val="center"/>
                </w:tcPr>
                <w:p w14:paraId="37DE2026">
                  <w:pPr>
                    <w:widowControl/>
                    <w:adjustRightInd w:val="0"/>
                    <w:snapToGrid w:val="0"/>
                    <w:spacing w:line="240" w:lineRule="auto"/>
                    <w:ind w:firstLine="0" w:firstLineChars="0"/>
                    <w:jc w:val="center"/>
                    <w:rPr>
                      <w:kern w:val="0"/>
                      <w:sz w:val="21"/>
                      <w:szCs w:val="21"/>
                    </w:rPr>
                  </w:pPr>
                  <w:r>
                    <w:rPr>
                      <w:kern w:val="0"/>
                      <w:sz w:val="21"/>
                      <w:szCs w:val="21"/>
                    </w:rPr>
                    <w:t>0~0.2m</w:t>
                  </w:r>
                </w:p>
              </w:tc>
              <w:tc>
                <w:tcPr>
                  <w:tcW w:w="2480" w:type="pct"/>
                  <w:vAlign w:val="center"/>
                </w:tcPr>
                <w:p w14:paraId="46764198">
                  <w:pPr>
                    <w:widowControl/>
                    <w:adjustRightInd w:val="0"/>
                    <w:snapToGrid w:val="0"/>
                    <w:spacing w:line="240" w:lineRule="auto"/>
                    <w:ind w:firstLine="0" w:firstLineChars="0"/>
                    <w:jc w:val="center"/>
                    <w:rPr>
                      <w:kern w:val="0"/>
                      <w:sz w:val="21"/>
                      <w:szCs w:val="21"/>
                    </w:rPr>
                  </w:pPr>
                  <w:r>
                    <w:rPr>
                      <w:kern w:val="0"/>
                      <w:sz w:val="21"/>
                      <w:szCs w:val="21"/>
                    </w:rPr>
                    <w:t>（1）重金属和无机物</w:t>
                  </w:r>
                </w:p>
                <w:p w14:paraId="0F45B642">
                  <w:pPr>
                    <w:widowControl/>
                    <w:adjustRightInd w:val="0"/>
                    <w:snapToGrid w:val="0"/>
                    <w:spacing w:line="240" w:lineRule="auto"/>
                    <w:ind w:firstLine="0" w:firstLineChars="0"/>
                    <w:jc w:val="center"/>
                    <w:rPr>
                      <w:kern w:val="0"/>
                      <w:sz w:val="21"/>
                      <w:szCs w:val="21"/>
                    </w:rPr>
                  </w:pPr>
                  <w:r>
                    <w:rPr>
                      <w:kern w:val="0"/>
                      <w:sz w:val="21"/>
                      <w:szCs w:val="21"/>
                    </w:rPr>
                    <w:t>砷、镉、铬（六价）、铜、铅、汞、镍</w:t>
                  </w:r>
                </w:p>
                <w:p w14:paraId="7B1CF8C0">
                  <w:pPr>
                    <w:widowControl/>
                    <w:adjustRightInd w:val="0"/>
                    <w:snapToGrid w:val="0"/>
                    <w:spacing w:line="240" w:lineRule="auto"/>
                    <w:ind w:firstLine="0" w:firstLineChars="0"/>
                    <w:jc w:val="center"/>
                    <w:rPr>
                      <w:kern w:val="0"/>
                      <w:sz w:val="21"/>
                      <w:szCs w:val="21"/>
                    </w:rPr>
                  </w:pPr>
                  <w:r>
                    <w:rPr>
                      <w:kern w:val="0"/>
                      <w:sz w:val="21"/>
                      <w:szCs w:val="21"/>
                    </w:rPr>
                    <w:t>（2）挥发性有机物</w:t>
                  </w:r>
                </w:p>
                <w:p w14:paraId="67670A49">
                  <w:pPr>
                    <w:widowControl/>
                    <w:adjustRightInd w:val="0"/>
                    <w:snapToGrid w:val="0"/>
                    <w:spacing w:line="240" w:lineRule="auto"/>
                    <w:ind w:firstLine="0" w:firstLineChars="0"/>
                    <w:jc w:val="center"/>
                    <w:rPr>
                      <w:kern w:val="0"/>
                      <w:sz w:val="21"/>
                      <w:szCs w:val="21"/>
                    </w:rPr>
                  </w:pPr>
                  <w:r>
                    <w:rPr>
                      <w:kern w:val="0"/>
                      <w:sz w:val="21"/>
                      <w:szCs w:val="21"/>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14:paraId="4380EF8B">
                  <w:pPr>
                    <w:widowControl/>
                    <w:adjustRightInd w:val="0"/>
                    <w:snapToGrid w:val="0"/>
                    <w:spacing w:line="240" w:lineRule="auto"/>
                    <w:ind w:firstLine="0" w:firstLineChars="0"/>
                    <w:jc w:val="center"/>
                    <w:rPr>
                      <w:kern w:val="0"/>
                      <w:sz w:val="21"/>
                      <w:szCs w:val="21"/>
                    </w:rPr>
                  </w:pPr>
                  <w:r>
                    <w:rPr>
                      <w:kern w:val="0"/>
                      <w:sz w:val="21"/>
                      <w:szCs w:val="21"/>
                    </w:rPr>
                    <w:t>（3）半挥发性有机物</w:t>
                  </w:r>
                </w:p>
                <w:p w14:paraId="4EB3A3E3">
                  <w:pPr>
                    <w:widowControl/>
                    <w:adjustRightInd w:val="0"/>
                    <w:snapToGrid w:val="0"/>
                    <w:spacing w:line="240" w:lineRule="auto"/>
                    <w:ind w:firstLine="0" w:firstLineChars="0"/>
                    <w:jc w:val="center"/>
                    <w:rPr>
                      <w:kern w:val="0"/>
                      <w:sz w:val="21"/>
                      <w:szCs w:val="21"/>
                    </w:rPr>
                  </w:pPr>
                  <w:r>
                    <w:rPr>
                      <w:kern w:val="0"/>
                      <w:sz w:val="21"/>
                      <w:szCs w:val="21"/>
                    </w:rPr>
                    <w:t>硝基苯、苯胺、2-氯酚、苯并[a]蒽、苯并[a]芘、苯并[b]荧蒽、苯并[k]荧蒽、䓛、二苯并[a,h]蒽、茚并[1,2,3-cd]芘、萘</w:t>
                  </w:r>
                </w:p>
                <w:p w14:paraId="240D8D12">
                  <w:pPr>
                    <w:widowControl/>
                    <w:adjustRightInd w:val="0"/>
                    <w:snapToGrid w:val="0"/>
                    <w:spacing w:line="240" w:lineRule="auto"/>
                    <w:ind w:firstLine="0" w:firstLineChars="0"/>
                    <w:jc w:val="center"/>
                    <w:rPr>
                      <w:kern w:val="0"/>
                      <w:sz w:val="21"/>
                      <w:szCs w:val="21"/>
                    </w:rPr>
                  </w:pPr>
                  <w:r>
                    <w:rPr>
                      <w:rFonts w:hint="eastAsia"/>
                      <w:kern w:val="0"/>
                      <w:sz w:val="21"/>
                      <w:szCs w:val="21"/>
                    </w:rPr>
                    <w:t>（4）石油烃类</w:t>
                  </w:r>
                </w:p>
                <w:p w14:paraId="6AA5BFC5">
                  <w:pPr>
                    <w:widowControl/>
                    <w:adjustRightInd w:val="0"/>
                    <w:snapToGrid w:val="0"/>
                    <w:spacing w:line="240" w:lineRule="auto"/>
                    <w:ind w:firstLine="0" w:firstLineChars="0"/>
                    <w:jc w:val="center"/>
                    <w:rPr>
                      <w:kern w:val="0"/>
                      <w:sz w:val="21"/>
                      <w:szCs w:val="21"/>
                    </w:rPr>
                  </w:pPr>
                  <w:r>
                    <w:rPr>
                      <w:rFonts w:hint="eastAsia"/>
                      <w:kern w:val="0"/>
                      <w:sz w:val="21"/>
                      <w:szCs w:val="21"/>
                    </w:rPr>
                    <w:t>石油烃（C</w:t>
                  </w:r>
                  <w:r>
                    <w:rPr>
                      <w:rFonts w:hint="eastAsia"/>
                      <w:kern w:val="0"/>
                      <w:sz w:val="21"/>
                      <w:szCs w:val="21"/>
                      <w:vertAlign w:val="subscript"/>
                    </w:rPr>
                    <w:t>10</w:t>
                  </w:r>
                  <w:r>
                    <w:rPr>
                      <w:rFonts w:hint="eastAsia"/>
                      <w:kern w:val="0"/>
                      <w:sz w:val="21"/>
                      <w:szCs w:val="21"/>
                    </w:rPr>
                    <w:t>-C</w:t>
                  </w:r>
                  <w:r>
                    <w:rPr>
                      <w:rFonts w:hint="eastAsia"/>
                      <w:kern w:val="0"/>
                      <w:sz w:val="21"/>
                      <w:szCs w:val="21"/>
                      <w:vertAlign w:val="subscript"/>
                    </w:rPr>
                    <w:t>40</w:t>
                  </w:r>
                  <w:r>
                    <w:rPr>
                      <w:rFonts w:hint="eastAsia"/>
                      <w:kern w:val="0"/>
                      <w:sz w:val="21"/>
                      <w:szCs w:val="21"/>
                    </w:rPr>
                    <w:t>）</w:t>
                  </w:r>
                </w:p>
              </w:tc>
            </w:tr>
            <w:tr w14:paraId="2F80E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65" w:type="pct"/>
                  <w:vMerge w:val="continue"/>
                  <w:vAlign w:val="center"/>
                </w:tcPr>
                <w:p w14:paraId="3C6EAFD6">
                  <w:pPr>
                    <w:widowControl/>
                    <w:adjustRightInd w:val="0"/>
                    <w:snapToGrid w:val="0"/>
                    <w:spacing w:line="240" w:lineRule="auto"/>
                    <w:ind w:firstLine="0" w:firstLineChars="0"/>
                    <w:jc w:val="center"/>
                    <w:rPr>
                      <w:kern w:val="0"/>
                      <w:sz w:val="21"/>
                      <w:szCs w:val="21"/>
                    </w:rPr>
                  </w:pPr>
                </w:p>
              </w:tc>
              <w:tc>
                <w:tcPr>
                  <w:tcW w:w="779" w:type="pct"/>
                  <w:tcMar>
                    <w:left w:w="28" w:type="dxa"/>
                    <w:right w:w="28" w:type="dxa"/>
                  </w:tcMar>
                  <w:vAlign w:val="center"/>
                </w:tcPr>
                <w:p w14:paraId="40E5479E">
                  <w:pPr>
                    <w:widowControl/>
                    <w:adjustRightInd w:val="0"/>
                    <w:snapToGrid w:val="0"/>
                    <w:spacing w:line="240" w:lineRule="auto"/>
                    <w:ind w:firstLine="0" w:firstLineChars="0"/>
                    <w:jc w:val="center"/>
                    <w:rPr>
                      <w:kern w:val="0"/>
                      <w:sz w:val="21"/>
                      <w:szCs w:val="21"/>
                    </w:rPr>
                  </w:pPr>
                  <w:r>
                    <w:rPr>
                      <w:kern w:val="0"/>
                      <w:sz w:val="21"/>
                      <w:szCs w:val="21"/>
                    </w:rPr>
                    <w:t>T3</w:t>
                  </w:r>
                </w:p>
              </w:tc>
              <w:tc>
                <w:tcPr>
                  <w:tcW w:w="609" w:type="pct"/>
                  <w:vAlign w:val="center"/>
                </w:tcPr>
                <w:p w14:paraId="24961C08">
                  <w:pPr>
                    <w:widowControl/>
                    <w:adjustRightInd w:val="0"/>
                    <w:snapToGrid w:val="0"/>
                    <w:spacing w:line="240" w:lineRule="auto"/>
                    <w:ind w:firstLine="0" w:firstLineChars="0"/>
                    <w:jc w:val="center"/>
                    <w:rPr>
                      <w:kern w:val="0"/>
                      <w:sz w:val="21"/>
                      <w:szCs w:val="21"/>
                    </w:rPr>
                  </w:pPr>
                  <w:r>
                    <w:rPr>
                      <w:kern w:val="0"/>
                      <w:sz w:val="21"/>
                      <w:szCs w:val="21"/>
                    </w:rPr>
                    <w:t>1</w:t>
                  </w:r>
                </w:p>
              </w:tc>
              <w:tc>
                <w:tcPr>
                  <w:tcW w:w="567" w:type="pct"/>
                  <w:vAlign w:val="center"/>
                </w:tcPr>
                <w:p w14:paraId="2088C3AF">
                  <w:pPr>
                    <w:widowControl/>
                    <w:adjustRightInd w:val="0"/>
                    <w:snapToGrid w:val="0"/>
                    <w:spacing w:line="240" w:lineRule="auto"/>
                    <w:ind w:firstLine="0" w:firstLineChars="0"/>
                    <w:jc w:val="center"/>
                    <w:rPr>
                      <w:kern w:val="0"/>
                      <w:sz w:val="21"/>
                      <w:szCs w:val="21"/>
                    </w:rPr>
                  </w:pPr>
                  <w:r>
                    <w:rPr>
                      <w:kern w:val="0"/>
                      <w:sz w:val="21"/>
                      <w:szCs w:val="21"/>
                    </w:rPr>
                    <w:t>0~0.2m</w:t>
                  </w:r>
                </w:p>
              </w:tc>
              <w:tc>
                <w:tcPr>
                  <w:tcW w:w="2480" w:type="pct"/>
                  <w:vAlign w:val="center"/>
                </w:tcPr>
                <w:p w14:paraId="69A6D06F">
                  <w:pPr>
                    <w:widowControl/>
                    <w:adjustRightInd w:val="0"/>
                    <w:snapToGrid w:val="0"/>
                    <w:spacing w:line="240" w:lineRule="auto"/>
                    <w:ind w:firstLine="0" w:firstLineChars="0"/>
                    <w:jc w:val="center"/>
                    <w:rPr>
                      <w:kern w:val="0"/>
                      <w:sz w:val="21"/>
                      <w:szCs w:val="21"/>
                    </w:rPr>
                  </w:pPr>
                  <w:r>
                    <w:rPr>
                      <w:rFonts w:hint="eastAsia"/>
                      <w:kern w:val="0"/>
                      <w:sz w:val="21"/>
                      <w:szCs w:val="21"/>
                    </w:rPr>
                    <w:t>石油烃（C</w:t>
                  </w:r>
                  <w:r>
                    <w:rPr>
                      <w:rFonts w:hint="eastAsia"/>
                      <w:kern w:val="0"/>
                      <w:sz w:val="21"/>
                      <w:szCs w:val="21"/>
                      <w:vertAlign w:val="subscript"/>
                    </w:rPr>
                    <w:t>10</w:t>
                  </w:r>
                  <w:r>
                    <w:rPr>
                      <w:rFonts w:hint="eastAsia"/>
                      <w:kern w:val="0"/>
                      <w:sz w:val="21"/>
                      <w:szCs w:val="21"/>
                    </w:rPr>
                    <w:t>-C</w:t>
                  </w:r>
                  <w:r>
                    <w:rPr>
                      <w:rFonts w:hint="eastAsia"/>
                      <w:kern w:val="0"/>
                      <w:sz w:val="21"/>
                      <w:szCs w:val="21"/>
                      <w:vertAlign w:val="subscript"/>
                    </w:rPr>
                    <w:t>40</w:t>
                  </w:r>
                  <w:r>
                    <w:rPr>
                      <w:rFonts w:hint="eastAsia"/>
                      <w:kern w:val="0"/>
                      <w:sz w:val="21"/>
                      <w:szCs w:val="21"/>
                    </w:rPr>
                    <w:t>）</w:t>
                  </w:r>
                </w:p>
              </w:tc>
            </w:tr>
          </w:tbl>
          <w:p w14:paraId="435C1006">
            <w:pPr>
              <w:pStyle w:val="3"/>
              <w:ind w:firstLine="480"/>
            </w:pPr>
          </w:p>
          <w:p w14:paraId="7D0381FD">
            <w:pPr>
              <w:ind w:firstLine="0" w:firstLineChars="0"/>
              <w:jc w:val="center"/>
              <w:rPr>
                <w:kern w:val="0"/>
              </w:rPr>
            </w:pPr>
            <w:r>
              <w:rPr>
                <w:rFonts w:hint="eastAsia"/>
                <w:b/>
              </w:rPr>
              <w:t>***（略，涉及商业秘密）</w:t>
            </w:r>
          </w:p>
          <w:p w14:paraId="083B9E4A">
            <w:pPr>
              <w:pStyle w:val="2"/>
              <w:ind w:firstLine="480"/>
              <w:rPr>
                <w:lang w:val="en-US" w:eastAsia="zh-CN"/>
              </w:rPr>
            </w:pPr>
          </w:p>
          <w:p w14:paraId="33BBCF80">
            <w:pPr>
              <w:pStyle w:val="121"/>
              <w:numPr>
                <w:ilvl w:val="3"/>
                <w:numId w:val="0"/>
              </w:numPr>
              <w:adjustRightInd w:val="0"/>
              <w:snapToGrid w:val="0"/>
              <w:spacing w:line="240" w:lineRule="auto"/>
              <w:ind w:right="0"/>
              <w:jc w:val="center"/>
              <w:rPr>
                <w:kern w:val="0"/>
                <w:szCs w:val="24"/>
              </w:rPr>
            </w:pPr>
            <w:r>
              <w:rPr>
                <w:kern w:val="0"/>
                <w:szCs w:val="24"/>
              </w:rPr>
              <w:t>图</w:t>
            </w:r>
            <w:r>
              <w:rPr>
                <w:rFonts w:hint="eastAsia"/>
                <w:kern w:val="0"/>
                <w:szCs w:val="24"/>
              </w:rPr>
              <w:t>3.2-4噪声及土壤</w:t>
            </w:r>
            <w:r>
              <w:rPr>
                <w:kern w:val="0"/>
                <w:szCs w:val="24"/>
              </w:rPr>
              <w:t>监测点位图</w:t>
            </w:r>
          </w:p>
          <w:p w14:paraId="150E06E0">
            <w:pPr>
              <w:pStyle w:val="8"/>
              <w:adjustRightInd w:val="0"/>
              <w:snapToGrid w:val="0"/>
              <w:spacing w:before="120"/>
              <w:jc w:val="left"/>
              <w:rPr>
                <w:lang w:val="en-US" w:eastAsia="zh-CN"/>
              </w:rPr>
            </w:pPr>
            <w:r>
              <w:rPr>
                <w:lang w:val="en-US" w:eastAsia="zh-CN"/>
              </w:rPr>
              <w:t>（2）评价标准</w:t>
            </w:r>
          </w:p>
          <w:p w14:paraId="0E06A8A9">
            <w:pPr>
              <w:adjustRightInd w:val="0"/>
              <w:snapToGrid w:val="0"/>
              <w:ind w:firstLine="480"/>
            </w:pPr>
            <w:r>
              <w:t>本次调查监测点位土壤因子执行《土壤环境质量建设用地土壤污染风险管控标准（试行）》（GB36600-2018）中筛选值第二类用地标准。</w:t>
            </w:r>
          </w:p>
          <w:p w14:paraId="1F6E8764">
            <w:pPr>
              <w:pStyle w:val="8"/>
              <w:adjustRightInd w:val="0"/>
              <w:snapToGrid w:val="0"/>
              <w:spacing w:before="120"/>
              <w:jc w:val="left"/>
              <w:rPr>
                <w:lang w:val="en-US" w:eastAsia="zh-CN"/>
              </w:rPr>
            </w:pPr>
            <w:r>
              <w:rPr>
                <w:lang w:val="en-US" w:eastAsia="zh-CN"/>
              </w:rPr>
              <w:t>（</w:t>
            </w:r>
            <w:r>
              <w:rPr>
                <w:rFonts w:hint="eastAsia"/>
                <w:lang w:val="en-US" w:eastAsia="zh-CN"/>
              </w:rPr>
              <w:t>3</w:t>
            </w:r>
            <w:r>
              <w:rPr>
                <w:lang w:val="en-US" w:eastAsia="zh-CN"/>
              </w:rPr>
              <w:t>）监测与评价结果</w:t>
            </w:r>
          </w:p>
          <w:p w14:paraId="1B2B5D61">
            <w:pPr>
              <w:adjustRightInd w:val="0"/>
              <w:snapToGrid w:val="0"/>
              <w:ind w:firstLine="480"/>
            </w:pPr>
            <w:bookmarkStart w:id="20" w:name="_Hlk530037442"/>
            <w:r>
              <w:t>监测结果见下表，</w:t>
            </w:r>
            <w:bookmarkEnd w:id="20"/>
            <w:r>
              <w:t>由监测结果可知，</w:t>
            </w:r>
            <w:r>
              <w:rPr>
                <w:rFonts w:hint="eastAsia"/>
              </w:rPr>
              <w:t>码头罐区</w:t>
            </w:r>
            <w:r>
              <w:t>所在区域土壤各项指标浓度能满足《土壤环境质量建设用地土壤污染风险管控标准（试行）》（GB36600-2018）中第二类用地筛选值要求</w:t>
            </w:r>
            <w:r>
              <w:rPr>
                <w:rFonts w:hint="eastAsia"/>
              </w:rPr>
              <w:t>。</w:t>
            </w:r>
          </w:p>
          <w:p w14:paraId="04B8FDD1">
            <w:pPr>
              <w:spacing w:line="240" w:lineRule="auto"/>
              <w:ind w:firstLine="0" w:firstLineChars="0"/>
              <w:jc w:val="center"/>
              <w:rPr>
                <w:b/>
                <w:szCs w:val="20"/>
              </w:rPr>
            </w:pPr>
            <w:r>
              <w:rPr>
                <w:b/>
                <w:szCs w:val="20"/>
              </w:rPr>
              <w:t>表3.2-</w:t>
            </w:r>
            <w:r>
              <w:rPr>
                <w:rFonts w:hint="eastAsia"/>
                <w:b/>
                <w:szCs w:val="20"/>
              </w:rPr>
              <w:t>13码头罐区</w:t>
            </w:r>
            <w:r>
              <w:rPr>
                <w:b/>
                <w:szCs w:val="20"/>
              </w:rPr>
              <w:t>土壤监测结果一览表</w:t>
            </w:r>
          </w:p>
          <w:p w14:paraId="1A8199E7">
            <w:pPr>
              <w:ind w:firstLine="0" w:firstLineChars="0"/>
              <w:jc w:val="center"/>
              <w:rPr>
                <w:kern w:val="0"/>
              </w:rPr>
            </w:pPr>
            <w:r>
              <w:rPr>
                <w:rFonts w:hint="eastAsia"/>
                <w:b/>
              </w:rPr>
              <w:t>***（略，涉及商业秘密）</w:t>
            </w:r>
          </w:p>
          <w:p w14:paraId="0DE751D9">
            <w:pPr>
              <w:pStyle w:val="2"/>
              <w:ind w:firstLine="480"/>
              <w:rPr>
                <w:lang w:val="en-US" w:eastAsia="zh-CN"/>
              </w:rPr>
            </w:pPr>
          </w:p>
          <w:p w14:paraId="66F8880D">
            <w:pPr>
              <w:spacing w:line="240" w:lineRule="auto"/>
              <w:ind w:firstLine="0" w:firstLineChars="0"/>
              <w:jc w:val="center"/>
              <w:rPr>
                <w:b/>
                <w:szCs w:val="20"/>
              </w:rPr>
            </w:pPr>
            <w:r>
              <w:rPr>
                <w:b/>
                <w:szCs w:val="20"/>
              </w:rPr>
              <w:t>表3.2-</w:t>
            </w:r>
            <w:r>
              <w:rPr>
                <w:rFonts w:hint="eastAsia"/>
                <w:b/>
                <w:szCs w:val="20"/>
              </w:rPr>
              <w:t>14码头罐区</w:t>
            </w:r>
            <w:r>
              <w:rPr>
                <w:b/>
                <w:szCs w:val="20"/>
              </w:rPr>
              <w:t>土壤</w:t>
            </w:r>
            <w:r>
              <w:rPr>
                <w:rFonts w:hint="eastAsia"/>
                <w:b/>
                <w:szCs w:val="20"/>
              </w:rPr>
              <w:t>理化性质</w:t>
            </w:r>
            <w:r>
              <w:rPr>
                <w:b/>
                <w:szCs w:val="20"/>
              </w:rPr>
              <w:t>一览表</w:t>
            </w:r>
          </w:p>
          <w:p w14:paraId="6D8BD8F3">
            <w:pPr>
              <w:ind w:firstLine="0" w:firstLineChars="0"/>
              <w:jc w:val="center"/>
              <w:rPr>
                <w:kern w:val="0"/>
              </w:rPr>
            </w:pPr>
            <w:r>
              <w:rPr>
                <w:rFonts w:hint="eastAsia"/>
                <w:b/>
              </w:rPr>
              <w:t>***（略，涉及商业秘密）</w:t>
            </w:r>
          </w:p>
          <w:p w14:paraId="0C6EDC10">
            <w:pPr>
              <w:ind w:firstLine="0" w:firstLineChars="0"/>
              <w:jc w:val="center"/>
              <w:outlineLvl w:val="0"/>
              <w:rPr>
                <w:rFonts w:eastAsia="黑体"/>
                <w:snapToGrid w:val="0"/>
                <w:sz w:val="36"/>
                <w:szCs w:val="36"/>
              </w:rPr>
            </w:pPr>
          </w:p>
        </w:tc>
      </w:tr>
    </w:tbl>
    <w:p w14:paraId="0F805B38">
      <w:pPr>
        <w:ind w:firstLine="0" w:firstLineChars="0"/>
        <w:jc w:val="center"/>
        <w:outlineLvl w:val="0"/>
        <w:rPr>
          <w:rFonts w:eastAsia="黑体"/>
          <w:snapToGrid w:val="0"/>
          <w:sz w:val="36"/>
          <w:szCs w:val="36"/>
        </w:rPr>
        <w:sectPr>
          <w:footerReference r:id="rId28" w:type="default"/>
          <w:pgSz w:w="11905" w:h="16838"/>
          <w:pgMar w:top="1417" w:right="1417" w:bottom="1417" w:left="1417" w:header="851" w:footer="850" w:gutter="0"/>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351"/>
      </w:tblGrid>
      <w:tr w14:paraId="15CE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5D358C01">
            <w:pPr>
              <w:pStyle w:val="71"/>
              <w:rPr>
                <w:kern w:val="2"/>
                <w:szCs w:val="24"/>
                <w:lang w:val="en-US" w:eastAsia="zh-CN"/>
              </w:rPr>
            </w:pPr>
            <w:r>
              <w:rPr>
                <w:kern w:val="2"/>
                <w:szCs w:val="24"/>
                <w:lang w:val="en-US" w:eastAsia="zh-CN"/>
              </w:rPr>
              <w:t>环境</w:t>
            </w:r>
          </w:p>
          <w:p w14:paraId="374EBB23">
            <w:pPr>
              <w:pStyle w:val="71"/>
              <w:rPr>
                <w:kern w:val="2"/>
                <w:szCs w:val="24"/>
                <w:lang w:val="en-US" w:eastAsia="zh-CN"/>
              </w:rPr>
            </w:pPr>
            <w:r>
              <w:rPr>
                <w:kern w:val="2"/>
                <w:szCs w:val="24"/>
                <w:lang w:val="en-US" w:eastAsia="zh-CN"/>
              </w:rPr>
              <w:t>保护</w:t>
            </w:r>
          </w:p>
          <w:p w14:paraId="565788A7">
            <w:pPr>
              <w:pStyle w:val="71"/>
              <w:rPr>
                <w:kern w:val="2"/>
                <w:szCs w:val="24"/>
                <w:lang w:val="en-US" w:eastAsia="zh-CN"/>
              </w:rPr>
            </w:pPr>
            <w:r>
              <w:rPr>
                <w:kern w:val="2"/>
                <w:szCs w:val="24"/>
                <w:lang w:val="en-US" w:eastAsia="zh-CN"/>
              </w:rPr>
              <w:t>目标</w:t>
            </w:r>
          </w:p>
        </w:tc>
        <w:tc>
          <w:tcPr>
            <w:tcW w:w="8831" w:type="dxa"/>
            <w:vAlign w:val="center"/>
          </w:tcPr>
          <w:p w14:paraId="4622FEC8">
            <w:pPr>
              <w:pStyle w:val="7"/>
              <w:spacing w:before="120"/>
            </w:pPr>
            <w:r>
              <w:t>3.3环境保护目标</w:t>
            </w:r>
          </w:p>
          <w:p w14:paraId="78B648B6">
            <w:pPr>
              <w:ind w:firstLine="480"/>
            </w:pPr>
            <w:r>
              <w:t>扩建项目选址周边5km范围内无文物古迹、风景名胜，不在水源地保护区、自然保护区等敏感区域内。扩建项目的周边环境敏感目标详见表3.3-1。项目周边环境敏感目标分布图见附图3。</w:t>
            </w:r>
          </w:p>
          <w:p w14:paraId="281A8A2D">
            <w:pPr>
              <w:spacing w:line="240" w:lineRule="auto"/>
              <w:ind w:firstLine="0" w:firstLineChars="0"/>
              <w:jc w:val="center"/>
              <w:rPr>
                <w:b/>
                <w:szCs w:val="20"/>
              </w:rPr>
            </w:pPr>
            <w:r>
              <w:rPr>
                <w:b/>
                <w:szCs w:val="20"/>
              </w:rPr>
              <w:t>表3.3-1项目周边环境敏感目标</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425"/>
              <w:gridCol w:w="937"/>
              <w:gridCol w:w="1357"/>
              <w:gridCol w:w="937"/>
              <w:gridCol w:w="2407"/>
            </w:tblGrid>
            <w:tr w14:paraId="1440C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Align w:val="center"/>
                </w:tcPr>
                <w:p w14:paraId="0A292B40">
                  <w:pPr>
                    <w:pStyle w:val="184"/>
                    <w:rPr>
                      <w:kern w:val="2"/>
                      <w:sz w:val="21"/>
                      <w:lang w:val="en-US" w:eastAsia="zh-CN"/>
                    </w:rPr>
                  </w:pPr>
                  <w:r>
                    <w:rPr>
                      <w:kern w:val="2"/>
                      <w:sz w:val="21"/>
                      <w:lang w:val="en-US" w:eastAsia="zh-CN"/>
                    </w:rPr>
                    <w:t>环境要素</w:t>
                  </w:r>
                </w:p>
              </w:tc>
              <w:tc>
                <w:tcPr>
                  <w:tcW w:w="2862" w:type="pct"/>
                  <w:gridSpan w:val="4"/>
                  <w:vAlign w:val="center"/>
                </w:tcPr>
                <w:p w14:paraId="69356263">
                  <w:pPr>
                    <w:pStyle w:val="184"/>
                    <w:rPr>
                      <w:kern w:val="2"/>
                      <w:sz w:val="21"/>
                      <w:lang w:val="en-US" w:eastAsia="zh-CN"/>
                    </w:rPr>
                  </w:pPr>
                  <w:r>
                    <w:rPr>
                      <w:kern w:val="2"/>
                      <w:sz w:val="21"/>
                      <w:lang w:val="en-US" w:eastAsia="zh-CN"/>
                    </w:rPr>
                    <w:t>环境保护目标</w:t>
                  </w:r>
                </w:p>
              </w:tc>
              <w:tc>
                <w:tcPr>
                  <w:tcW w:w="1479" w:type="pct"/>
                  <w:vAlign w:val="center"/>
                </w:tcPr>
                <w:p w14:paraId="11561EB8">
                  <w:pPr>
                    <w:pStyle w:val="184"/>
                    <w:rPr>
                      <w:kern w:val="2"/>
                      <w:sz w:val="21"/>
                      <w:lang w:val="en-US" w:eastAsia="zh-CN"/>
                    </w:rPr>
                  </w:pPr>
                  <w:r>
                    <w:rPr>
                      <w:kern w:val="2"/>
                      <w:sz w:val="21"/>
                      <w:lang w:val="en-US" w:eastAsia="zh-CN"/>
                    </w:rPr>
                    <w:t>功能区划要求</w:t>
                  </w:r>
                </w:p>
              </w:tc>
            </w:tr>
            <w:tr w14:paraId="5A4FB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659" w:type="pct"/>
                  <w:vMerge w:val="restart"/>
                  <w:vAlign w:val="center"/>
                </w:tcPr>
                <w:p w14:paraId="7CBFD928">
                  <w:pPr>
                    <w:pStyle w:val="184"/>
                    <w:rPr>
                      <w:kern w:val="2"/>
                      <w:sz w:val="21"/>
                      <w:lang w:val="en-US" w:eastAsia="zh-CN"/>
                    </w:rPr>
                  </w:pPr>
                  <w:r>
                    <w:rPr>
                      <w:kern w:val="2"/>
                      <w:sz w:val="21"/>
                      <w:lang w:val="en-US" w:eastAsia="zh-CN"/>
                    </w:rPr>
                    <w:t>环境风险</w:t>
                  </w:r>
                </w:p>
              </w:tc>
              <w:tc>
                <w:tcPr>
                  <w:tcW w:w="876" w:type="pct"/>
                  <w:vAlign w:val="center"/>
                </w:tcPr>
                <w:p w14:paraId="3E8FAEB6">
                  <w:pPr>
                    <w:pStyle w:val="184"/>
                    <w:rPr>
                      <w:kern w:val="2"/>
                      <w:sz w:val="21"/>
                      <w:lang w:val="en-US" w:eastAsia="zh-CN"/>
                    </w:rPr>
                  </w:pPr>
                  <w:r>
                    <w:rPr>
                      <w:kern w:val="2"/>
                      <w:sz w:val="21"/>
                      <w:lang w:val="en-US" w:eastAsia="zh-CN"/>
                    </w:rPr>
                    <w:t>敏感点名称</w:t>
                  </w:r>
                </w:p>
              </w:tc>
              <w:tc>
                <w:tcPr>
                  <w:tcW w:w="576" w:type="pct"/>
                  <w:vAlign w:val="center"/>
                </w:tcPr>
                <w:p w14:paraId="798979C8">
                  <w:pPr>
                    <w:pStyle w:val="184"/>
                    <w:rPr>
                      <w:kern w:val="2"/>
                      <w:sz w:val="21"/>
                      <w:lang w:val="en-US" w:eastAsia="zh-CN"/>
                    </w:rPr>
                  </w:pPr>
                  <w:r>
                    <w:rPr>
                      <w:kern w:val="2"/>
                      <w:sz w:val="21"/>
                      <w:lang w:val="en-US" w:eastAsia="zh-CN"/>
                    </w:rPr>
                    <w:t>方位</w:t>
                  </w:r>
                </w:p>
              </w:tc>
              <w:tc>
                <w:tcPr>
                  <w:tcW w:w="834" w:type="pct"/>
                  <w:vAlign w:val="center"/>
                </w:tcPr>
                <w:p w14:paraId="5C18E738">
                  <w:pPr>
                    <w:pStyle w:val="184"/>
                    <w:rPr>
                      <w:kern w:val="2"/>
                      <w:sz w:val="21"/>
                      <w:lang w:val="en-US" w:eastAsia="zh-CN"/>
                    </w:rPr>
                  </w:pPr>
                  <w:r>
                    <w:rPr>
                      <w:kern w:val="2"/>
                      <w:sz w:val="21"/>
                      <w:lang w:val="en-US" w:eastAsia="zh-CN"/>
                    </w:rPr>
                    <w:t>距厂界距离m</w:t>
                  </w:r>
                </w:p>
              </w:tc>
              <w:tc>
                <w:tcPr>
                  <w:tcW w:w="576" w:type="pct"/>
                  <w:vAlign w:val="center"/>
                </w:tcPr>
                <w:p w14:paraId="448F05E5">
                  <w:pPr>
                    <w:pStyle w:val="184"/>
                    <w:rPr>
                      <w:kern w:val="2"/>
                      <w:sz w:val="21"/>
                      <w:lang w:val="en-US" w:eastAsia="zh-CN"/>
                    </w:rPr>
                  </w:pPr>
                  <w:r>
                    <w:rPr>
                      <w:kern w:val="2"/>
                      <w:sz w:val="21"/>
                      <w:lang w:val="en-US" w:eastAsia="zh-CN"/>
                    </w:rPr>
                    <w:t>人口（人）</w:t>
                  </w:r>
                </w:p>
              </w:tc>
              <w:tc>
                <w:tcPr>
                  <w:tcW w:w="1479" w:type="pct"/>
                  <w:vMerge w:val="restart"/>
                  <w:vAlign w:val="center"/>
                </w:tcPr>
                <w:p w14:paraId="0E5FD2A0">
                  <w:pPr>
                    <w:pStyle w:val="184"/>
                    <w:rPr>
                      <w:kern w:val="2"/>
                      <w:sz w:val="21"/>
                      <w:lang w:val="en-US" w:eastAsia="zh-CN"/>
                    </w:rPr>
                  </w:pPr>
                  <w:r>
                    <w:rPr>
                      <w:kern w:val="2"/>
                      <w:sz w:val="21"/>
                      <w:lang w:val="en-US" w:eastAsia="zh-CN"/>
                    </w:rPr>
                    <w:t>保护各敏感目标现有环境功能</w:t>
                  </w:r>
                </w:p>
              </w:tc>
            </w:tr>
            <w:tr w14:paraId="09BEA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1C9CD71D">
                  <w:pPr>
                    <w:pStyle w:val="184"/>
                    <w:rPr>
                      <w:kern w:val="2"/>
                      <w:sz w:val="21"/>
                      <w:lang w:val="en-US" w:eastAsia="zh-CN"/>
                    </w:rPr>
                  </w:pPr>
                  <w:bookmarkStart w:id="21" w:name="OLE_LINK36" w:colFirst="4" w:colLast="4"/>
                  <w:bookmarkStart w:id="22" w:name="OLE_LINK37" w:colFirst="4" w:colLast="4"/>
                  <w:bookmarkStart w:id="23" w:name="_Hlk105432810"/>
                </w:p>
              </w:tc>
              <w:tc>
                <w:tcPr>
                  <w:tcW w:w="876" w:type="pct"/>
                  <w:vAlign w:val="center"/>
                </w:tcPr>
                <w:p w14:paraId="0E16B879">
                  <w:pPr>
                    <w:pStyle w:val="184"/>
                    <w:rPr>
                      <w:kern w:val="2"/>
                      <w:sz w:val="21"/>
                      <w:lang w:val="en-US" w:eastAsia="zh-CN"/>
                    </w:rPr>
                  </w:pPr>
                  <w:r>
                    <w:rPr>
                      <w:kern w:val="2"/>
                      <w:sz w:val="21"/>
                      <w:lang w:val="en-US" w:eastAsia="zh-CN"/>
                    </w:rPr>
                    <w:t>下石村</w:t>
                  </w:r>
                </w:p>
              </w:tc>
              <w:tc>
                <w:tcPr>
                  <w:tcW w:w="576" w:type="pct"/>
                  <w:vAlign w:val="center"/>
                </w:tcPr>
                <w:p w14:paraId="1D05D58A">
                  <w:pPr>
                    <w:pStyle w:val="184"/>
                    <w:rPr>
                      <w:kern w:val="2"/>
                      <w:sz w:val="21"/>
                      <w:lang w:val="en-US" w:eastAsia="zh-CN"/>
                    </w:rPr>
                  </w:pPr>
                  <w:r>
                    <w:rPr>
                      <w:kern w:val="2"/>
                      <w:sz w:val="21"/>
                      <w:lang w:val="en-US" w:eastAsia="zh-CN"/>
                    </w:rPr>
                    <w:t>E</w:t>
                  </w:r>
                </w:p>
              </w:tc>
              <w:tc>
                <w:tcPr>
                  <w:tcW w:w="834" w:type="pct"/>
                  <w:vAlign w:val="center"/>
                </w:tcPr>
                <w:p w14:paraId="4BC5B9F3">
                  <w:pPr>
                    <w:pStyle w:val="184"/>
                    <w:rPr>
                      <w:kern w:val="2"/>
                      <w:sz w:val="21"/>
                      <w:lang w:val="en-US" w:eastAsia="zh-CN"/>
                    </w:rPr>
                  </w:pPr>
                  <w:r>
                    <w:rPr>
                      <w:rFonts w:hint="eastAsia"/>
                      <w:kern w:val="2"/>
                      <w:sz w:val="21"/>
                      <w:lang w:val="en-US" w:eastAsia="zh-CN"/>
                    </w:rPr>
                    <w:t>2721</w:t>
                  </w:r>
                </w:p>
              </w:tc>
              <w:tc>
                <w:tcPr>
                  <w:tcW w:w="576" w:type="pct"/>
                  <w:vAlign w:val="center"/>
                </w:tcPr>
                <w:p w14:paraId="13D862EC">
                  <w:pPr>
                    <w:pStyle w:val="184"/>
                    <w:rPr>
                      <w:kern w:val="2"/>
                      <w:sz w:val="21"/>
                      <w:lang w:val="en-US" w:eastAsia="zh-CN"/>
                    </w:rPr>
                  </w:pPr>
                  <w:r>
                    <w:rPr>
                      <w:kern w:val="2"/>
                      <w:sz w:val="21"/>
                      <w:lang w:val="en-US" w:eastAsia="zh-CN"/>
                    </w:rPr>
                    <w:t>2360</w:t>
                  </w:r>
                </w:p>
              </w:tc>
              <w:tc>
                <w:tcPr>
                  <w:tcW w:w="1479" w:type="pct"/>
                  <w:vMerge w:val="continue"/>
                  <w:vAlign w:val="center"/>
                </w:tcPr>
                <w:p w14:paraId="1F5C510F">
                  <w:pPr>
                    <w:pStyle w:val="184"/>
                    <w:rPr>
                      <w:kern w:val="2"/>
                      <w:sz w:val="21"/>
                      <w:lang w:val="en-US" w:eastAsia="zh-CN"/>
                    </w:rPr>
                  </w:pPr>
                </w:p>
              </w:tc>
            </w:tr>
            <w:tr w14:paraId="7129E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659" w:type="pct"/>
                  <w:vMerge w:val="continue"/>
                  <w:vAlign w:val="center"/>
                </w:tcPr>
                <w:p w14:paraId="2517244F">
                  <w:pPr>
                    <w:pStyle w:val="184"/>
                    <w:rPr>
                      <w:kern w:val="2"/>
                      <w:sz w:val="21"/>
                      <w:lang w:val="en-US" w:eastAsia="zh-CN"/>
                    </w:rPr>
                  </w:pPr>
                </w:p>
              </w:tc>
              <w:tc>
                <w:tcPr>
                  <w:tcW w:w="876" w:type="pct"/>
                  <w:vAlign w:val="center"/>
                </w:tcPr>
                <w:p w14:paraId="6CD1FE9B">
                  <w:pPr>
                    <w:pStyle w:val="184"/>
                    <w:rPr>
                      <w:kern w:val="2"/>
                      <w:sz w:val="21"/>
                      <w:lang w:val="en-US" w:eastAsia="zh-CN"/>
                    </w:rPr>
                  </w:pPr>
                  <w:r>
                    <w:rPr>
                      <w:kern w:val="2"/>
                      <w:sz w:val="21"/>
                      <w:lang w:val="en-US" w:eastAsia="zh-CN"/>
                    </w:rPr>
                    <w:t>西后林村</w:t>
                  </w:r>
                </w:p>
              </w:tc>
              <w:tc>
                <w:tcPr>
                  <w:tcW w:w="576" w:type="pct"/>
                  <w:vAlign w:val="center"/>
                </w:tcPr>
                <w:p w14:paraId="59F58BB3">
                  <w:pPr>
                    <w:pStyle w:val="184"/>
                    <w:rPr>
                      <w:kern w:val="2"/>
                      <w:sz w:val="21"/>
                      <w:lang w:val="en-US" w:eastAsia="zh-CN"/>
                    </w:rPr>
                  </w:pPr>
                  <w:r>
                    <w:rPr>
                      <w:rFonts w:hint="eastAsia"/>
                      <w:kern w:val="2"/>
                      <w:sz w:val="21"/>
                      <w:lang w:val="en-US" w:eastAsia="zh-CN"/>
                    </w:rPr>
                    <w:t>N</w:t>
                  </w:r>
                  <w:r>
                    <w:rPr>
                      <w:kern w:val="2"/>
                      <w:sz w:val="21"/>
                      <w:lang w:val="en-US" w:eastAsia="zh-CN"/>
                    </w:rPr>
                    <w:t>E</w:t>
                  </w:r>
                </w:p>
              </w:tc>
              <w:tc>
                <w:tcPr>
                  <w:tcW w:w="834" w:type="pct"/>
                  <w:vAlign w:val="center"/>
                </w:tcPr>
                <w:p w14:paraId="5E2DE2E6">
                  <w:pPr>
                    <w:pStyle w:val="184"/>
                    <w:rPr>
                      <w:kern w:val="2"/>
                      <w:sz w:val="21"/>
                      <w:lang w:val="en-US" w:eastAsia="zh-CN"/>
                    </w:rPr>
                  </w:pPr>
                  <w:r>
                    <w:rPr>
                      <w:rFonts w:hint="eastAsia"/>
                      <w:kern w:val="2"/>
                      <w:sz w:val="21"/>
                      <w:lang w:val="en-US" w:eastAsia="zh-CN"/>
                    </w:rPr>
                    <w:t>2692</w:t>
                  </w:r>
                </w:p>
              </w:tc>
              <w:tc>
                <w:tcPr>
                  <w:tcW w:w="576" w:type="pct"/>
                  <w:vAlign w:val="center"/>
                </w:tcPr>
                <w:p w14:paraId="7BD8F0FA">
                  <w:pPr>
                    <w:pStyle w:val="184"/>
                    <w:rPr>
                      <w:kern w:val="2"/>
                      <w:sz w:val="21"/>
                      <w:lang w:val="en-US" w:eastAsia="zh-CN"/>
                    </w:rPr>
                  </w:pPr>
                  <w:r>
                    <w:rPr>
                      <w:kern w:val="2"/>
                      <w:sz w:val="21"/>
                      <w:lang w:val="en-US" w:eastAsia="zh-CN"/>
                    </w:rPr>
                    <w:t>2100</w:t>
                  </w:r>
                </w:p>
              </w:tc>
              <w:tc>
                <w:tcPr>
                  <w:tcW w:w="1479" w:type="pct"/>
                  <w:vMerge w:val="continue"/>
                  <w:vAlign w:val="center"/>
                </w:tcPr>
                <w:p w14:paraId="0D05A601">
                  <w:pPr>
                    <w:pStyle w:val="184"/>
                    <w:rPr>
                      <w:kern w:val="2"/>
                      <w:sz w:val="21"/>
                      <w:lang w:val="en-US" w:eastAsia="zh-CN"/>
                    </w:rPr>
                  </w:pPr>
                </w:p>
              </w:tc>
            </w:tr>
            <w:tr w14:paraId="7C181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6D23D5C8">
                  <w:pPr>
                    <w:pStyle w:val="184"/>
                    <w:rPr>
                      <w:kern w:val="2"/>
                      <w:sz w:val="21"/>
                      <w:lang w:val="en-US" w:eastAsia="zh-CN"/>
                    </w:rPr>
                  </w:pPr>
                </w:p>
              </w:tc>
              <w:tc>
                <w:tcPr>
                  <w:tcW w:w="876" w:type="pct"/>
                  <w:vAlign w:val="center"/>
                </w:tcPr>
                <w:p w14:paraId="2AD24748">
                  <w:pPr>
                    <w:pStyle w:val="184"/>
                    <w:rPr>
                      <w:kern w:val="2"/>
                      <w:sz w:val="21"/>
                      <w:lang w:val="en-US" w:eastAsia="zh-CN"/>
                    </w:rPr>
                  </w:pPr>
                  <w:r>
                    <w:rPr>
                      <w:kern w:val="2"/>
                      <w:sz w:val="21"/>
                      <w:lang w:val="en-US" w:eastAsia="zh-CN"/>
                    </w:rPr>
                    <w:t>何厝村</w:t>
                  </w:r>
                </w:p>
              </w:tc>
              <w:tc>
                <w:tcPr>
                  <w:tcW w:w="576" w:type="pct"/>
                  <w:vAlign w:val="center"/>
                </w:tcPr>
                <w:p w14:paraId="18457268">
                  <w:pPr>
                    <w:pStyle w:val="184"/>
                    <w:rPr>
                      <w:kern w:val="2"/>
                      <w:sz w:val="21"/>
                      <w:lang w:val="en-US" w:eastAsia="zh-CN"/>
                    </w:rPr>
                  </w:pPr>
                  <w:r>
                    <w:rPr>
                      <w:rFonts w:hint="eastAsia"/>
                      <w:kern w:val="2"/>
                      <w:sz w:val="21"/>
                      <w:lang w:val="en-US" w:eastAsia="zh-CN"/>
                    </w:rPr>
                    <w:t>N</w:t>
                  </w:r>
                  <w:r>
                    <w:rPr>
                      <w:kern w:val="2"/>
                      <w:sz w:val="21"/>
                      <w:lang w:val="en-US" w:eastAsia="zh-CN"/>
                    </w:rPr>
                    <w:t>E</w:t>
                  </w:r>
                </w:p>
              </w:tc>
              <w:tc>
                <w:tcPr>
                  <w:tcW w:w="834" w:type="pct"/>
                  <w:vAlign w:val="center"/>
                </w:tcPr>
                <w:p w14:paraId="06BBCB4B">
                  <w:pPr>
                    <w:pStyle w:val="184"/>
                    <w:rPr>
                      <w:kern w:val="2"/>
                      <w:sz w:val="21"/>
                      <w:lang w:val="en-US" w:eastAsia="zh-CN"/>
                    </w:rPr>
                  </w:pPr>
                  <w:r>
                    <w:rPr>
                      <w:rFonts w:hint="eastAsia"/>
                      <w:kern w:val="2"/>
                      <w:sz w:val="21"/>
                      <w:lang w:val="en-US" w:eastAsia="zh-CN"/>
                    </w:rPr>
                    <w:t>3118</w:t>
                  </w:r>
                </w:p>
              </w:tc>
              <w:tc>
                <w:tcPr>
                  <w:tcW w:w="576" w:type="pct"/>
                  <w:vAlign w:val="center"/>
                </w:tcPr>
                <w:p w14:paraId="0A65F2EA">
                  <w:pPr>
                    <w:pStyle w:val="184"/>
                    <w:rPr>
                      <w:kern w:val="2"/>
                      <w:sz w:val="21"/>
                      <w:lang w:val="en-US" w:eastAsia="zh-CN"/>
                    </w:rPr>
                  </w:pPr>
                  <w:r>
                    <w:rPr>
                      <w:kern w:val="2"/>
                      <w:sz w:val="21"/>
                      <w:lang w:val="en-US" w:eastAsia="zh-CN"/>
                    </w:rPr>
                    <w:t>6360</w:t>
                  </w:r>
                </w:p>
              </w:tc>
              <w:tc>
                <w:tcPr>
                  <w:tcW w:w="1479" w:type="pct"/>
                  <w:vMerge w:val="continue"/>
                  <w:vAlign w:val="center"/>
                </w:tcPr>
                <w:p w14:paraId="0043EFFF">
                  <w:pPr>
                    <w:pStyle w:val="184"/>
                    <w:rPr>
                      <w:kern w:val="2"/>
                      <w:sz w:val="21"/>
                      <w:lang w:val="en-US" w:eastAsia="zh-CN"/>
                    </w:rPr>
                  </w:pPr>
                </w:p>
              </w:tc>
            </w:tr>
            <w:tr w14:paraId="11778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4C756B6F">
                  <w:pPr>
                    <w:pStyle w:val="184"/>
                    <w:rPr>
                      <w:kern w:val="2"/>
                      <w:sz w:val="21"/>
                      <w:lang w:val="en-US" w:eastAsia="zh-CN"/>
                    </w:rPr>
                  </w:pPr>
                </w:p>
              </w:tc>
              <w:tc>
                <w:tcPr>
                  <w:tcW w:w="876" w:type="pct"/>
                  <w:vAlign w:val="center"/>
                </w:tcPr>
                <w:p w14:paraId="0D0CE3AE">
                  <w:pPr>
                    <w:pStyle w:val="184"/>
                    <w:rPr>
                      <w:kern w:val="2"/>
                      <w:sz w:val="21"/>
                      <w:lang w:val="en-US" w:eastAsia="zh-CN"/>
                    </w:rPr>
                  </w:pPr>
                  <w:r>
                    <w:rPr>
                      <w:kern w:val="2"/>
                      <w:sz w:val="21"/>
                      <w:lang w:val="en-US" w:eastAsia="zh-CN"/>
                    </w:rPr>
                    <w:t>南曹村</w:t>
                  </w:r>
                </w:p>
              </w:tc>
              <w:tc>
                <w:tcPr>
                  <w:tcW w:w="576" w:type="pct"/>
                  <w:vAlign w:val="center"/>
                </w:tcPr>
                <w:p w14:paraId="2998FD7E">
                  <w:pPr>
                    <w:pStyle w:val="184"/>
                    <w:rPr>
                      <w:kern w:val="2"/>
                      <w:sz w:val="21"/>
                      <w:lang w:val="en-US" w:eastAsia="zh-CN"/>
                    </w:rPr>
                  </w:pPr>
                  <w:r>
                    <w:rPr>
                      <w:kern w:val="2"/>
                      <w:sz w:val="21"/>
                      <w:lang w:val="en-US" w:eastAsia="zh-CN"/>
                    </w:rPr>
                    <w:t>NE</w:t>
                  </w:r>
                </w:p>
              </w:tc>
              <w:tc>
                <w:tcPr>
                  <w:tcW w:w="834" w:type="pct"/>
                  <w:vAlign w:val="center"/>
                </w:tcPr>
                <w:p w14:paraId="1494E640">
                  <w:pPr>
                    <w:pStyle w:val="184"/>
                    <w:rPr>
                      <w:kern w:val="2"/>
                      <w:sz w:val="21"/>
                      <w:lang w:val="en-US" w:eastAsia="zh-CN"/>
                    </w:rPr>
                  </w:pPr>
                  <w:r>
                    <w:rPr>
                      <w:rFonts w:hint="eastAsia"/>
                      <w:kern w:val="2"/>
                      <w:sz w:val="21"/>
                      <w:lang w:val="en-US" w:eastAsia="zh-CN"/>
                    </w:rPr>
                    <w:t>4283</w:t>
                  </w:r>
                </w:p>
              </w:tc>
              <w:tc>
                <w:tcPr>
                  <w:tcW w:w="576" w:type="pct"/>
                  <w:vAlign w:val="center"/>
                </w:tcPr>
                <w:p w14:paraId="0F57B3E1">
                  <w:pPr>
                    <w:pStyle w:val="184"/>
                    <w:rPr>
                      <w:kern w:val="2"/>
                      <w:sz w:val="21"/>
                      <w:lang w:val="en-US" w:eastAsia="zh-CN"/>
                    </w:rPr>
                  </w:pPr>
                  <w:r>
                    <w:rPr>
                      <w:kern w:val="2"/>
                      <w:sz w:val="21"/>
                      <w:lang w:val="en-US" w:eastAsia="zh-CN"/>
                    </w:rPr>
                    <w:t>5420</w:t>
                  </w:r>
                </w:p>
              </w:tc>
              <w:tc>
                <w:tcPr>
                  <w:tcW w:w="1479" w:type="pct"/>
                  <w:vMerge w:val="continue"/>
                  <w:vAlign w:val="center"/>
                </w:tcPr>
                <w:p w14:paraId="2E30B25B">
                  <w:pPr>
                    <w:pStyle w:val="184"/>
                    <w:rPr>
                      <w:kern w:val="2"/>
                      <w:sz w:val="21"/>
                      <w:lang w:val="en-US" w:eastAsia="zh-CN"/>
                    </w:rPr>
                  </w:pPr>
                </w:p>
              </w:tc>
            </w:tr>
            <w:tr w14:paraId="6EF80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5B11027F">
                  <w:pPr>
                    <w:pStyle w:val="184"/>
                    <w:rPr>
                      <w:kern w:val="2"/>
                      <w:sz w:val="21"/>
                      <w:lang w:val="en-US" w:eastAsia="zh-CN"/>
                    </w:rPr>
                  </w:pPr>
                </w:p>
              </w:tc>
              <w:tc>
                <w:tcPr>
                  <w:tcW w:w="876" w:type="pct"/>
                  <w:vAlign w:val="center"/>
                </w:tcPr>
                <w:p w14:paraId="7F4D9BA1">
                  <w:pPr>
                    <w:pStyle w:val="184"/>
                    <w:rPr>
                      <w:kern w:val="2"/>
                      <w:sz w:val="21"/>
                      <w:lang w:val="en-US" w:eastAsia="zh-CN"/>
                    </w:rPr>
                  </w:pPr>
                  <w:r>
                    <w:rPr>
                      <w:kern w:val="2"/>
                      <w:sz w:val="21"/>
                      <w:lang w:val="en-US" w:eastAsia="zh-CN"/>
                    </w:rPr>
                    <w:t>东江水厂</w:t>
                  </w:r>
                </w:p>
              </w:tc>
              <w:tc>
                <w:tcPr>
                  <w:tcW w:w="576" w:type="pct"/>
                  <w:vAlign w:val="center"/>
                </w:tcPr>
                <w:p w14:paraId="278B18C3">
                  <w:pPr>
                    <w:pStyle w:val="184"/>
                    <w:rPr>
                      <w:kern w:val="2"/>
                      <w:sz w:val="21"/>
                      <w:lang w:val="en-US" w:eastAsia="zh-CN"/>
                    </w:rPr>
                  </w:pPr>
                  <w:r>
                    <w:rPr>
                      <w:rFonts w:hint="eastAsia"/>
                      <w:kern w:val="2"/>
                      <w:sz w:val="21"/>
                      <w:lang w:val="en-US" w:eastAsia="zh-CN"/>
                    </w:rPr>
                    <w:t>N</w:t>
                  </w:r>
                </w:p>
              </w:tc>
              <w:tc>
                <w:tcPr>
                  <w:tcW w:w="834" w:type="pct"/>
                  <w:vAlign w:val="center"/>
                </w:tcPr>
                <w:p w14:paraId="016D3CB6">
                  <w:pPr>
                    <w:pStyle w:val="184"/>
                    <w:rPr>
                      <w:kern w:val="2"/>
                      <w:sz w:val="21"/>
                      <w:lang w:val="en-US" w:eastAsia="zh-CN"/>
                    </w:rPr>
                  </w:pPr>
                  <w:r>
                    <w:rPr>
                      <w:rFonts w:hint="eastAsia"/>
                      <w:kern w:val="2"/>
                      <w:sz w:val="21"/>
                      <w:lang w:val="en-US" w:eastAsia="zh-CN"/>
                    </w:rPr>
                    <w:t>4046</w:t>
                  </w:r>
                </w:p>
              </w:tc>
              <w:tc>
                <w:tcPr>
                  <w:tcW w:w="576" w:type="pct"/>
                  <w:vAlign w:val="center"/>
                </w:tcPr>
                <w:p w14:paraId="06C48831">
                  <w:pPr>
                    <w:pStyle w:val="184"/>
                    <w:rPr>
                      <w:kern w:val="2"/>
                      <w:sz w:val="21"/>
                      <w:lang w:val="en-US" w:eastAsia="zh-CN"/>
                    </w:rPr>
                  </w:pPr>
                  <w:r>
                    <w:rPr>
                      <w:kern w:val="2"/>
                      <w:sz w:val="21"/>
                      <w:lang w:val="en-US" w:eastAsia="zh-CN"/>
                    </w:rPr>
                    <w:t>/</w:t>
                  </w:r>
                </w:p>
              </w:tc>
              <w:tc>
                <w:tcPr>
                  <w:tcW w:w="1479" w:type="pct"/>
                  <w:vMerge w:val="continue"/>
                  <w:vAlign w:val="center"/>
                </w:tcPr>
                <w:p w14:paraId="1E1DDCFA">
                  <w:pPr>
                    <w:pStyle w:val="184"/>
                    <w:rPr>
                      <w:kern w:val="2"/>
                      <w:sz w:val="21"/>
                      <w:lang w:val="en-US" w:eastAsia="zh-CN"/>
                    </w:rPr>
                  </w:pPr>
                </w:p>
              </w:tc>
            </w:tr>
            <w:tr w14:paraId="2005F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0CD48449">
                  <w:pPr>
                    <w:pStyle w:val="184"/>
                    <w:rPr>
                      <w:kern w:val="2"/>
                      <w:sz w:val="21"/>
                      <w:lang w:val="en-US" w:eastAsia="zh-CN"/>
                    </w:rPr>
                  </w:pPr>
                </w:p>
              </w:tc>
              <w:tc>
                <w:tcPr>
                  <w:tcW w:w="876" w:type="pct"/>
                  <w:vAlign w:val="center"/>
                </w:tcPr>
                <w:p w14:paraId="6FC59D24">
                  <w:pPr>
                    <w:pStyle w:val="184"/>
                    <w:rPr>
                      <w:kern w:val="2"/>
                      <w:sz w:val="21"/>
                      <w:lang w:val="en-US" w:eastAsia="zh-CN"/>
                    </w:rPr>
                  </w:pPr>
                  <w:r>
                    <w:rPr>
                      <w:kern w:val="2"/>
                      <w:sz w:val="21"/>
                      <w:lang w:val="en-US" w:eastAsia="zh-CN"/>
                    </w:rPr>
                    <w:t>芝山村</w:t>
                  </w:r>
                </w:p>
              </w:tc>
              <w:tc>
                <w:tcPr>
                  <w:tcW w:w="576" w:type="pct"/>
                  <w:vAlign w:val="center"/>
                </w:tcPr>
                <w:p w14:paraId="3F4F6D65">
                  <w:pPr>
                    <w:pStyle w:val="184"/>
                    <w:rPr>
                      <w:kern w:val="2"/>
                      <w:sz w:val="21"/>
                      <w:lang w:val="en-US" w:eastAsia="zh-CN"/>
                    </w:rPr>
                  </w:pPr>
                  <w:r>
                    <w:rPr>
                      <w:kern w:val="2"/>
                      <w:sz w:val="21"/>
                      <w:lang w:val="en-US" w:eastAsia="zh-CN"/>
                    </w:rPr>
                    <w:t>NE</w:t>
                  </w:r>
                </w:p>
              </w:tc>
              <w:tc>
                <w:tcPr>
                  <w:tcW w:w="834" w:type="pct"/>
                  <w:vAlign w:val="center"/>
                </w:tcPr>
                <w:p w14:paraId="3F9EB38C">
                  <w:pPr>
                    <w:pStyle w:val="184"/>
                    <w:rPr>
                      <w:kern w:val="2"/>
                      <w:sz w:val="21"/>
                      <w:lang w:val="en-US" w:eastAsia="zh-CN"/>
                    </w:rPr>
                  </w:pPr>
                  <w:r>
                    <w:rPr>
                      <w:rFonts w:hint="eastAsia"/>
                      <w:kern w:val="2"/>
                      <w:sz w:val="21"/>
                      <w:lang w:val="en-US" w:eastAsia="zh-CN"/>
                    </w:rPr>
                    <w:t>4630</w:t>
                  </w:r>
                </w:p>
              </w:tc>
              <w:tc>
                <w:tcPr>
                  <w:tcW w:w="576" w:type="pct"/>
                  <w:vAlign w:val="center"/>
                </w:tcPr>
                <w:p w14:paraId="51E467F6">
                  <w:pPr>
                    <w:pStyle w:val="184"/>
                    <w:rPr>
                      <w:kern w:val="2"/>
                      <w:sz w:val="21"/>
                      <w:lang w:val="en-US" w:eastAsia="zh-CN"/>
                    </w:rPr>
                  </w:pPr>
                  <w:r>
                    <w:rPr>
                      <w:kern w:val="2"/>
                      <w:sz w:val="21"/>
                      <w:lang w:val="en-US" w:eastAsia="zh-CN"/>
                    </w:rPr>
                    <w:t>1800</w:t>
                  </w:r>
                </w:p>
              </w:tc>
              <w:tc>
                <w:tcPr>
                  <w:tcW w:w="1479" w:type="pct"/>
                  <w:vMerge w:val="continue"/>
                  <w:vAlign w:val="center"/>
                </w:tcPr>
                <w:p w14:paraId="21C36F2C">
                  <w:pPr>
                    <w:pStyle w:val="184"/>
                    <w:rPr>
                      <w:kern w:val="2"/>
                      <w:sz w:val="21"/>
                      <w:lang w:val="en-US" w:eastAsia="zh-CN"/>
                    </w:rPr>
                  </w:pPr>
                </w:p>
              </w:tc>
            </w:tr>
            <w:tr w14:paraId="4CEB5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51479141">
                  <w:pPr>
                    <w:pStyle w:val="184"/>
                    <w:rPr>
                      <w:kern w:val="2"/>
                      <w:sz w:val="21"/>
                      <w:lang w:val="en-US" w:eastAsia="zh-CN"/>
                    </w:rPr>
                  </w:pPr>
                </w:p>
              </w:tc>
              <w:tc>
                <w:tcPr>
                  <w:tcW w:w="876" w:type="pct"/>
                  <w:vAlign w:val="center"/>
                </w:tcPr>
                <w:p w14:paraId="04937CFF">
                  <w:pPr>
                    <w:pStyle w:val="184"/>
                    <w:rPr>
                      <w:kern w:val="2"/>
                      <w:sz w:val="21"/>
                      <w:lang w:val="en-US" w:eastAsia="zh-CN"/>
                    </w:rPr>
                  </w:pPr>
                  <w:r>
                    <w:rPr>
                      <w:kern w:val="2"/>
                      <w:sz w:val="21"/>
                      <w:lang w:val="en-US" w:eastAsia="zh-CN"/>
                    </w:rPr>
                    <w:t>钱塘村</w:t>
                  </w:r>
                </w:p>
              </w:tc>
              <w:tc>
                <w:tcPr>
                  <w:tcW w:w="576" w:type="pct"/>
                  <w:vAlign w:val="center"/>
                </w:tcPr>
                <w:p w14:paraId="532D4C0F">
                  <w:pPr>
                    <w:pStyle w:val="184"/>
                    <w:rPr>
                      <w:kern w:val="2"/>
                      <w:sz w:val="21"/>
                      <w:lang w:val="en-US" w:eastAsia="zh-CN"/>
                    </w:rPr>
                  </w:pPr>
                  <w:r>
                    <w:rPr>
                      <w:rFonts w:hint="eastAsia"/>
                      <w:kern w:val="2"/>
                      <w:sz w:val="21"/>
                      <w:lang w:val="en-US" w:eastAsia="zh-CN"/>
                    </w:rPr>
                    <w:t>NE</w:t>
                  </w:r>
                </w:p>
              </w:tc>
              <w:tc>
                <w:tcPr>
                  <w:tcW w:w="834" w:type="pct"/>
                  <w:vAlign w:val="center"/>
                </w:tcPr>
                <w:p w14:paraId="6ABE1111">
                  <w:pPr>
                    <w:pStyle w:val="184"/>
                    <w:rPr>
                      <w:kern w:val="2"/>
                      <w:sz w:val="21"/>
                      <w:lang w:val="en-US" w:eastAsia="zh-CN"/>
                    </w:rPr>
                  </w:pPr>
                  <w:r>
                    <w:rPr>
                      <w:rFonts w:hint="eastAsia"/>
                      <w:kern w:val="2"/>
                      <w:sz w:val="21"/>
                      <w:lang w:val="en-US" w:eastAsia="zh-CN"/>
                    </w:rPr>
                    <w:t>4132</w:t>
                  </w:r>
                </w:p>
              </w:tc>
              <w:tc>
                <w:tcPr>
                  <w:tcW w:w="576" w:type="pct"/>
                  <w:vAlign w:val="center"/>
                </w:tcPr>
                <w:p w14:paraId="0E95E8DE">
                  <w:pPr>
                    <w:pStyle w:val="184"/>
                    <w:rPr>
                      <w:kern w:val="2"/>
                      <w:sz w:val="21"/>
                      <w:lang w:val="en-US" w:eastAsia="zh-CN"/>
                    </w:rPr>
                  </w:pPr>
                  <w:r>
                    <w:rPr>
                      <w:kern w:val="2"/>
                      <w:sz w:val="21"/>
                      <w:lang w:val="en-US" w:eastAsia="zh-CN"/>
                    </w:rPr>
                    <w:t>2065</w:t>
                  </w:r>
                </w:p>
              </w:tc>
              <w:tc>
                <w:tcPr>
                  <w:tcW w:w="1479" w:type="pct"/>
                  <w:vMerge w:val="continue"/>
                  <w:vAlign w:val="center"/>
                </w:tcPr>
                <w:p w14:paraId="12A22490">
                  <w:pPr>
                    <w:pStyle w:val="184"/>
                    <w:rPr>
                      <w:kern w:val="2"/>
                      <w:sz w:val="21"/>
                      <w:lang w:val="en-US" w:eastAsia="zh-CN"/>
                    </w:rPr>
                  </w:pPr>
                </w:p>
              </w:tc>
            </w:tr>
            <w:tr w14:paraId="2084B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0C2275CF">
                  <w:pPr>
                    <w:pStyle w:val="184"/>
                    <w:rPr>
                      <w:kern w:val="2"/>
                      <w:sz w:val="21"/>
                      <w:lang w:val="en-US" w:eastAsia="zh-CN"/>
                    </w:rPr>
                  </w:pPr>
                </w:p>
              </w:tc>
              <w:tc>
                <w:tcPr>
                  <w:tcW w:w="876" w:type="pct"/>
                  <w:vAlign w:val="center"/>
                </w:tcPr>
                <w:p w14:paraId="2E2E7A4D">
                  <w:pPr>
                    <w:pStyle w:val="184"/>
                    <w:rPr>
                      <w:kern w:val="2"/>
                      <w:sz w:val="21"/>
                      <w:lang w:val="en-US" w:eastAsia="zh-CN"/>
                    </w:rPr>
                  </w:pPr>
                  <w:r>
                    <w:rPr>
                      <w:kern w:val="2"/>
                      <w:sz w:val="21"/>
                      <w:lang w:val="en-US" w:eastAsia="zh-CN"/>
                    </w:rPr>
                    <w:t>张厝村</w:t>
                  </w:r>
                </w:p>
              </w:tc>
              <w:tc>
                <w:tcPr>
                  <w:tcW w:w="576" w:type="pct"/>
                  <w:vAlign w:val="center"/>
                </w:tcPr>
                <w:p w14:paraId="06AC5FED">
                  <w:pPr>
                    <w:pStyle w:val="184"/>
                    <w:rPr>
                      <w:kern w:val="2"/>
                      <w:sz w:val="21"/>
                      <w:lang w:val="en-US" w:eastAsia="zh-CN"/>
                    </w:rPr>
                  </w:pPr>
                  <w:r>
                    <w:rPr>
                      <w:rFonts w:hint="eastAsia"/>
                      <w:kern w:val="2"/>
                      <w:sz w:val="21"/>
                      <w:lang w:val="en-US" w:eastAsia="zh-CN"/>
                    </w:rPr>
                    <w:t>E</w:t>
                  </w:r>
                </w:p>
              </w:tc>
              <w:tc>
                <w:tcPr>
                  <w:tcW w:w="834" w:type="pct"/>
                  <w:vAlign w:val="center"/>
                </w:tcPr>
                <w:p w14:paraId="4401D676">
                  <w:pPr>
                    <w:pStyle w:val="184"/>
                    <w:rPr>
                      <w:kern w:val="2"/>
                      <w:sz w:val="21"/>
                      <w:lang w:val="en-US" w:eastAsia="zh-CN"/>
                    </w:rPr>
                  </w:pPr>
                  <w:r>
                    <w:rPr>
                      <w:rFonts w:hint="eastAsia"/>
                      <w:kern w:val="2"/>
                      <w:sz w:val="21"/>
                      <w:lang w:val="en-US" w:eastAsia="zh-CN"/>
                    </w:rPr>
                    <w:t>3221</w:t>
                  </w:r>
                </w:p>
              </w:tc>
              <w:tc>
                <w:tcPr>
                  <w:tcW w:w="576" w:type="pct"/>
                  <w:vAlign w:val="center"/>
                </w:tcPr>
                <w:p w14:paraId="1F06334E">
                  <w:pPr>
                    <w:pStyle w:val="184"/>
                    <w:rPr>
                      <w:kern w:val="2"/>
                      <w:sz w:val="21"/>
                      <w:lang w:val="en-US" w:eastAsia="zh-CN"/>
                    </w:rPr>
                  </w:pPr>
                  <w:r>
                    <w:rPr>
                      <w:kern w:val="2"/>
                      <w:sz w:val="21"/>
                      <w:lang w:val="en-US" w:eastAsia="zh-CN"/>
                    </w:rPr>
                    <w:t>2579</w:t>
                  </w:r>
                </w:p>
              </w:tc>
              <w:tc>
                <w:tcPr>
                  <w:tcW w:w="1479" w:type="pct"/>
                  <w:vMerge w:val="continue"/>
                  <w:vAlign w:val="center"/>
                </w:tcPr>
                <w:p w14:paraId="5AF3D219">
                  <w:pPr>
                    <w:pStyle w:val="184"/>
                    <w:rPr>
                      <w:kern w:val="2"/>
                      <w:sz w:val="21"/>
                      <w:lang w:val="en-US" w:eastAsia="zh-CN"/>
                    </w:rPr>
                  </w:pPr>
                </w:p>
              </w:tc>
            </w:tr>
            <w:tr w14:paraId="4B394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659" w:type="pct"/>
                  <w:vMerge w:val="continue"/>
                  <w:vAlign w:val="center"/>
                </w:tcPr>
                <w:p w14:paraId="6CB11E82">
                  <w:pPr>
                    <w:pStyle w:val="184"/>
                    <w:rPr>
                      <w:kern w:val="2"/>
                      <w:sz w:val="21"/>
                      <w:lang w:val="en-US" w:eastAsia="zh-CN"/>
                    </w:rPr>
                  </w:pPr>
                </w:p>
              </w:tc>
              <w:tc>
                <w:tcPr>
                  <w:tcW w:w="876" w:type="pct"/>
                  <w:vAlign w:val="center"/>
                </w:tcPr>
                <w:p w14:paraId="17F22E8E">
                  <w:pPr>
                    <w:pStyle w:val="184"/>
                    <w:rPr>
                      <w:kern w:val="2"/>
                      <w:sz w:val="21"/>
                      <w:lang w:val="en-US" w:eastAsia="zh-CN"/>
                    </w:rPr>
                  </w:pPr>
                  <w:r>
                    <w:rPr>
                      <w:kern w:val="2"/>
                      <w:sz w:val="21"/>
                      <w:lang w:val="en-US" w:eastAsia="zh-CN"/>
                    </w:rPr>
                    <w:t>下堡村</w:t>
                  </w:r>
                </w:p>
              </w:tc>
              <w:tc>
                <w:tcPr>
                  <w:tcW w:w="576" w:type="pct"/>
                  <w:vAlign w:val="center"/>
                </w:tcPr>
                <w:p w14:paraId="42F51519">
                  <w:pPr>
                    <w:pStyle w:val="184"/>
                    <w:rPr>
                      <w:kern w:val="2"/>
                      <w:sz w:val="21"/>
                      <w:lang w:val="en-US" w:eastAsia="zh-CN"/>
                    </w:rPr>
                  </w:pPr>
                  <w:r>
                    <w:rPr>
                      <w:rFonts w:hint="eastAsia"/>
                      <w:kern w:val="2"/>
                      <w:sz w:val="21"/>
                      <w:lang w:val="en-US" w:eastAsia="zh-CN"/>
                    </w:rPr>
                    <w:t>NE</w:t>
                  </w:r>
                </w:p>
              </w:tc>
              <w:tc>
                <w:tcPr>
                  <w:tcW w:w="834" w:type="pct"/>
                  <w:vAlign w:val="center"/>
                </w:tcPr>
                <w:p w14:paraId="243FB7F9">
                  <w:pPr>
                    <w:pStyle w:val="184"/>
                    <w:rPr>
                      <w:kern w:val="2"/>
                      <w:sz w:val="21"/>
                      <w:lang w:val="en-US" w:eastAsia="zh-CN"/>
                    </w:rPr>
                  </w:pPr>
                  <w:r>
                    <w:rPr>
                      <w:rFonts w:hint="eastAsia"/>
                      <w:kern w:val="2"/>
                      <w:sz w:val="21"/>
                      <w:lang w:val="en-US" w:eastAsia="zh-CN"/>
                    </w:rPr>
                    <w:t>4770</w:t>
                  </w:r>
                </w:p>
              </w:tc>
              <w:tc>
                <w:tcPr>
                  <w:tcW w:w="576" w:type="pct"/>
                  <w:vAlign w:val="center"/>
                </w:tcPr>
                <w:p w14:paraId="679993E3">
                  <w:pPr>
                    <w:pStyle w:val="184"/>
                    <w:rPr>
                      <w:kern w:val="2"/>
                      <w:sz w:val="21"/>
                      <w:lang w:val="en-US" w:eastAsia="zh-CN"/>
                    </w:rPr>
                  </w:pPr>
                  <w:r>
                    <w:rPr>
                      <w:kern w:val="2"/>
                      <w:sz w:val="21"/>
                      <w:lang w:val="en-US" w:eastAsia="zh-CN"/>
                    </w:rPr>
                    <w:t>3394</w:t>
                  </w:r>
                </w:p>
              </w:tc>
              <w:tc>
                <w:tcPr>
                  <w:tcW w:w="1479" w:type="pct"/>
                  <w:vMerge w:val="continue"/>
                  <w:vAlign w:val="center"/>
                </w:tcPr>
                <w:p w14:paraId="45F559B4">
                  <w:pPr>
                    <w:pStyle w:val="184"/>
                    <w:rPr>
                      <w:kern w:val="2"/>
                      <w:sz w:val="21"/>
                      <w:lang w:val="en-US" w:eastAsia="zh-CN"/>
                    </w:rPr>
                  </w:pPr>
                </w:p>
              </w:tc>
            </w:tr>
            <w:tr w14:paraId="5B112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59" w:type="pct"/>
                  <w:vMerge w:val="continue"/>
                  <w:vAlign w:val="center"/>
                </w:tcPr>
                <w:p w14:paraId="276D05F0">
                  <w:pPr>
                    <w:pStyle w:val="184"/>
                    <w:rPr>
                      <w:kern w:val="2"/>
                      <w:sz w:val="21"/>
                      <w:lang w:val="en-US" w:eastAsia="zh-CN"/>
                    </w:rPr>
                  </w:pPr>
                </w:p>
              </w:tc>
              <w:tc>
                <w:tcPr>
                  <w:tcW w:w="876" w:type="pct"/>
                  <w:vAlign w:val="center"/>
                </w:tcPr>
                <w:p w14:paraId="2A2489C0">
                  <w:pPr>
                    <w:pStyle w:val="184"/>
                    <w:rPr>
                      <w:kern w:val="2"/>
                      <w:sz w:val="21"/>
                      <w:lang w:val="en-US" w:eastAsia="zh-CN"/>
                    </w:rPr>
                  </w:pPr>
                  <w:r>
                    <w:rPr>
                      <w:kern w:val="2"/>
                      <w:sz w:val="21"/>
                      <w:lang w:val="en-US" w:eastAsia="zh-CN"/>
                    </w:rPr>
                    <w:t>江阴镇</w:t>
                  </w:r>
                </w:p>
              </w:tc>
              <w:tc>
                <w:tcPr>
                  <w:tcW w:w="576" w:type="pct"/>
                  <w:vAlign w:val="center"/>
                </w:tcPr>
                <w:p w14:paraId="73628173">
                  <w:pPr>
                    <w:pStyle w:val="184"/>
                    <w:rPr>
                      <w:kern w:val="2"/>
                      <w:sz w:val="21"/>
                      <w:lang w:val="en-US" w:eastAsia="zh-CN"/>
                    </w:rPr>
                  </w:pPr>
                  <w:r>
                    <w:rPr>
                      <w:rFonts w:hint="eastAsia"/>
                      <w:kern w:val="2"/>
                      <w:sz w:val="21"/>
                      <w:lang w:val="en-US" w:eastAsia="zh-CN"/>
                    </w:rPr>
                    <w:t>NE</w:t>
                  </w:r>
                </w:p>
              </w:tc>
              <w:tc>
                <w:tcPr>
                  <w:tcW w:w="834" w:type="pct"/>
                  <w:vAlign w:val="center"/>
                </w:tcPr>
                <w:p w14:paraId="4BBF3FD4">
                  <w:pPr>
                    <w:pStyle w:val="184"/>
                    <w:rPr>
                      <w:kern w:val="2"/>
                      <w:sz w:val="21"/>
                      <w:lang w:val="en-US" w:eastAsia="zh-CN"/>
                    </w:rPr>
                  </w:pPr>
                  <w:r>
                    <w:rPr>
                      <w:rFonts w:hint="eastAsia"/>
                      <w:kern w:val="2"/>
                      <w:sz w:val="21"/>
                      <w:lang w:val="en-US" w:eastAsia="zh-CN"/>
                    </w:rPr>
                    <w:t>5000</w:t>
                  </w:r>
                </w:p>
              </w:tc>
              <w:tc>
                <w:tcPr>
                  <w:tcW w:w="576" w:type="pct"/>
                  <w:vAlign w:val="center"/>
                </w:tcPr>
                <w:p w14:paraId="1BCD28E6">
                  <w:pPr>
                    <w:pStyle w:val="184"/>
                    <w:rPr>
                      <w:kern w:val="2"/>
                      <w:sz w:val="21"/>
                      <w:lang w:val="en-US" w:eastAsia="zh-CN"/>
                    </w:rPr>
                  </w:pPr>
                  <w:r>
                    <w:rPr>
                      <w:kern w:val="2"/>
                      <w:sz w:val="21"/>
                      <w:lang w:val="en-US" w:eastAsia="zh-CN"/>
                    </w:rPr>
                    <w:t>66000</w:t>
                  </w:r>
                </w:p>
              </w:tc>
              <w:tc>
                <w:tcPr>
                  <w:tcW w:w="1479" w:type="pct"/>
                  <w:vMerge w:val="continue"/>
                  <w:vAlign w:val="center"/>
                </w:tcPr>
                <w:p w14:paraId="5E6968F1">
                  <w:pPr>
                    <w:pStyle w:val="184"/>
                    <w:rPr>
                      <w:kern w:val="2"/>
                      <w:sz w:val="21"/>
                      <w:lang w:val="en-US" w:eastAsia="zh-CN"/>
                    </w:rPr>
                  </w:pPr>
                </w:p>
              </w:tc>
            </w:tr>
            <w:tr w14:paraId="10027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659" w:type="pct"/>
                  <w:vMerge w:val="continue"/>
                  <w:vAlign w:val="center"/>
                </w:tcPr>
                <w:p w14:paraId="3BE4AD94">
                  <w:pPr>
                    <w:pStyle w:val="184"/>
                    <w:rPr>
                      <w:kern w:val="2"/>
                      <w:sz w:val="21"/>
                      <w:lang w:val="en-US" w:eastAsia="zh-CN"/>
                    </w:rPr>
                  </w:pPr>
                </w:p>
              </w:tc>
              <w:tc>
                <w:tcPr>
                  <w:tcW w:w="876" w:type="pct"/>
                  <w:vAlign w:val="center"/>
                </w:tcPr>
                <w:p w14:paraId="1D65A148">
                  <w:pPr>
                    <w:pStyle w:val="184"/>
                    <w:rPr>
                      <w:kern w:val="2"/>
                      <w:sz w:val="21"/>
                      <w:lang w:val="en-US" w:eastAsia="zh-CN"/>
                    </w:rPr>
                  </w:pPr>
                  <w:r>
                    <w:rPr>
                      <w:kern w:val="2"/>
                      <w:sz w:val="21"/>
                      <w:lang w:val="en-US" w:eastAsia="zh-CN"/>
                    </w:rPr>
                    <w:t>垄北村</w:t>
                  </w:r>
                </w:p>
              </w:tc>
              <w:tc>
                <w:tcPr>
                  <w:tcW w:w="576" w:type="pct"/>
                  <w:vAlign w:val="center"/>
                </w:tcPr>
                <w:p w14:paraId="4BC01CAE">
                  <w:pPr>
                    <w:pStyle w:val="184"/>
                    <w:rPr>
                      <w:kern w:val="2"/>
                      <w:sz w:val="21"/>
                      <w:lang w:val="en-US" w:eastAsia="zh-CN"/>
                    </w:rPr>
                  </w:pPr>
                  <w:r>
                    <w:rPr>
                      <w:kern w:val="2"/>
                      <w:sz w:val="21"/>
                      <w:lang w:val="en-US" w:eastAsia="zh-CN"/>
                    </w:rPr>
                    <w:t>NE</w:t>
                  </w:r>
                </w:p>
              </w:tc>
              <w:tc>
                <w:tcPr>
                  <w:tcW w:w="834" w:type="pct"/>
                  <w:vAlign w:val="center"/>
                </w:tcPr>
                <w:p w14:paraId="1F17F452">
                  <w:pPr>
                    <w:pStyle w:val="184"/>
                    <w:rPr>
                      <w:kern w:val="2"/>
                      <w:sz w:val="21"/>
                      <w:lang w:val="en-US" w:eastAsia="zh-CN"/>
                    </w:rPr>
                  </w:pPr>
                  <w:r>
                    <w:rPr>
                      <w:rFonts w:hint="eastAsia"/>
                      <w:kern w:val="2"/>
                      <w:sz w:val="21"/>
                      <w:lang w:val="en-US" w:eastAsia="zh-CN"/>
                    </w:rPr>
                    <w:t>4778</w:t>
                  </w:r>
                </w:p>
              </w:tc>
              <w:tc>
                <w:tcPr>
                  <w:tcW w:w="576" w:type="pct"/>
                  <w:vAlign w:val="center"/>
                </w:tcPr>
                <w:p w14:paraId="4A906A5C">
                  <w:pPr>
                    <w:pStyle w:val="184"/>
                    <w:rPr>
                      <w:kern w:val="2"/>
                      <w:sz w:val="21"/>
                      <w:lang w:val="en-US" w:eastAsia="zh-CN"/>
                    </w:rPr>
                  </w:pPr>
                  <w:r>
                    <w:rPr>
                      <w:kern w:val="2"/>
                      <w:sz w:val="21"/>
                      <w:lang w:val="en-US" w:eastAsia="zh-CN"/>
                    </w:rPr>
                    <w:t>979</w:t>
                  </w:r>
                </w:p>
              </w:tc>
              <w:tc>
                <w:tcPr>
                  <w:tcW w:w="1479" w:type="pct"/>
                  <w:vMerge w:val="continue"/>
                  <w:vAlign w:val="center"/>
                </w:tcPr>
                <w:p w14:paraId="612C7D3D">
                  <w:pPr>
                    <w:pStyle w:val="184"/>
                    <w:rPr>
                      <w:kern w:val="2"/>
                      <w:sz w:val="21"/>
                      <w:lang w:val="en-US" w:eastAsia="zh-CN"/>
                    </w:rPr>
                  </w:pPr>
                </w:p>
              </w:tc>
            </w:tr>
            <w:tr w14:paraId="574E9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659" w:type="pct"/>
                  <w:vAlign w:val="center"/>
                </w:tcPr>
                <w:p w14:paraId="56F711C4">
                  <w:pPr>
                    <w:pStyle w:val="184"/>
                    <w:rPr>
                      <w:kern w:val="2"/>
                      <w:sz w:val="21"/>
                      <w:lang w:val="en-US" w:eastAsia="zh-CN"/>
                    </w:rPr>
                  </w:pPr>
                  <w:r>
                    <w:rPr>
                      <w:rFonts w:hint="eastAsia"/>
                      <w:kern w:val="2"/>
                      <w:sz w:val="21"/>
                      <w:lang w:val="en-US" w:eastAsia="zh-CN"/>
                    </w:rPr>
                    <w:t>大气环境</w:t>
                  </w:r>
                </w:p>
              </w:tc>
              <w:tc>
                <w:tcPr>
                  <w:tcW w:w="2862" w:type="pct"/>
                  <w:gridSpan w:val="4"/>
                  <w:vAlign w:val="center"/>
                </w:tcPr>
                <w:p w14:paraId="79E364D3">
                  <w:pPr>
                    <w:pStyle w:val="105"/>
                    <w:rPr>
                      <w:color w:val="auto"/>
                      <w:kern w:val="0"/>
                      <w:lang w:val="en-US" w:eastAsia="zh-CN"/>
                    </w:rPr>
                  </w:pPr>
                  <w:r>
                    <w:rPr>
                      <w:color w:val="auto"/>
                      <w:kern w:val="0"/>
                      <w:lang w:val="en-US" w:eastAsia="zh-CN"/>
                    </w:rPr>
                    <w:t>500米范围内没有环境空气保护目标</w:t>
                  </w:r>
                </w:p>
              </w:tc>
              <w:tc>
                <w:tcPr>
                  <w:tcW w:w="1479" w:type="pct"/>
                  <w:vAlign w:val="center"/>
                </w:tcPr>
                <w:p w14:paraId="6299F23B">
                  <w:pPr>
                    <w:pStyle w:val="105"/>
                    <w:rPr>
                      <w:color w:val="auto"/>
                      <w:kern w:val="0"/>
                      <w:lang w:val="en-US" w:eastAsia="zh-CN"/>
                    </w:rPr>
                  </w:pPr>
                  <w:r>
                    <w:rPr>
                      <w:rFonts w:hint="eastAsia"/>
                      <w:color w:val="auto"/>
                      <w:kern w:val="0"/>
                      <w:lang w:val="en-US" w:eastAsia="zh-CN"/>
                    </w:rPr>
                    <w:t>《环境空气质量标准》（GB3095-2026）</w:t>
                  </w:r>
                  <w:r>
                    <w:rPr>
                      <w:color w:val="auto"/>
                      <w:kern w:val="0"/>
                      <w:lang w:val="en-US" w:eastAsia="zh-CN"/>
                    </w:rPr>
                    <w:t>二级标准</w:t>
                  </w:r>
                </w:p>
              </w:tc>
            </w:tr>
            <w:bookmarkEnd w:id="21"/>
            <w:bookmarkEnd w:id="22"/>
            <w:bookmarkEnd w:id="23"/>
            <w:tr w14:paraId="104D2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659" w:type="pct"/>
                  <w:vAlign w:val="center"/>
                </w:tcPr>
                <w:p w14:paraId="01DBCFCD">
                  <w:pPr>
                    <w:pStyle w:val="184"/>
                    <w:rPr>
                      <w:kern w:val="2"/>
                      <w:sz w:val="21"/>
                      <w:lang w:val="en-US" w:eastAsia="zh-CN"/>
                    </w:rPr>
                  </w:pPr>
                  <w:r>
                    <w:rPr>
                      <w:kern w:val="2"/>
                      <w:sz w:val="21"/>
                      <w:lang w:val="en-US" w:eastAsia="zh-CN"/>
                    </w:rPr>
                    <w:t>海洋环境</w:t>
                  </w:r>
                </w:p>
              </w:tc>
              <w:tc>
                <w:tcPr>
                  <w:tcW w:w="876" w:type="pct"/>
                  <w:vAlign w:val="center"/>
                </w:tcPr>
                <w:p w14:paraId="30101CC1">
                  <w:pPr>
                    <w:pStyle w:val="184"/>
                    <w:rPr>
                      <w:kern w:val="2"/>
                      <w:sz w:val="21"/>
                      <w:lang w:val="en-US" w:eastAsia="zh-CN"/>
                    </w:rPr>
                  </w:pPr>
                  <w:r>
                    <w:rPr>
                      <w:kern w:val="2"/>
                      <w:sz w:val="21"/>
                      <w:lang w:val="en-US" w:eastAsia="zh-CN"/>
                    </w:rPr>
                    <w:t>兴化湾西北部浅海养殖区</w:t>
                  </w:r>
                </w:p>
              </w:tc>
              <w:tc>
                <w:tcPr>
                  <w:tcW w:w="1985" w:type="pct"/>
                  <w:gridSpan w:val="3"/>
                  <w:vAlign w:val="center"/>
                </w:tcPr>
                <w:p w14:paraId="7A3EA519">
                  <w:pPr>
                    <w:pStyle w:val="184"/>
                    <w:rPr>
                      <w:kern w:val="2"/>
                      <w:sz w:val="21"/>
                      <w:lang w:val="en-US" w:eastAsia="zh-CN"/>
                    </w:rPr>
                  </w:pPr>
                  <w:r>
                    <w:rPr>
                      <w:kern w:val="2"/>
                      <w:sz w:val="21"/>
                      <w:lang w:val="en-US" w:eastAsia="zh-CN"/>
                    </w:rPr>
                    <w:t>西北侧，距园区排污口最近</w:t>
                  </w:r>
                  <w:r>
                    <w:rPr>
                      <w:rFonts w:hint="eastAsia"/>
                      <w:kern w:val="2"/>
                      <w:sz w:val="21"/>
                      <w:lang w:val="en-US" w:eastAsia="zh-CN"/>
                    </w:rPr>
                    <w:t>3</w:t>
                  </w:r>
                  <w:r>
                    <w:rPr>
                      <w:kern w:val="2"/>
                      <w:sz w:val="21"/>
                      <w:lang w:val="en-US" w:eastAsia="zh-CN"/>
                    </w:rPr>
                    <w:t>km</w:t>
                  </w:r>
                </w:p>
              </w:tc>
              <w:tc>
                <w:tcPr>
                  <w:tcW w:w="1479" w:type="pct"/>
                  <w:vAlign w:val="center"/>
                </w:tcPr>
                <w:p w14:paraId="02F18171">
                  <w:pPr>
                    <w:pStyle w:val="184"/>
                    <w:rPr>
                      <w:kern w:val="2"/>
                      <w:sz w:val="21"/>
                      <w:lang w:val="en-US" w:eastAsia="zh-CN"/>
                    </w:rPr>
                  </w:pPr>
                  <w:r>
                    <w:rPr>
                      <w:kern w:val="2"/>
                      <w:sz w:val="21"/>
                      <w:lang w:val="en-US" w:eastAsia="zh-CN"/>
                    </w:rPr>
                    <w:t>《海水水质标准》（GB3097-1997）二类和《海洋沉积物质量》（GB18668-2002）一类</w:t>
                  </w:r>
                </w:p>
              </w:tc>
            </w:tr>
            <w:tr w14:paraId="67A30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59" w:type="pct"/>
                  <w:vAlign w:val="center"/>
                </w:tcPr>
                <w:p w14:paraId="297E18EE">
                  <w:pPr>
                    <w:pStyle w:val="184"/>
                    <w:rPr>
                      <w:kern w:val="2"/>
                      <w:sz w:val="21"/>
                      <w:lang w:val="en-US" w:eastAsia="zh-CN"/>
                    </w:rPr>
                  </w:pPr>
                  <w:r>
                    <w:rPr>
                      <w:kern w:val="2"/>
                      <w:sz w:val="21"/>
                      <w:lang w:val="en-US" w:eastAsia="zh-CN"/>
                    </w:rPr>
                    <w:t>地下水环境</w:t>
                  </w:r>
                </w:p>
              </w:tc>
              <w:tc>
                <w:tcPr>
                  <w:tcW w:w="2862" w:type="pct"/>
                  <w:gridSpan w:val="4"/>
                  <w:vAlign w:val="center"/>
                </w:tcPr>
                <w:p w14:paraId="68C779CF">
                  <w:pPr>
                    <w:pStyle w:val="184"/>
                    <w:rPr>
                      <w:kern w:val="2"/>
                      <w:sz w:val="21"/>
                      <w:lang w:val="en-US" w:eastAsia="zh-CN"/>
                    </w:rPr>
                  </w:pPr>
                  <w:r>
                    <w:rPr>
                      <w:kern w:val="2"/>
                      <w:sz w:val="21"/>
                      <w:lang w:val="en-US" w:eastAsia="zh-CN"/>
                    </w:rPr>
                    <w:t>厂</w:t>
                  </w:r>
                  <w:r>
                    <w:rPr>
                      <w:rFonts w:hint="eastAsia"/>
                      <w:kern w:val="2"/>
                      <w:sz w:val="21"/>
                      <w:lang w:val="en-US" w:eastAsia="zh-CN"/>
                    </w:rPr>
                    <w:t>区边界外500米范围内的地下水集中式饮用水水源和热水、矿泉水、温泉等特殊地下水资源；</w:t>
                  </w:r>
                </w:p>
              </w:tc>
              <w:tc>
                <w:tcPr>
                  <w:tcW w:w="1479" w:type="pct"/>
                  <w:vAlign w:val="center"/>
                </w:tcPr>
                <w:p w14:paraId="0C47FAEE">
                  <w:pPr>
                    <w:pStyle w:val="184"/>
                    <w:rPr>
                      <w:kern w:val="2"/>
                      <w:sz w:val="21"/>
                      <w:lang w:val="en-US" w:eastAsia="zh-CN"/>
                    </w:rPr>
                  </w:pPr>
                  <w:r>
                    <w:rPr>
                      <w:bCs/>
                      <w:lang w:val="en-US" w:eastAsia="zh-CN"/>
                    </w:rPr>
                    <w:t>《地下水质量标准》（GB/T14848-2017）</w:t>
                  </w:r>
                  <w:r>
                    <w:rPr>
                      <w:rFonts w:hint="eastAsia" w:ascii="宋体" w:hAnsi="宋体" w:cs="宋体"/>
                      <w:bCs/>
                      <w:lang w:val="en-US" w:eastAsia="zh-CN"/>
                    </w:rPr>
                    <w:t>Ⅳ</w:t>
                  </w:r>
                  <w:r>
                    <w:rPr>
                      <w:bCs/>
                      <w:lang w:val="en-US" w:eastAsia="zh-CN"/>
                    </w:rPr>
                    <w:t>类标准</w:t>
                  </w:r>
                </w:p>
              </w:tc>
            </w:tr>
            <w:tr w14:paraId="40E16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59" w:type="pct"/>
                  <w:vAlign w:val="center"/>
                </w:tcPr>
                <w:p w14:paraId="12F4CD2B">
                  <w:pPr>
                    <w:pStyle w:val="184"/>
                    <w:rPr>
                      <w:kern w:val="2"/>
                      <w:sz w:val="21"/>
                      <w:lang w:val="en-US" w:eastAsia="zh-CN"/>
                    </w:rPr>
                  </w:pPr>
                  <w:r>
                    <w:rPr>
                      <w:kern w:val="2"/>
                      <w:sz w:val="21"/>
                      <w:lang w:val="en-US" w:eastAsia="zh-CN"/>
                    </w:rPr>
                    <w:t>声环境</w:t>
                  </w:r>
                </w:p>
              </w:tc>
              <w:tc>
                <w:tcPr>
                  <w:tcW w:w="2862" w:type="pct"/>
                  <w:gridSpan w:val="4"/>
                  <w:vAlign w:val="center"/>
                </w:tcPr>
                <w:p w14:paraId="58AAFEBD">
                  <w:pPr>
                    <w:pStyle w:val="184"/>
                    <w:ind w:firstLine="420"/>
                    <w:rPr>
                      <w:kern w:val="2"/>
                      <w:sz w:val="21"/>
                      <w:lang w:val="en-US" w:eastAsia="zh-CN"/>
                    </w:rPr>
                  </w:pPr>
                  <w:r>
                    <w:rPr>
                      <w:kern w:val="2"/>
                      <w:sz w:val="21"/>
                      <w:lang w:val="en-US" w:eastAsia="zh-CN"/>
                    </w:rPr>
                    <w:t>厂界外</w:t>
                  </w:r>
                  <w:r>
                    <w:rPr>
                      <w:rFonts w:hint="eastAsia"/>
                      <w:kern w:val="2"/>
                      <w:sz w:val="21"/>
                      <w:lang w:val="en-US" w:eastAsia="zh-CN"/>
                    </w:rPr>
                    <w:t>5</w:t>
                  </w:r>
                  <w:r>
                    <w:rPr>
                      <w:kern w:val="2"/>
                      <w:sz w:val="21"/>
                      <w:lang w:val="en-US" w:eastAsia="zh-CN"/>
                    </w:rPr>
                    <w:t>0m</w:t>
                  </w:r>
                  <w:r>
                    <w:rPr>
                      <w:rFonts w:hint="eastAsia"/>
                      <w:kern w:val="2"/>
                      <w:sz w:val="21"/>
                      <w:lang w:val="en-US" w:eastAsia="zh-CN"/>
                    </w:rPr>
                    <w:t>范围内</w:t>
                  </w:r>
                  <w:r>
                    <w:rPr>
                      <w:kern w:val="2"/>
                      <w:sz w:val="21"/>
                      <w:lang w:val="en-US" w:eastAsia="zh-CN"/>
                    </w:rPr>
                    <w:t>区域无声环境</w:t>
                  </w:r>
                  <w:r>
                    <w:rPr>
                      <w:rFonts w:hint="eastAsia"/>
                      <w:kern w:val="2"/>
                      <w:sz w:val="21"/>
                      <w:lang w:val="en-US" w:eastAsia="zh-CN"/>
                    </w:rPr>
                    <w:t>保护</w:t>
                  </w:r>
                  <w:r>
                    <w:rPr>
                      <w:kern w:val="2"/>
                      <w:sz w:val="21"/>
                      <w:lang w:val="en-US" w:eastAsia="zh-CN"/>
                    </w:rPr>
                    <w:t>目标</w:t>
                  </w:r>
                </w:p>
              </w:tc>
              <w:tc>
                <w:tcPr>
                  <w:tcW w:w="1479" w:type="pct"/>
                  <w:vAlign w:val="center"/>
                </w:tcPr>
                <w:p w14:paraId="6C8634AD">
                  <w:pPr>
                    <w:pStyle w:val="184"/>
                    <w:rPr>
                      <w:kern w:val="2"/>
                      <w:sz w:val="21"/>
                      <w:lang w:val="en-US" w:eastAsia="zh-CN"/>
                    </w:rPr>
                  </w:pPr>
                  <w:r>
                    <w:rPr>
                      <w:lang w:val="en-US" w:eastAsia="zh-CN"/>
                    </w:rPr>
                    <w:t>《声环境质量标准》（GB3096-2008）中</w:t>
                  </w:r>
                  <w:r>
                    <w:rPr>
                      <w:rFonts w:hint="eastAsia"/>
                      <w:lang w:val="en-US" w:eastAsia="zh-CN"/>
                    </w:rPr>
                    <w:t>3</w:t>
                  </w:r>
                  <w:r>
                    <w:rPr>
                      <w:lang w:val="en-US" w:eastAsia="zh-CN"/>
                    </w:rPr>
                    <w:t>类区</w:t>
                  </w:r>
                </w:p>
              </w:tc>
            </w:tr>
            <w:tr w14:paraId="470A8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659" w:type="pct"/>
                  <w:vAlign w:val="center"/>
                </w:tcPr>
                <w:p w14:paraId="7BEF8E99">
                  <w:pPr>
                    <w:pStyle w:val="184"/>
                    <w:rPr>
                      <w:kern w:val="2"/>
                      <w:sz w:val="21"/>
                      <w:lang w:val="en-US" w:eastAsia="zh-CN"/>
                    </w:rPr>
                  </w:pPr>
                  <w:r>
                    <w:rPr>
                      <w:kern w:val="2"/>
                      <w:sz w:val="21"/>
                      <w:lang w:val="en-US" w:eastAsia="zh-CN"/>
                    </w:rPr>
                    <w:t>土壤环境</w:t>
                  </w:r>
                </w:p>
              </w:tc>
              <w:tc>
                <w:tcPr>
                  <w:tcW w:w="2862" w:type="pct"/>
                  <w:gridSpan w:val="4"/>
                  <w:vAlign w:val="center"/>
                </w:tcPr>
                <w:p w14:paraId="47123200">
                  <w:pPr>
                    <w:pStyle w:val="184"/>
                    <w:rPr>
                      <w:kern w:val="2"/>
                      <w:sz w:val="21"/>
                      <w:lang w:val="en-US" w:eastAsia="zh-CN"/>
                    </w:rPr>
                  </w:pPr>
                  <w:r>
                    <w:rPr>
                      <w:kern w:val="2"/>
                      <w:sz w:val="21"/>
                      <w:lang w:val="en-US" w:eastAsia="zh-CN"/>
                    </w:rPr>
                    <w:t>厂址及</w:t>
                  </w:r>
                  <w:r>
                    <w:rPr>
                      <w:rFonts w:hint="eastAsia"/>
                      <w:kern w:val="2"/>
                      <w:sz w:val="21"/>
                      <w:lang w:val="en-US" w:eastAsia="zh-CN"/>
                    </w:rPr>
                    <w:t>边界外200m范围内无土壤环境敏感目标</w:t>
                  </w:r>
                </w:p>
              </w:tc>
              <w:tc>
                <w:tcPr>
                  <w:tcW w:w="1479" w:type="pct"/>
                  <w:vAlign w:val="center"/>
                </w:tcPr>
                <w:p w14:paraId="6C611696">
                  <w:pPr>
                    <w:pStyle w:val="184"/>
                    <w:rPr>
                      <w:kern w:val="2"/>
                      <w:sz w:val="21"/>
                      <w:lang w:val="en-US" w:eastAsia="zh-CN"/>
                    </w:rPr>
                  </w:pPr>
                  <w:r>
                    <w:rPr>
                      <w:kern w:val="2"/>
                      <w:sz w:val="21"/>
                      <w:lang w:val="en-US" w:eastAsia="zh-CN"/>
                    </w:rPr>
                    <w:t>《土壤环境质量建设用地土壤污染风险管控标准（试行）》（GB36600-2018）中</w:t>
                  </w:r>
                  <w:r>
                    <w:rPr>
                      <w:rFonts w:hint="eastAsia"/>
                      <w:kern w:val="2"/>
                      <w:sz w:val="21"/>
                      <w:lang w:val="en-US" w:eastAsia="zh-CN"/>
                    </w:rPr>
                    <w:t>表1</w:t>
                  </w:r>
                  <w:r>
                    <w:rPr>
                      <w:kern w:val="2"/>
                      <w:sz w:val="21"/>
                      <w:lang w:val="en-US" w:eastAsia="zh-CN"/>
                    </w:rPr>
                    <w:t>第二类用地的筛选值</w:t>
                  </w:r>
                </w:p>
              </w:tc>
            </w:tr>
          </w:tbl>
          <w:p w14:paraId="208AE54C">
            <w:pPr>
              <w:pStyle w:val="7"/>
              <w:tabs>
                <w:tab w:val="left" w:pos="5400"/>
              </w:tabs>
              <w:spacing w:before="120"/>
            </w:pPr>
          </w:p>
        </w:tc>
      </w:tr>
      <w:tr w14:paraId="1463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0E3B4CE2">
            <w:pPr>
              <w:pStyle w:val="71"/>
              <w:rPr>
                <w:kern w:val="2"/>
                <w:szCs w:val="24"/>
                <w:lang w:val="en-US" w:eastAsia="zh-CN"/>
              </w:rPr>
            </w:pPr>
            <w:r>
              <w:rPr>
                <w:kern w:val="2"/>
                <w:szCs w:val="24"/>
                <w:lang w:val="en-US" w:eastAsia="zh-CN"/>
              </w:rPr>
              <w:t>污染</w:t>
            </w:r>
          </w:p>
          <w:p w14:paraId="552238C1">
            <w:pPr>
              <w:pStyle w:val="71"/>
              <w:rPr>
                <w:kern w:val="2"/>
                <w:szCs w:val="24"/>
                <w:lang w:val="en-US" w:eastAsia="zh-CN"/>
              </w:rPr>
            </w:pPr>
            <w:r>
              <w:rPr>
                <w:kern w:val="2"/>
                <w:szCs w:val="24"/>
                <w:lang w:val="en-US" w:eastAsia="zh-CN"/>
              </w:rPr>
              <w:t>物排</w:t>
            </w:r>
          </w:p>
          <w:p w14:paraId="649A488C">
            <w:pPr>
              <w:pStyle w:val="71"/>
              <w:rPr>
                <w:kern w:val="2"/>
                <w:szCs w:val="24"/>
                <w:lang w:val="en-US" w:eastAsia="zh-CN"/>
              </w:rPr>
            </w:pPr>
            <w:r>
              <w:rPr>
                <w:kern w:val="2"/>
                <w:szCs w:val="24"/>
                <w:lang w:val="en-US" w:eastAsia="zh-CN"/>
              </w:rPr>
              <w:t>放控</w:t>
            </w:r>
          </w:p>
          <w:p w14:paraId="578EE98E">
            <w:pPr>
              <w:pStyle w:val="71"/>
              <w:rPr>
                <w:kern w:val="2"/>
                <w:szCs w:val="24"/>
                <w:lang w:val="en-US" w:eastAsia="zh-CN"/>
              </w:rPr>
            </w:pPr>
            <w:r>
              <w:rPr>
                <w:kern w:val="2"/>
                <w:szCs w:val="24"/>
                <w:lang w:val="en-US" w:eastAsia="zh-CN"/>
              </w:rPr>
              <w:t>制标</w:t>
            </w:r>
          </w:p>
          <w:p w14:paraId="5CC0BC91">
            <w:pPr>
              <w:ind w:firstLine="0" w:firstLineChars="0"/>
              <w:jc w:val="center"/>
              <w:outlineLvl w:val="0"/>
              <w:rPr>
                <w:rFonts w:eastAsia="黑体"/>
                <w:snapToGrid w:val="0"/>
                <w:sz w:val="36"/>
                <w:szCs w:val="36"/>
              </w:rPr>
            </w:pPr>
            <w:r>
              <w:t>准</w:t>
            </w:r>
          </w:p>
        </w:tc>
        <w:tc>
          <w:tcPr>
            <w:tcW w:w="8831" w:type="dxa"/>
            <w:vAlign w:val="center"/>
          </w:tcPr>
          <w:p w14:paraId="44043AE7">
            <w:pPr>
              <w:pStyle w:val="7"/>
              <w:tabs>
                <w:tab w:val="left" w:pos="5400"/>
              </w:tabs>
              <w:spacing w:before="120"/>
            </w:pPr>
            <w:r>
              <w:t>3.4污染物排放标准</w:t>
            </w:r>
          </w:p>
          <w:p w14:paraId="63887EE6">
            <w:pPr>
              <w:pStyle w:val="8"/>
              <w:tabs>
                <w:tab w:val="left" w:pos="5400"/>
              </w:tabs>
              <w:spacing w:before="120"/>
              <w:rPr>
                <w:kern w:val="2"/>
                <w:szCs w:val="24"/>
                <w:lang w:val="en-US" w:eastAsia="zh-CN"/>
              </w:rPr>
            </w:pPr>
            <w:r>
              <w:rPr>
                <w:kern w:val="2"/>
                <w:szCs w:val="24"/>
                <w:lang w:val="en-US" w:eastAsia="zh-CN"/>
              </w:rPr>
              <w:t>3.4.1大气污染物排放标准</w:t>
            </w:r>
          </w:p>
          <w:p w14:paraId="001AF495">
            <w:pPr>
              <w:adjustRightInd w:val="0"/>
              <w:snapToGrid w:val="0"/>
              <w:ind w:firstLine="480"/>
              <w:rPr>
                <w:szCs w:val="18"/>
              </w:rPr>
            </w:pPr>
            <w:r>
              <w:rPr>
                <w:szCs w:val="18"/>
              </w:rPr>
              <w:t>（1）施工期</w:t>
            </w:r>
          </w:p>
          <w:p w14:paraId="4B242135">
            <w:pPr>
              <w:pStyle w:val="117"/>
              <w:ind w:firstLine="480"/>
              <w:rPr>
                <w:lang w:val="en-US" w:eastAsia="zh-CN"/>
              </w:rPr>
            </w:pPr>
            <w:r>
              <w:rPr>
                <w:szCs w:val="18"/>
                <w:lang w:val="en-US" w:eastAsia="zh-CN"/>
              </w:rPr>
              <w:t>施工期粉尘排放执行《大气污染物综合排放标准》（GB16297-1996）表2无组织排放监控浓度限值，即浓度为1.0mg/m³。</w:t>
            </w:r>
          </w:p>
          <w:p w14:paraId="6D1376FE">
            <w:pPr>
              <w:adjustRightInd w:val="0"/>
              <w:snapToGrid w:val="0"/>
              <w:ind w:firstLine="480"/>
              <w:rPr>
                <w:szCs w:val="18"/>
              </w:rPr>
            </w:pPr>
            <w:r>
              <w:rPr>
                <w:szCs w:val="18"/>
              </w:rPr>
              <w:t>（2）运营期</w:t>
            </w:r>
          </w:p>
          <w:p w14:paraId="66B21A25">
            <w:pPr>
              <w:pStyle w:val="117"/>
              <w:ind w:firstLine="480"/>
              <w:rPr>
                <w:lang w:val="en-US" w:eastAsia="zh-CN"/>
              </w:rPr>
            </w:pPr>
            <w:r>
              <w:rPr>
                <w:rFonts w:hint="eastAsia"/>
                <w:lang w:val="en-US" w:eastAsia="zh-CN"/>
              </w:rPr>
              <w:t>有组织废气排</w:t>
            </w:r>
            <w:r>
              <w:rPr>
                <w:lang w:val="en-US" w:eastAsia="zh-CN"/>
              </w:rPr>
              <w:t>放</w:t>
            </w:r>
            <w:r>
              <w:rPr>
                <w:rFonts w:hint="eastAsia"/>
                <w:lang w:val="en-US" w:eastAsia="zh-CN"/>
              </w:rPr>
              <w:t>：</w:t>
            </w:r>
            <w:r>
              <w:rPr>
                <w:lang w:val="en-US" w:eastAsia="zh-CN"/>
              </w:rPr>
              <w:t>扩建项目产生的</w:t>
            </w:r>
            <w:r>
              <w:rPr>
                <w:rFonts w:hint="eastAsia"/>
                <w:lang w:val="en-US" w:eastAsia="zh-CN"/>
              </w:rPr>
              <w:t>顺酐（</w:t>
            </w:r>
            <w:r>
              <w:rPr>
                <w:lang w:val="en-US" w:eastAsia="zh-CN"/>
              </w:rPr>
              <w:t>MA</w:t>
            </w:r>
            <w:r>
              <w:rPr>
                <w:rFonts w:hint="eastAsia"/>
                <w:lang w:val="en-US" w:eastAsia="zh-CN"/>
              </w:rPr>
              <w:t>）</w:t>
            </w:r>
            <w:r>
              <w:rPr>
                <w:lang w:val="en-US" w:eastAsia="zh-CN"/>
              </w:rPr>
              <w:t>、四氢呋喃（</w:t>
            </w:r>
            <w:r>
              <w:rPr>
                <w:rFonts w:hint="eastAsia"/>
                <w:lang w:val="en-US" w:eastAsia="zh-CN"/>
              </w:rPr>
              <w:t>THF</w:t>
            </w:r>
            <w:r>
              <w:rPr>
                <w:lang w:val="en-US" w:eastAsia="zh-CN"/>
              </w:rPr>
              <w:t>）废气排放执行《石油化学工业污染物排放标准》（GB31571-2015）及其修改单表6</w:t>
            </w:r>
            <w:r>
              <w:rPr>
                <w:rFonts w:hint="eastAsia"/>
                <w:lang w:val="en-US" w:eastAsia="zh-CN"/>
              </w:rPr>
              <w:t>中</w:t>
            </w:r>
            <w:r>
              <w:rPr>
                <w:lang w:val="en-US" w:eastAsia="zh-CN"/>
              </w:rPr>
              <w:t>的标准。</w:t>
            </w:r>
            <w:r>
              <w:rPr>
                <w:rFonts w:hint="eastAsia"/>
                <w:lang w:val="en-US" w:eastAsia="zh-CN"/>
              </w:rPr>
              <w:t>非</w:t>
            </w:r>
            <w:r>
              <w:rPr>
                <w:lang w:val="en-US" w:eastAsia="zh-CN"/>
              </w:rPr>
              <w:t>甲烷</w:t>
            </w:r>
            <w:r>
              <w:rPr>
                <w:rFonts w:hint="eastAsia"/>
                <w:lang w:val="en-US" w:eastAsia="zh-CN"/>
              </w:rPr>
              <w:t>总</w:t>
            </w:r>
            <w:r>
              <w:rPr>
                <w:lang w:val="en-US" w:eastAsia="zh-CN"/>
              </w:rPr>
              <w:t>烃排放</w:t>
            </w:r>
            <w:r>
              <w:rPr>
                <w:rFonts w:hint="eastAsia"/>
                <w:lang w:val="en-US" w:eastAsia="zh-CN"/>
              </w:rPr>
              <w:t>参</w:t>
            </w:r>
            <w:r>
              <w:rPr>
                <w:lang w:val="en-US" w:eastAsia="zh-CN"/>
              </w:rPr>
              <w:t>照</w:t>
            </w:r>
            <w:r>
              <w:rPr>
                <w:rFonts w:hint="eastAsia"/>
                <w:lang w:val="en-US" w:eastAsia="zh-CN"/>
              </w:rPr>
              <w:t>执行</w:t>
            </w:r>
            <w:r>
              <w:rPr>
                <w:lang w:val="en-US" w:eastAsia="zh-CN"/>
              </w:rPr>
              <w:t>《</w:t>
            </w:r>
            <w:r>
              <w:rPr>
                <w:rFonts w:hint="eastAsia"/>
                <w:lang w:val="en-US" w:eastAsia="zh-CN"/>
              </w:rPr>
              <w:t>工业企业挥发性有机物排放标准》（DB35/1782-2018）表1中排放限值，1,4-丁二醇（BDO）排</w:t>
            </w:r>
            <w:r>
              <w:rPr>
                <w:lang w:val="en-US" w:eastAsia="zh-CN"/>
              </w:rPr>
              <w:t>放浓度</w:t>
            </w:r>
            <w:r>
              <w:rPr>
                <w:rFonts w:hint="eastAsia"/>
                <w:lang w:val="en-US" w:eastAsia="zh-CN"/>
              </w:rPr>
              <w:t>参</w:t>
            </w:r>
            <w:r>
              <w:rPr>
                <w:lang w:val="en-US" w:eastAsia="zh-CN"/>
              </w:rPr>
              <w:t>照非甲烷总烃</w:t>
            </w:r>
            <w:r>
              <w:rPr>
                <w:rFonts w:hint="eastAsia"/>
                <w:lang w:val="en-US" w:eastAsia="zh-CN"/>
              </w:rPr>
              <w:t>排放标准。</w:t>
            </w:r>
          </w:p>
          <w:p w14:paraId="04188EE8">
            <w:pPr>
              <w:pStyle w:val="117"/>
              <w:ind w:firstLine="480"/>
              <w:rPr>
                <w:lang w:val="en-US" w:eastAsia="zh-CN"/>
              </w:rPr>
            </w:pPr>
            <w:r>
              <w:rPr>
                <w:rFonts w:hint="eastAsia"/>
                <w:lang w:val="en-US" w:eastAsia="zh-CN"/>
              </w:rPr>
              <w:t>无组</w:t>
            </w:r>
            <w:r>
              <w:rPr>
                <w:lang w:val="en-US" w:eastAsia="zh-CN"/>
              </w:rPr>
              <w:t>织</w:t>
            </w:r>
            <w:r>
              <w:rPr>
                <w:rFonts w:hint="eastAsia"/>
                <w:lang w:val="en-US" w:eastAsia="zh-CN"/>
              </w:rPr>
              <w:t>废</w:t>
            </w:r>
            <w:r>
              <w:rPr>
                <w:lang w:val="en-US" w:eastAsia="zh-CN"/>
              </w:rPr>
              <w:t>气</w:t>
            </w:r>
            <w:r>
              <w:rPr>
                <w:rFonts w:hint="eastAsia"/>
                <w:lang w:val="en-US" w:eastAsia="zh-CN"/>
              </w:rPr>
              <w:t>排</w:t>
            </w:r>
            <w:r>
              <w:rPr>
                <w:lang w:val="en-US" w:eastAsia="zh-CN"/>
              </w:rPr>
              <w:t>放：扩建项目</w:t>
            </w:r>
            <w:r>
              <w:rPr>
                <w:rFonts w:hint="eastAsia"/>
                <w:lang w:val="en-US" w:eastAsia="zh-CN"/>
              </w:rPr>
              <w:t>非甲烷总烃厂界无组织排放参照执行《工业企业挥发性有机物排放标准》（DB35/1782-2018）表3无组织排放监控点浓度限值；厂区内非甲烷总烃无组织排放执行《挥发性有机物无组织排放控制标准》（GB37822-2019）</w:t>
            </w:r>
            <w:r>
              <w:rPr>
                <w:lang w:val="en-US" w:eastAsia="zh-CN"/>
              </w:rPr>
              <w:t>附录A的表A.1规定</w:t>
            </w:r>
            <w:r>
              <w:rPr>
                <w:rFonts w:hint="eastAsia"/>
                <w:lang w:val="en-US" w:eastAsia="zh-CN"/>
              </w:rPr>
              <w:t>VOCs无组织特别排放限值。</w:t>
            </w:r>
          </w:p>
          <w:p w14:paraId="599A9410">
            <w:pPr>
              <w:pStyle w:val="117"/>
              <w:ind w:firstLine="480"/>
              <w:rPr>
                <w:lang w:val="en-US" w:eastAsia="zh-CN"/>
              </w:rPr>
            </w:pPr>
            <w:r>
              <w:rPr>
                <w:lang w:val="en-US" w:eastAsia="zh-CN"/>
              </w:rPr>
              <w:t>项目废气排放标准详见表</w:t>
            </w:r>
            <w:r>
              <w:rPr>
                <w:rFonts w:hint="eastAsia"/>
                <w:lang w:val="en-US" w:eastAsia="zh-CN"/>
              </w:rPr>
              <w:t>3.4-1～3</w:t>
            </w:r>
            <w:r>
              <w:rPr>
                <w:lang w:val="en-US" w:eastAsia="zh-CN"/>
              </w:rPr>
              <w:t>。</w:t>
            </w:r>
          </w:p>
          <w:p w14:paraId="46C5E330">
            <w:pPr>
              <w:spacing w:line="240" w:lineRule="auto"/>
              <w:ind w:firstLine="0" w:firstLineChars="0"/>
              <w:jc w:val="center"/>
              <w:rPr>
                <w:b/>
                <w:szCs w:val="20"/>
              </w:rPr>
            </w:pPr>
            <w:r>
              <w:rPr>
                <w:b/>
                <w:szCs w:val="20"/>
              </w:rPr>
              <w:t>表</w:t>
            </w:r>
            <w:r>
              <w:rPr>
                <w:rFonts w:hint="eastAsia"/>
                <w:b/>
                <w:szCs w:val="20"/>
              </w:rPr>
              <w:t>3.4-1</w:t>
            </w:r>
            <w:r>
              <w:rPr>
                <w:b/>
                <w:szCs w:val="20"/>
              </w:rPr>
              <w:t>扩建项目</w:t>
            </w:r>
            <w:r>
              <w:rPr>
                <w:rFonts w:hint="eastAsia"/>
                <w:b/>
                <w:szCs w:val="20"/>
              </w:rPr>
              <w:t>有组织</w:t>
            </w:r>
            <w:r>
              <w:rPr>
                <w:b/>
                <w:szCs w:val="20"/>
              </w:rPr>
              <w:t>废气排放标准一览表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930"/>
              <w:gridCol w:w="1873"/>
              <w:gridCol w:w="1606"/>
              <w:gridCol w:w="2141"/>
            </w:tblGrid>
            <w:tr w14:paraId="115F5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60" w:type="pct"/>
                  <w:vAlign w:val="center"/>
                </w:tcPr>
                <w:p w14:paraId="778C1290">
                  <w:pPr>
                    <w:pStyle w:val="146"/>
                    <w:adjustRightInd w:val="0"/>
                    <w:snapToGrid w:val="0"/>
                  </w:pPr>
                  <w:r>
                    <w:t>序号</w:t>
                  </w:r>
                </w:p>
              </w:tc>
              <w:tc>
                <w:tcPr>
                  <w:tcW w:w="1186" w:type="pct"/>
                  <w:vAlign w:val="center"/>
                </w:tcPr>
                <w:p w14:paraId="7B1EC398">
                  <w:pPr>
                    <w:pStyle w:val="146"/>
                    <w:adjustRightInd w:val="0"/>
                    <w:snapToGrid w:val="0"/>
                  </w:pPr>
                  <w:r>
                    <w:t>污染物</w:t>
                  </w:r>
                </w:p>
              </w:tc>
              <w:tc>
                <w:tcPr>
                  <w:tcW w:w="1151" w:type="pct"/>
                  <w:vAlign w:val="center"/>
                </w:tcPr>
                <w:p w14:paraId="0B64BE95">
                  <w:pPr>
                    <w:pStyle w:val="146"/>
                    <w:adjustRightInd w:val="0"/>
                    <w:snapToGrid w:val="0"/>
                  </w:pPr>
                  <w:r>
                    <w:rPr>
                      <w:rFonts w:hint="eastAsia"/>
                    </w:rPr>
                    <w:t>排</w:t>
                  </w:r>
                  <w:r>
                    <w:t>放</w:t>
                  </w:r>
                  <w:r>
                    <w:rPr>
                      <w:rFonts w:hint="eastAsia"/>
                    </w:rPr>
                    <w:t>浓</w:t>
                  </w:r>
                  <w:r>
                    <w:t>度</w:t>
                  </w:r>
                  <w:r>
                    <w:rPr>
                      <w:rFonts w:hint="eastAsia"/>
                    </w:rPr>
                    <w:t>（mg/</w:t>
                  </w:r>
                  <w:r>
                    <w:t>m³）</w:t>
                  </w:r>
                </w:p>
              </w:tc>
              <w:tc>
                <w:tcPr>
                  <w:tcW w:w="987" w:type="pct"/>
                  <w:vAlign w:val="center"/>
                </w:tcPr>
                <w:p w14:paraId="5A7DE25D">
                  <w:pPr>
                    <w:pStyle w:val="146"/>
                    <w:adjustRightInd w:val="0"/>
                    <w:snapToGrid w:val="0"/>
                  </w:pPr>
                  <w:r>
                    <w:rPr>
                      <w:rFonts w:hint="eastAsia"/>
                    </w:rPr>
                    <w:t>排</w:t>
                  </w:r>
                  <w:r>
                    <w:t>放速</w:t>
                  </w:r>
                  <w:r>
                    <w:rPr>
                      <w:rFonts w:hint="eastAsia"/>
                    </w:rPr>
                    <w:t>率（</w:t>
                  </w:r>
                  <w:r>
                    <w:t>kg/h）</w:t>
                  </w:r>
                </w:p>
              </w:tc>
              <w:tc>
                <w:tcPr>
                  <w:tcW w:w="1316" w:type="pct"/>
                  <w:vAlign w:val="center"/>
                </w:tcPr>
                <w:p w14:paraId="69A1C1CF">
                  <w:pPr>
                    <w:pStyle w:val="146"/>
                    <w:adjustRightInd w:val="0"/>
                    <w:snapToGrid w:val="0"/>
                  </w:pPr>
                  <w:r>
                    <w:rPr>
                      <w:rFonts w:hint="eastAsia"/>
                    </w:rPr>
                    <w:t>备注</w:t>
                  </w:r>
                </w:p>
              </w:tc>
            </w:tr>
            <w:tr w14:paraId="2820A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60" w:type="pct"/>
                  <w:vAlign w:val="center"/>
                </w:tcPr>
                <w:p w14:paraId="7EA99DAE">
                  <w:pPr>
                    <w:pStyle w:val="146"/>
                    <w:adjustRightInd w:val="0"/>
                    <w:snapToGrid w:val="0"/>
                  </w:pPr>
                  <w:r>
                    <w:rPr>
                      <w:rFonts w:hint="eastAsia"/>
                    </w:rPr>
                    <w:t>1</w:t>
                  </w:r>
                </w:p>
              </w:tc>
              <w:tc>
                <w:tcPr>
                  <w:tcW w:w="1186" w:type="pct"/>
                  <w:vAlign w:val="center"/>
                </w:tcPr>
                <w:p w14:paraId="4835AAFD">
                  <w:pPr>
                    <w:pStyle w:val="146"/>
                    <w:adjustRightInd w:val="0"/>
                    <w:snapToGrid w:val="0"/>
                  </w:pPr>
                  <w:r>
                    <w:rPr>
                      <w:rFonts w:hint="eastAsia"/>
                    </w:rPr>
                    <w:t>顺酐（MA）</w:t>
                  </w:r>
                </w:p>
              </w:tc>
              <w:tc>
                <w:tcPr>
                  <w:tcW w:w="1151" w:type="pct"/>
                  <w:vAlign w:val="center"/>
                </w:tcPr>
                <w:p w14:paraId="63B33AF1">
                  <w:pPr>
                    <w:pStyle w:val="146"/>
                    <w:adjustRightInd w:val="0"/>
                    <w:snapToGrid w:val="0"/>
                  </w:pPr>
                  <w:r>
                    <w:t>10</w:t>
                  </w:r>
                </w:p>
              </w:tc>
              <w:tc>
                <w:tcPr>
                  <w:tcW w:w="987" w:type="pct"/>
                  <w:vAlign w:val="center"/>
                </w:tcPr>
                <w:p w14:paraId="0C3E41D6">
                  <w:pPr>
                    <w:pStyle w:val="146"/>
                    <w:adjustRightInd w:val="0"/>
                    <w:snapToGrid w:val="0"/>
                  </w:pPr>
                  <w:r>
                    <w:t>/</w:t>
                  </w:r>
                </w:p>
              </w:tc>
              <w:tc>
                <w:tcPr>
                  <w:tcW w:w="1316" w:type="pct"/>
                  <w:vAlign w:val="center"/>
                </w:tcPr>
                <w:p w14:paraId="257261C8">
                  <w:pPr>
                    <w:pStyle w:val="146"/>
                    <w:adjustRightInd w:val="0"/>
                    <w:snapToGrid w:val="0"/>
                  </w:pPr>
                </w:p>
              </w:tc>
            </w:tr>
            <w:tr w14:paraId="10667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60" w:type="pct"/>
                  <w:vAlign w:val="center"/>
                </w:tcPr>
                <w:p w14:paraId="570DAE36">
                  <w:pPr>
                    <w:pStyle w:val="146"/>
                    <w:adjustRightInd w:val="0"/>
                    <w:snapToGrid w:val="0"/>
                  </w:pPr>
                  <w:r>
                    <w:rPr>
                      <w:rFonts w:hint="eastAsia"/>
                    </w:rPr>
                    <w:t>2</w:t>
                  </w:r>
                </w:p>
              </w:tc>
              <w:tc>
                <w:tcPr>
                  <w:tcW w:w="1186" w:type="pct"/>
                  <w:vAlign w:val="center"/>
                </w:tcPr>
                <w:p w14:paraId="18F6575D">
                  <w:pPr>
                    <w:pStyle w:val="146"/>
                    <w:adjustRightInd w:val="0"/>
                    <w:snapToGrid w:val="0"/>
                  </w:pPr>
                  <w:r>
                    <w:rPr>
                      <w:rFonts w:hint="eastAsia"/>
                    </w:rPr>
                    <w:t>四氢呋喃（THF）</w:t>
                  </w:r>
                </w:p>
              </w:tc>
              <w:tc>
                <w:tcPr>
                  <w:tcW w:w="1151" w:type="pct"/>
                  <w:vAlign w:val="center"/>
                </w:tcPr>
                <w:p w14:paraId="19123D67">
                  <w:pPr>
                    <w:pStyle w:val="146"/>
                    <w:adjustRightInd w:val="0"/>
                    <w:snapToGrid w:val="0"/>
                  </w:pPr>
                  <w:r>
                    <w:rPr>
                      <w:rFonts w:hint="eastAsia"/>
                    </w:rPr>
                    <w:t>100</w:t>
                  </w:r>
                </w:p>
              </w:tc>
              <w:tc>
                <w:tcPr>
                  <w:tcW w:w="987" w:type="pct"/>
                  <w:vAlign w:val="center"/>
                </w:tcPr>
                <w:p w14:paraId="7EEB8289">
                  <w:pPr>
                    <w:pStyle w:val="146"/>
                    <w:adjustRightInd w:val="0"/>
                    <w:snapToGrid w:val="0"/>
                  </w:pPr>
                  <w:r>
                    <w:t>/</w:t>
                  </w:r>
                </w:p>
              </w:tc>
              <w:tc>
                <w:tcPr>
                  <w:tcW w:w="1316" w:type="pct"/>
                  <w:vAlign w:val="center"/>
                </w:tcPr>
                <w:p w14:paraId="7AB8FD2E">
                  <w:pPr>
                    <w:pStyle w:val="146"/>
                    <w:adjustRightInd w:val="0"/>
                    <w:snapToGrid w:val="0"/>
                  </w:pPr>
                </w:p>
              </w:tc>
            </w:tr>
            <w:tr w14:paraId="30F53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360" w:type="pct"/>
                  <w:vAlign w:val="center"/>
                </w:tcPr>
                <w:p w14:paraId="59451539">
                  <w:pPr>
                    <w:pStyle w:val="146"/>
                    <w:adjustRightInd w:val="0"/>
                    <w:snapToGrid w:val="0"/>
                  </w:pPr>
                  <w:r>
                    <w:t>3</w:t>
                  </w:r>
                </w:p>
              </w:tc>
              <w:tc>
                <w:tcPr>
                  <w:tcW w:w="1186" w:type="pct"/>
                  <w:vAlign w:val="center"/>
                </w:tcPr>
                <w:p w14:paraId="504E2B12">
                  <w:pPr>
                    <w:pStyle w:val="146"/>
                    <w:adjustRightInd w:val="0"/>
                    <w:snapToGrid w:val="0"/>
                  </w:pPr>
                  <w:r>
                    <w:t>非甲烷总烃</w:t>
                  </w:r>
                </w:p>
              </w:tc>
              <w:tc>
                <w:tcPr>
                  <w:tcW w:w="1151" w:type="pct"/>
                  <w:vAlign w:val="center"/>
                </w:tcPr>
                <w:p w14:paraId="75F6805D">
                  <w:pPr>
                    <w:pStyle w:val="146"/>
                    <w:adjustRightInd w:val="0"/>
                    <w:snapToGrid w:val="0"/>
                  </w:pPr>
                  <w:r>
                    <w:t>100</w:t>
                  </w:r>
                </w:p>
              </w:tc>
              <w:tc>
                <w:tcPr>
                  <w:tcW w:w="987" w:type="pct"/>
                  <w:vAlign w:val="center"/>
                </w:tcPr>
                <w:p w14:paraId="24EF10FB">
                  <w:pPr>
                    <w:pStyle w:val="146"/>
                    <w:adjustRightInd w:val="0"/>
                    <w:snapToGrid w:val="0"/>
                  </w:pPr>
                  <w:r>
                    <w:t>1.8</w:t>
                  </w:r>
                </w:p>
              </w:tc>
              <w:tc>
                <w:tcPr>
                  <w:tcW w:w="1316" w:type="pct"/>
                  <w:vAlign w:val="center"/>
                </w:tcPr>
                <w:p w14:paraId="7368F3F7">
                  <w:pPr>
                    <w:pStyle w:val="146"/>
                    <w:adjustRightInd w:val="0"/>
                    <w:snapToGrid w:val="0"/>
                  </w:pPr>
                  <w:r>
                    <w:rPr>
                      <w:rFonts w:hint="eastAsia"/>
                    </w:rPr>
                    <w:t>BDO参照</w:t>
                  </w:r>
                </w:p>
              </w:tc>
            </w:tr>
          </w:tbl>
          <w:p w14:paraId="62B8E156">
            <w:pPr>
              <w:spacing w:line="240" w:lineRule="auto"/>
              <w:ind w:firstLine="0" w:firstLineChars="0"/>
              <w:jc w:val="center"/>
            </w:pPr>
            <w:r>
              <w:rPr>
                <w:b/>
                <w:szCs w:val="20"/>
              </w:rPr>
              <w:t>表</w:t>
            </w:r>
            <w:r>
              <w:rPr>
                <w:rFonts w:hint="eastAsia"/>
                <w:b/>
                <w:szCs w:val="20"/>
              </w:rPr>
              <w:t>3.4-2厂界非甲烷总烃</w:t>
            </w:r>
            <w:r>
              <w:rPr>
                <w:b/>
                <w:szCs w:val="20"/>
              </w:rPr>
              <w:t>无组织</w:t>
            </w:r>
            <w:r>
              <w:rPr>
                <w:rFonts w:hint="eastAsia"/>
                <w:b/>
                <w:szCs w:val="20"/>
              </w:rPr>
              <w:t>排放</w:t>
            </w:r>
            <w:r>
              <w:rPr>
                <w:b/>
                <w:szCs w:val="20"/>
              </w:rPr>
              <w:t>限值单位：mg/m³</w:t>
            </w:r>
          </w:p>
          <w:tbl>
            <w:tblPr>
              <w:tblStyle w:val="30"/>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526"/>
              <w:gridCol w:w="4936"/>
            </w:tblGrid>
            <w:tr w14:paraId="345C3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 w:hRule="atLeast"/>
                <w:tblHeader/>
                <w:jc w:val="center"/>
              </w:trPr>
              <w:tc>
                <w:tcPr>
                  <w:tcW w:w="1015" w:type="pct"/>
                  <w:vAlign w:val="center"/>
                </w:tcPr>
                <w:p w14:paraId="5E5104D1">
                  <w:pPr>
                    <w:pStyle w:val="146"/>
                    <w:adjustRightInd w:val="0"/>
                    <w:snapToGrid w:val="0"/>
                  </w:pPr>
                  <w:r>
                    <w:t>污染物</w:t>
                  </w:r>
                </w:p>
              </w:tc>
              <w:tc>
                <w:tcPr>
                  <w:tcW w:w="3985" w:type="pct"/>
                  <w:gridSpan w:val="2"/>
                  <w:vAlign w:val="center"/>
                </w:tcPr>
                <w:p w14:paraId="7ADE627F">
                  <w:pPr>
                    <w:pStyle w:val="146"/>
                    <w:adjustRightInd w:val="0"/>
                    <w:snapToGrid w:val="0"/>
                  </w:pPr>
                  <w:r>
                    <w:t>相关标准浓度限值</w:t>
                  </w:r>
                </w:p>
              </w:tc>
            </w:tr>
            <w:tr w14:paraId="77D51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2" w:hRule="atLeast"/>
                <w:tblHeader/>
                <w:jc w:val="center"/>
              </w:trPr>
              <w:tc>
                <w:tcPr>
                  <w:tcW w:w="1015" w:type="pct"/>
                  <w:vAlign w:val="center"/>
                </w:tcPr>
                <w:p w14:paraId="613577CB">
                  <w:pPr>
                    <w:pStyle w:val="146"/>
                    <w:adjustRightInd w:val="0"/>
                    <w:snapToGrid w:val="0"/>
                  </w:pPr>
                  <w:r>
                    <w:t>非甲烷总烃</w:t>
                  </w:r>
                </w:p>
              </w:tc>
              <w:tc>
                <w:tcPr>
                  <w:tcW w:w="941" w:type="pct"/>
                  <w:vAlign w:val="center"/>
                </w:tcPr>
                <w:p w14:paraId="25379D66">
                  <w:pPr>
                    <w:pStyle w:val="146"/>
                    <w:adjustRightInd w:val="0"/>
                    <w:snapToGrid w:val="0"/>
                  </w:pPr>
                  <w:r>
                    <w:t>2.0</w:t>
                  </w:r>
                </w:p>
              </w:tc>
              <w:tc>
                <w:tcPr>
                  <w:tcW w:w="3044" w:type="pct"/>
                  <w:vAlign w:val="center"/>
                </w:tcPr>
                <w:p w14:paraId="4CC3BD18">
                  <w:pPr>
                    <w:pStyle w:val="146"/>
                    <w:adjustRightInd w:val="0"/>
                    <w:snapToGrid w:val="0"/>
                  </w:pPr>
                  <w:r>
                    <w:rPr>
                      <w:rFonts w:hint="eastAsia"/>
                    </w:rPr>
                    <w:t>《工业企业挥发性有机物排放标准》（DB35/1782-2018）表3无组织排放监控点浓度限值</w:t>
                  </w:r>
                </w:p>
              </w:tc>
            </w:tr>
          </w:tbl>
          <w:p w14:paraId="444F6BFF">
            <w:pPr>
              <w:pStyle w:val="166"/>
              <w:ind w:firstLine="480"/>
            </w:pPr>
            <w:r>
              <w:rPr>
                <w:rFonts w:eastAsia="宋体"/>
                <w:kern w:val="2"/>
                <w:szCs w:val="20"/>
              </w:rPr>
              <w:t>表</w:t>
            </w:r>
            <w:r>
              <w:rPr>
                <w:rFonts w:hint="eastAsia" w:eastAsia="宋体"/>
                <w:kern w:val="2"/>
                <w:szCs w:val="20"/>
              </w:rPr>
              <w:t>3.4-3</w:t>
            </w:r>
            <w:r>
              <w:rPr>
                <w:rFonts w:eastAsia="宋体"/>
                <w:kern w:val="2"/>
                <w:szCs w:val="20"/>
              </w:rPr>
              <w:t>厂区内</w:t>
            </w:r>
            <w:r>
              <w:rPr>
                <w:rFonts w:hint="eastAsia" w:eastAsia="宋体"/>
                <w:kern w:val="2"/>
                <w:szCs w:val="20"/>
              </w:rPr>
              <w:t>非甲烷总烃</w:t>
            </w:r>
            <w:r>
              <w:rPr>
                <w:rFonts w:eastAsia="宋体"/>
                <w:kern w:val="2"/>
                <w:szCs w:val="20"/>
              </w:rPr>
              <w:t>无组织排放限值单位：</w:t>
            </w:r>
            <w:r>
              <w:t>mg/m³</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389"/>
              <w:gridCol w:w="2670"/>
              <w:gridCol w:w="2262"/>
            </w:tblGrid>
            <w:tr w14:paraId="49D69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5" w:type="pct"/>
                  <w:vAlign w:val="center"/>
                </w:tcPr>
                <w:p w14:paraId="3B899088">
                  <w:pPr>
                    <w:pStyle w:val="146"/>
                  </w:pPr>
                  <w:r>
                    <w:t>污染物项目</w:t>
                  </w:r>
                </w:p>
              </w:tc>
              <w:tc>
                <w:tcPr>
                  <w:tcW w:w="854" w:type="pct"/>
                  <w:vAlign w:val="center"/>
                </w:tcPr>
                <w:p w14:paraId="7AC875D5">
                  <w:pPr>
                    <w:pStyle w:val="146"/>
                  </w:pPr>
                  <w:r>
                    <w:t>特别排放限值</w:t>
                  </w:r>
                </w:p>
              </w:tc>
              <w:tc>
                <w:tcPr>
                  <w:tcW w:w="1641" w:type="pct"/>
                  <w:vAlign w:val="center"/>
                </w:tcPr>
                <w:p w14:paraId="2BB85E60">
                  <w:pPr>
                    <w:pStyle w:val="146"/>
                  </w:pPr>
                  <w:r>
                    <w:t>限值含义</w:t>
                  </w:r>
                </w:p>
              </w:tc>
              <w:tc>
                <w:tcPr>
                  <w:tcW w:w="1390" w:type="pct"/>
                  <w:vAlign w:val="center"/>
                </w:tcPr>
                <w:p w14:paraId="30324766">
                  <w:pPr>
                    <w:pStyle w:val="146"/>
                  </w:pPr>
                  <w:r>
                    <w:t>无组织排放监控位置</w:t>
                  </w:r>
                </w:p>
              </w:tc>
            </w:tr>
            <w:tr w14:paraId="61D96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5" w:type="pct"/>
                  <w:vMerge w:val="restart"/>
                  <w:vAlign w:val="center"/>
                </w:tcPr>
                <w:p w14:paraId="6DFF7684">
                  <w:pPr>
                    <w:pStyle w:val="146"/>
                  </w:pPr>
                  <w:r>
                    <w:t>非甲烷总烃（NMHC）</w:t>
                  </w:r>
                </w:p>
              </w:tc>
              <w:tc>
                <w:tcPr>
                  <w:tcW w:w="854" w:type="pct"/>
                  <w:vAlign w:val="center"/>
                </w:tcPr>
                <w:p w14:paraId="699C6761">
                  <w:pPr>
                    <w:pStyle w:val="146"/>
                  </w:pPr>
                  <w:r>
                    <w:t>6</w:t>
                  </w:r>
                </w:p>
              </w:tc>
              <w:tc>
                <w:tcPr>
                  <w:tcW w:w="1641" w:type="pct"/>
                  <w:vAlign w:val="center"/>
                </w:tcPr>
                <w:p w14:paraId="43753A83">
                  <w:pPr>
                    <w:pStyle w:val="146"/>
                  </w:pPr>
                  <w:r>
                    <w:t>监控点处1h平均浓度值</w:t>
                  </w:r>
                </w:p>
              </w:tc>
              <w:tc>
                <w:tcPr>
                  <w:tcW w:w="1390" w:type="pct"/>
                  <w:vMerge w:val="restart"/>
                  <w:vAlign w:val="center"/>
                </w:tcPr>
                <w:p w14:paraId="05209081">
                  <w:pPr>
                    <w:pStyle w:val="146"/>
                  </w:pPr>
                  <w:r>
                    <w:t>在厂房外设置监控点</w:t>
                  </w:r>
                </w:p>
              </w:tc>
            </w:tr>
            <w:tr w14:paraId="5F407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5" w:type="pct"/>
                  <w:vMerge w:val="continue"/>
                  <w:vAlign w:val="center"/>
                </w:tcPr>
                <w:p w14:paraId="65833CF4">
                  <w:pPr>
                    <w:pStyle w:val="146"/>
                  </w:pPr>
                </w:p>
              </w:tc>
              <w:tc>
                <w:tcPr>
                  <w:tcW w:w="854" w:type="pct"/>
                  <w:vAlign w:val="center"/>
                </w:tcPr>
                <w:p w14:paraId="46494DFE">
                  <w:pPr>
                    <w:pStyle w:val="146"/>
                  </w:pPr>
                  <w:r>
                    <w:t>20</w:t>
                  </w:r>
                </w:p>
              </w:tc>
              <w:tc>
                <w:tcPr>
                  <w:tcW w:w="1641" w:type="pct"/>
                  <w:vAlign w:val="center"/>
                </w:tcPr>
                <w:p w14:paraId="7AA8DEA8">
                  <w:pPr>
                    <w:pStyle w:val="146"/>
                  </w:pPr>
                  <w:r>
                    <w:t>监控点处任意一次浓度值</w:t>
                  </w:r>
                </w:p>
              </w:tc>
              <w:tc>
                <w:tcPr>
                  <w:tcW w:w="1390" w:type="pct"/>
                  <w:vMerge w:val="continue"/>
                  <w:vAlign w:val="center"/>
                </w:tcPr>
                <w:p w14:paraId="6EBFB321">
                  <w:pPr>
                    <w:pStyle w:val="146"/>
                  </w:pPr>
                </w:p>
              </w:tc>
            </w:tr>
          </w:tbl>
          <w:p w14:paraId="7A70887C">
            <w:pPr>
              <w:pStyle w:val="141"/>
              <w:spacing w:line="240" w:lineRule="auto"/>
              <w:ind w:firstLine="0" w:firstLineChars="0"/>
              <w:rPr>
                <w:sz w:val="21"/>
                <w:szCs w:val="21"/>
                <w:lang w:val="en-US" w:eastAsia="zh-CN"/>
              </w:rPr>
            </w:pPr>
            <w:r>
              <w:rPr>
                <w:sz w:val="21"/>
                <w:szCs w:val="21"/>
                <w:lang w:val="en-US" w:eastAsia="zh-CN"/>
              </w:rPr>
              <w:t>注：</w:t>
            </w:r>
            <w:r>
              <w:rPr>
                <w:rFonts w:hint="eastAsia" w:ascii="宋体" w:hAnsi="宋体" w:cs="宋体"/>
                <w:sz w:val="21"/>
                <w:szCs w:val="21"/>
                <w:lang w:val="en-US" w:eastAsia="zh-CN"/>
              </w:rPr>
              <w:t>①</w:t>
            </w:r>
            <w:r>
              <w:rPr>
                <w:sz w:val="21"/>
                <w:szCs w:val="21"/>
                <w:lang w:val="en-US" w:eastAsia="zh-CN"/>
              </w:rPr>
              <w:t>《挥发性有机物无组织排放控制标准》（GB37822-2019）以非甲烷总烃作为厂区内VOCs无组织排放的控制项目。</w:t>
            </w:r>
          </w:p>
          <w:p w14:paraId="0D5D5682">
            <w:pPr>
              <w:pStyle w:val="8"/>
              <w:tabs>
                <w:tab w:val="left" w:pos="5400"/>
              </w:tabs>
              <w:spacing w:before="120"/>
              <w:rPr>
                <w:kern w:val="2"/>
                <w:szCs w:val="24"/>
                <w:lang w:val="en-US" w:eastAsia="zh-CN"/>
              </w:rPr>
            </w:pPr>
            <w:r>
              <w:rPr>
                <w:kern w:val="2"/>
                <w:szCs w:val="24"/>
                <w:lang w:val="en-US" w:eastAsia="zh-CN"/>
              </w:rPr>
              <w:t>3.4.2水污染物排放标准</w:t>
            </w:r>
          </w:p>
          <w:p w14:paraId="71E74954">
            <w:pPr>
              <w:ind w:firstLine="480"/>
            </w:pPr>
            <w:r>
              <w:t>扩建项目</w:t>
            </w:r>
            <w:r>
              <w:rPr>
                <w:szCs w:val="21"/>
              </w:rPr>
              <w:t>生活污水经预处理后与BDO/MA储罐废气水洗/碱洗废水、初期雨水、地面冲洗废水送至福州万景石化有限公司污水处理站低浓度废水处理段，处理达到江阴工业集中区污水处理厂纳管标准后，排入江阴工业集中区污水处理厂进一步处理，</w:t>
            </w:r>
            <w:r>
              <w:rPr>
                <w:rFonts w:hint="eastAsia"/>
                <w:szCs w:val="21"/>
              </w:rPr>
              <w:t>由江阴工业集中区污水处理厂已建排海管道排海。</w:t>
            </w:r>
          </w:p>
          <w:p w14:paraId="32515870">
            <w:pPr>
              <w:pStyle w:val="16"/>
              <w:ind w:firstLine="480"/>
            </w:pPr>
            <w:bookmarkStart w:id="24" w:name="OLE_LINK15"/>
            <w:bookmarkStart w:id="25" w:name="OLE_LINK16"/>
            <w:r>
              <w:rPr>
                <w:szCs w:val="21"/>
              </w:rPr>
              <w:t>万景石化有限公司污水处理站</w:t>
            </w:r>
            <w:r>
              <w:rPr>
                <w:rFonts w:hint="eastAsia"/>
              </w:rPr>
              <w:t>尾水排放执行《石油化学工业污染物排放标准》（GB31571-2015）及其修改单表1水污染物间接排放限值、《合成树脂工业污染物排放标准》（GB31572-2015）及其修改单表1的间接排放标准及</w:t>
            </w:r>
            <w:r>
              <w:t>江阴污水处理厂纳管标准</w:t>
            </w:r>
            <w:r>
              <w:rPr>
                <w:rFonts w:hint="eastAsia"/>
              </w:rPr>
              <w:t>的最严值</w:t>
            </w:r>
            <w:r>
              <w:t>，江阴污水处理厂纳管标准</w:t>
            </w:r>
            <w:r>
              <w:rPr>
                <w:bCs/>
                <w:lang w:val="en-GB"/>
              </w:rPr>
              <w:t>未规定限值的污染物执行</w:t>
            </w:r>
            <w:r>
              <w:t>《污水综合排放标准》（GB8978-1996）表4中三级标准</w:t>
            </w:r>
            <w:r>
              <w:rPr>
                <w:bCs/>
                <w:lang w:val="en-GB"/>
              </w:rPr>
              <w:t>，</w:t>
            </w:r>
            <w:r>
              <w:t>江阴污水处理厂出水执行《城镇污水处理厂</w:t>
            </w:r>
            <w:r>
              <w:rPr>
                <w:rFonts w:hint="eastAsia"/>
                <w:lang w:eastAsia="zh-CN"/>
              </w:rPr>
              <w:t>污染物</w:t>
            </w:r>
            <w:r>
              <w:t>排放标准》（GB18918-2002）表1一级标准A标准</w:t>
            </w:r>
            <w:bookmarkEnd w:id="24"/>
            <w:bookmarkEnd w:id="25"/>
            <w:r>
              <w:t>，具体标准详</w:t>
            </w:r>
            <w:r>
              <w:rPr>
                <w:bCs/>
              </w:rPr>
              <w:t>见表</w:t>
            </w:r>
            <w:r>
              <w:rPr>
                <w:rFonts w:hint="eastAsia"/>
                <w:bCs/>
              </w:rPr>
              <w:t>3.4-4</w:t>
            </w:r>
            <w:r>
              <w:rPr>
                <w:rFonts w:hint="eastAsia"/>
              </w:rPr>
              <w:t>～</w:t>
            </w:r>
            <w:r>
              <w:rPr>
                <w:rFonts w:hint="eastAsia"/>
                <w:bCs/>
              </w:rPr>
              <w:t>3.4-</w:t>
            </w:r>
            <w:r>
              <w:rPr>
                <w:bCs/>
              </w:rPr>
              <w:t>6</w:t>
            </w:r>
            <w:r>
              <w:t>。</w:t>
            </w:r>
            <w:r>
              <w:rPr>
                <w:szCs w:val="21"/>
              </w:rPr>
              <w:t>万景石化有限公司污水处理站</w:t>
            </w:r>
            <w:r>
              <w:rPr>
                <w:rFonts w:hint="eastAsia"/>
                <w:szCs w:val="21"/>
              </w:rPr>
              <w:t>尾</w:t>
            </w:r>
            <w:r>
              <w:rPr>
                <w:szCs w:val="21"/>
              </w:rPr>
              <w:t>水排放</w:t>
            </w:r>
            <w:r>
              <w:rPr>
                <w:rFonts w:hint="eastAsia"/>
                <w:szCs w:val="21"/>
              </w:rPr>
              <w:t>标</w:t>
            </w:r>
            <w:r>
              <w:rPr>
                <w:szCs w:val="21"/>
              </w:rPr>
              <w:t>准限值</w:t>
            </w:r>
            <w:r>
              <w:t>见</w:t>
            </w:r>
            <w:r>
              <w:rPr>
                <w:rFonts w:hint="eastAsia"/>
              </w:rPr>
              <w:t>表3.4-</w:t>
            </w:r>
            <w:r>
              <w:t>7</w:t>
            </w:r>
            <w:r>
              <w:rPr>
                <w:rFonts w:hint="eastAsia"/>
              </w:rPr>
              <w:t>，</w:t>
            </w:r>
            <w:r>
              <w:t>扩建项目</w:t>
            </w:r>
            <w:r>
              <w:rPr>
                <w:rFonts w:hint="eastAsia"/>
              </w:rPr>
              <w:t>产生的</w:t>
            </w:r>
            <w:r>
              <w:t>废水</w:t>
            </w:r>
            <w:r>
              <w:rPr>
                <w:rFonts w:hint="eastAsia"/>
              </w:rPr>
              <w:t>进入</w:t>
            </w:r>
            <w:r>
              <w:rPr>
                <w:szCs w:val="21"/>
              </w:rPr>
              <w:t>万景石化有限公司污水处理站</w:t>
            </w:r>
            <w:r>
              <w:rPr>
                <w:rFonts w:hint="eastAsia"/>
              </w:rPr>
              <w:t>的接管标准见表3.4-</w:t>
            </w:r>
            <w:r>
              <w:t>8</w:t>
            </w:r>
            <w:r>
              <w:rPr>
                <w:rFonts w:hint="eastAsia"/>
              </w:rPr>
              <w:t>。</w:t>
            </w:r>
          </w:p>
          <w:p w14:paraId="788B37CA">
            <w:pPr>
              <w:pStyle w:val="91"/>
              <w:widowControl w:val="0"/>
              <w:numPr>
                <w:ilvl w:val="0"/>
                <w:numId w:val="0"/>
              </w:numPr>
              <w:tabs>
                <w:tab w:val="left" w:pos="-2127"/>
                <w:tab w:val="left" w:pos="0"/>
                <w:tab w:val="left" w:pos="3687"/>
                <w:tab w:val="left" w:pos="5387"/>
                <w:tab w:val="left" w:pos="6380"/>
              </w:tabs>
              <w:autoSpaceDE w:val="0"/>
              <w:autoSpaceDN w:val="0"/>
              <w:adjustRightInd/>
              <w:spacing w:before="120" w:after="120" w:afterLines="50"/>
              <w:outlineLvl w:val="4"/>
            </w:pPr>
            <w:bookmarkStart w:id="26" w:name="_Ref117436886"/>
            <w:r>
              <w:rPr>
                <w:rFonts w:hint="eastAsia"/>
              </w:rPr>
              <w:t>表3.4-4《石油化学工业污染物排放标准》</w:t>
            </w:r>
            <w:r>
              <w:t>单位：mg/L（除pH外）</w:t>
            </w:r>
            <w:bookmarkEnd w:id="26"/>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21"/>
              <w:gridCol w:w="2231"/>
              <w:gridCol w:w="1376"/>
              <w:gridCol w:w="1167"/>
              <w:gridCol w:w="2540"/>
            </w:tblGrid>
            <w:tr w14:paraId="3B56B8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Merge w:val="restart"/>
                  <w:vAlign w:val="center"/>
                </w:tcPr>
                <w:p w14:paraId="42742EA0">
                  <w:pPr>
                    <w:pStyle w:val="134"/>
                    <w:rPr>
                      <w:rFonts w:ascii="Times New Roman" w:hAnsi="Times New Roman"/>
                    </w:rPr>
                  </w:pPr>
                  <w:r>
                    <w:rPr>
                      <w:rFonts w:ascii="Times New Roman" w:hAnsi="Times New Roman"/>
                    </w:rPr>
                    <w:t>序号</w:t>
                  </w:r>
                </w:p>
              </w:tc>
              <w:tc>
                <w:tcPr>
                  <w:tcW w:w="1371" w:type="pct"/>
                  <w:vMerge w:val="restart"/>
                  <w:vAlign w:val="center"/>
                </w:tcPr>
                <w:p w14:paraId="6E3BC5F4">
                  <w:pPr>
                    <w:pStyle w:val="134"/>
                    <w:rPr>
                      <w:rFonts w:ascii="Times New Roman" w:hAnsi="Times New Roman"/>
                    </w:rPr>
                  </w:pPr>
                  <w:r>
                    <w:rPr>
                      <w:rFonts w:ascii="Times New Roman" w:hAnsi="Times New Roman"/>
                    </w:rPr>
                    <w:t>污染物</w:t>
                  </w:r>
                </w:p>
              </w:tc>
              <w:tc>
                <w:tcPr>
                  <w:tcW w:w="1563" w:type="pct"/>
                  <w:gridSpan w:val="2"/>
                  <w:vAlign w:val="center"/>
                </w:tcPr>
                <w:p w14:paraId="59926342">
                  <w:pPr>
                    <w:pStyle w:val="134"/>
                    <w:rPr>
                      <w:rFonts w:ascii="Times New Roman" w:hAnsi="Times New Roman"/>
                    </w:rPr>
                  </w:pPr>
                  <w:r>
                    <w:rPr>
                      <w:rFonts w:ascii="Times New Roman" w:hAnsi="Times New Roman"/>
                    </w:rPr>
                    <w:t>限值</w:t>
                  </w:r>
                </w:p>
              </w:tc>
              <w:tc>
                <w:tcPr>
                  <w:tcW w:w="1561" w:type="pct"/>
                  <w:vMerge w:val="restart"/>
                  <w:vAlign w:val="center"/>
                </w:tcPr>
                <w:p w14:paraId="6AA6795D">
                  <w:pPr>
                    <w:pStyle w:val="134"/>
                    <w:rPr>
                      <w:rFonts w:ascii="Times New Roman" w:hAnsi="Times New Roman"/>
                    </w:rPr>
                  </w:pPr>
                  <w:r>
                    <w:rPr>
                      <w:rFonts w:ascii="Times New Roman" w:hAnsi="Times New Roman"/>
                    </w:rPr>
                    <w:t>污染物排放监控位置</w:t>
                  </w:r>
                </w:p>
              </w:tc>
            </w:tr>
            <w:tr w14:paraId="792130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Merge w:val="continue"/>
                  <w:vAlign w:val="center"/>
                </w:tcPr>
                <w:p w14:paraId="1C2BBC9F">
                  <w:pPr>
                    <w:pStyle w:val="134"/>
                    <w:rPr>
                      <w:rFonts w:ascii="Times New Roman" w:hAnsi="Times New Roman"/>
                    </w:rPr>
                  </w:pPr>
                </w:p>
              </w:tc>
              <w:tc>
                <w:tcPr>
                  <w:tcW w:w="1371" w:type="pct"/>
                  <w:vMerge w:val="continue"/>
                  <w:vAlign w:val="center"/>
                </w:tcPr>
                <w:p w14:paraId="109FA6DF">
                  <w:pPr>
                    <w:pStyle w:val="134"/>
                    <w:rPr>
                      <w:rFonts w:ascii="Times New Roman" w:hAnsi="Times New Roman"/>
                    </w:rPr>
                  </w:pPr>
                </w:p>
              </w:tc>
              <w:tc>
                <w:tcPr>
                  <w:tcW w:w="846" w:type="pct"/>
                  <w:vAlign w:val="center"/>
                </w:tcPr>
                <w:p w14:paraId="3CA56BEE">
                  <w:pPr>
                    <w:pStyle w:val="134"/>
                    <w:rPr>
                      <w:rFonts w:ascii="Times New Roman" w:hAnsi="Times New Roman"/>
                    </w:rPr>
                  </w:pPr>
                  <w:r>
                    <w:rPr>
                      <w:rFonts w:ascii="Times New Roman" w:hAnsi="Times New Roman"/>
                    </w:rPr>
                    <w:t>直接排放</w:t>
                  </w:r>
                </w:p>
              </w:tc>
              <w:tc>
                <w:tcPr>
                  <w:tcW w:w="717" w:type="pct"/>
                  <w:shd w:val="clear" w:color="auto" w:fill="B3B3B3"/>
                  <w:vAlign w:val="center"/>
                </w:tcPr>
                <w:p w14:paraId="4B369BDD">
                  <w:pPr>
                    <w:pStyle w:val="134"/>
                    <w:rPr>
                      <w:rFonts w:ascii="Times New Roman" w:hAnsi="Times New Roman"/>
                    </w:rPr>
                  </w:pPr>
                  <w:r>
                    <w:rPr>
                      <w:rFonts w:ascii="Times New Roman" w:hAnsi="Times New Roman"/>
                    </w:rPr>
                    <w:t>间接排放</w:t>
                  </w:r>
                </w:p>
              </w:tc>
              <w:tc>
                <w:tcPr>
                  <w:tcW w:w="1561" w:type="pct"/>
                  <w:vMerge w:val="continue"/>
                  <w:vAlign w:val="center"/>
                </w:tcPr>
                <w:p w14:paraId="600C7963">
                  <w:pPr>
                    <w:pStyle w:val="134"/>
                    <w:rPr>
                      <w:rFonts w:ascii="Times New Roman" w:hAnsi="Times New Roman"/>
                    </w:rPr>
                  </w:pPr>
                </w:p>
              </w:tc>
            </w:tr>
            <w:tr w14:paraId="4FED86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0DC4E0C5">
                  <w:pPr>
                    <w:pStyle w:val="134"/>
                    <w:rPr>
                      <w:rFonts w:ascii="Times New Roman" w:hAnsi="Times New Roman"/>
                    </w:rPr>
                  </w:pPr>
                  <w:r>
                    <w:rPr>
                      <w:rFonts w:ascii="Times New Roman" w:hAnsi="Times New Roman"/>
                    </w:rPr>
                    <w:t>1</w:t>
                  </w:r>
                </w:p>
              </w:tc>
              <w:tc>
                <w:tcPr>
                  <w:tcW w:w="1371" w:type="pct"/>
                  <w:vAlign w:val="center"/>
                </w:tcPr>
                <w:p w14:paraId="211953E8">
                  <w:pPr>
                    <w:pStyle w:val="134"/>
                    <w:rPr>
                      <w:rFonts w:ascii="Times New Roman" w:hAnsi="Times New Roman"/>
                    </w:rPr>
                  </w:pPr>
                  <w:r>
                    <w:rPr>
                      <w:rFonts w:ascii="Times New Roman" w:hAnsi="Times New Roman"/>
                    </w:rPr>
                    <w:t>pH值</w:t>
                  </w:r>
                </w:p>
              </w:tc>
              <w:tc>
                <w:tcPr>
                  <w:tcW w:w="846" w:type="pct"/>
                  <w:vAlign w:val="center"/>
                </w:tcPr>
                <w:p w14:paraId="6A57AE71">
                  <w:pPr>
                    <w:pStyle w:val="134"/>
                    <w:rPr>
                      <w:rFonts w:ascii="Times New Roman" w:hAnsi="Times New Roman"/>
                    </w:rPr>
                  </w:pPr>
                  <w:r>
                    <w:rPr>
                      <w:rFonts w:ascii="Times New Roman" w:hAnsi="Times New Roman"/>
                    </w:rPr>
                    <w:t>6.0-9.0</w:t>
                  </w:r>
                </w:p>
              </w:tc>
              <w:tc>
                <w:tcPr>
                  <w:tcW w:w="717" w:type="pct"/>
                  <w:shd w:val="clear" w:color="auto" w:fill="B3B3B3"/>
                  <w:vAlign w:val="center"/>
                </w:tcPr>
                <w:p w14:paraId="30E2B66B">
                  <w:pPr>
                    <w:pStyle w:val="134"/>
                    <w:rPr>
                      <w:rFonts w:ascii="Times New Roman" w:hAnsi="Times New Roman"/>
                    </w:rPr>
                  </w:pPr>
                  <w:r>
                    <w:rPr>
                      <w:rFonts w:ascii="Times New Roman" w:hAnsi="Times New Roman"/>
                    </w:rPr>
                    <w:t>/</w:t>
                  </w:r>
                </w:p>
              </w:tc>
              <w:tc>
                <w:tcPr>
                  <w:tcW w:w="1561" w:type="pct"/>
                  <w:vMerge w:val="restart"/>
                  <w:vAlign w:val="center"/>
                </w:tcPr>
                <w:p w14:paraId="3E273ACF">
                  <w:pPr>
                    <w:pStyle w:val="134"/>
                    <w:rPr>
                      <w:rFonts w:ascii="Times New Roman" w:hAnsi="Times New Roman"/>
                    </w:rPr>
                  </w:pPr>
                  <w:r>
                    <w:rPr>
                      <w:rFonts w:ascii="Times New Roman" w:hAnsi="Times New Roman"/>
                    </w:rPr>
                    <w:t>企业废水总排放口</w:t>
                  </w:r>
                </w:p>
              </w:tc>
            </w:tr>
            <w:tr w14:paraId="142F30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149FAABB">
                  <w:pPr>
                    <w:pStyle w:val="134"/>
                    <w:rPr>
                      <w:rFonts w:ascii="Times New Roman" w:hAnsi="Times New Roman"/>
                    </w:rPr>
                  </w:pPr>
                  <w:r>
                    <w:rPr>
                      <w:rFonts w:ascii="Times New Roman" w:hAnsi="Times New Roman"/>
                    </w:rPr>
                    <w:t>2</w:t>
                  </w:r>
                </w:p>
              </w:tc>
              <w:tc>
                <w:tcPr>
                  <w:tcW w:w="1371" w:type="pct"/>
                  <w:vAlign w:val="center"/>
                </w:tcPr>
                <w:p w14:paraId="5751D243">
                  <w:pPr>
                    <w:pStyle w:val="134"/>
                    <w:rPr>
                      <w:rFonts w:ascii="Times New Roman" w:hAnsi="Times New Roman"/>
                    </w:rPr>
                  </w:pPr>
                  <w:r>
                    <w:rPr>
                      <w:rFonts w:ascii="Times New Roman" w:hAnsi="Times New Roman"/>
                    </w:rPr>
                    <w:t>悬浮物</w:t>
                  </w:r>
                </w:p>
              </w:tc>
              <w:tc>
                <w:tcPr>
                  <w:tcW w:w="846" w:type="pct"/>
                  <w:vAlign w:val="center"/>
                </w:tcPr>
                <w:p w14:paraId="15395EDD">
                  <w:pPr>
                    <w:pStyle w:val="134"/>
                    <w:rPr>
                      <w:rFonts w:ascii="Times New Roman" w:hAnsi="Times New Roman"/>
                    </w:rPr>
                  </w:pPr>
                  <w:r>
                    <w:rPr>
                      <w:rFonts w:hint="eastAsia" w:ascii="Times New Roman" w:hAnsi="Times New Roman"/>
                    </w:rPr>
                    <w:t>50</w:t>
                  </w:r>
                </w:p>
              </w:tc>
              <w:tc>
                <w:tcPr>
                  <w:tcW w:w="717" w:type="pct"/>
                  <w:shd w:val="clear" w:color="auto" w:fill="B3B3B3"/>
                  <w:vAlign w:val="center"/>
                </w:tcPr>
                <w:p w14:paraId="4218E98E">
                  <w:pPr>
                    <w:pStyle w:val="134"/>
                    <w:rPr>
                      <w:rFonts w:ascii="Times New Roman" w:hAnsi="Times New Roman"/>
                    </w:rPr>
                  </w:pPr>
                  <w:r>
                    <w:rPr>
                      <w:rFonts w:ascii="Times New Roman" w:hAnsi="Times New Roman"/>
                    </w:rPr>
                    <w:t>/</w:t>
                  </w:r>
                </w:p>
              </w:tc>
              <w:tc>
                <w:tcPr>
                  <w:tcW w:w="1561" w:type="pct"/>
                  <w:vMerge w:val="continue"/>
                  <w:vAlign w:val="center"/>
                </w:tcPr>
                <w:p w14:paraId="094BB8B7">
                  <w:pPr>
                    <w:pStyle w:val="134"/>
                    <w:rPr>
                      <w:rFonts w:ascii="Times New Roman" w:hAnsi="Times New Roman"/>
                    </w:rPr>
                  </w:pPr>
                </w:p>
              </w:tc>
            </w:tr>
            <w:tr w14:paraId="656C59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5A281CE4">
                  <w:pPr>
                    <w:pStyle w:val="134"/>
                    <w:rPr>
                      <w:rFonts w:ascii="Times New Roman" w:hAnsi="Times New Roman"/>
                    </w:rPr>
                  </w:pPr>
                  <w:r>
                    <w:rPr>
                      <w:rFonts w:ascii="Times New Roman" w:hAnsi="Times New Roman"/>
                    </w:rPr>
                    <w:t>3</w:t>
                  </w:r>
                </w:p>
              </w:tc>
              <w:tc>
                <w:tcPr>
                  <w:tcW w:w="1371" w:type="pct"/>
                  <w:vAlign w:val="center"/>
                </w:tcPr>
                <w:p w14:paraId="3976064E">
                  <w:pPr>
                    <w:pStyle w:val="134"/>
                    <w:rPr>
                      <w:rFonts w:ascii="Times New Roman" w:hAnsi="Times New Roman"/>
                    </w:rPr>
                  </w:pPr>
                  <w:r>
                    <w:rPr>
                      <w:rFonts w:ascii="Times New Roman" w:hAnsi="Times New Roman"/>
                    </w:rPr>
                    <w:t>化学需氧量</w:t>
                  </w:r>
                </w:p>
              </w:tc>
              <w:tc>
                <w:tcPr>
                  <w:tcW w:w="846" w:type="pct"/>
                  <w:vAlign w:val="center"/>
                </w:tcPr>
                <w:p w14:paraId="222192A3">
                  <w:pPr>
                    <w:pStyle w:val="134"/>
                    <w:rPr>
                      <w:rFonts w:ascii="Times New Roman" w:hAnsi="Times New Roman"/>
                    </w:rPr>
                  </w:pPr>
                  <w:r>
                    <w:rPr>
                      <w:rFonts w:hint="eastAsia" w:ascii="Times New Roman" w:hAnsi="Times New Roman"/>
                    </w:rPr>
                    <w:t>50</w:t>
                  </w:r>
                </w:p>
              </w:tc>
              <w:tc>
                <w:tcPr>
                  <w:tcW w:w="717" w:type="pct"/>
                  <w:shd w:val="clear" w:color="auto" w:fill="B3B3B3"/>
                  <w:vAlign w:val="center"/>
                </w:tcPr>
                <w:p w14:paraId="4D20BB5F">
                  <w:pPr>
                    <w:pStyle w:val="134"/>
                    <w:rPr>
                      <w:rFonts w:ascii="Times New Roman" w:hAnsi="Times New Roman"/>
                    </w:rPr>
                  </w:pPr>
                  <w:r>
                    <w:rPr>
                      <w:rFonts w:ascii="Times New Roman" w:hAnsi="Times New Roman"/>
                    </w:rPr>
                    <w:t>/</w:t>
                  </w:r>
                </w:p>
              </w:tc>
              <w:tc>
                <w:tcPr>
                  <w:tcW w:w="1561" w:type="pct"/>
                  <w:vMerge w:val="continue"/>
                  <w:vAlign w:val="center"/>
                </w:tcPr>
                <w:p w14:paraId="17CC232E">
                  <w:pPr>
                    <w:pStyle w:val="134"/>
                    <w:rPr>
                      <w:rFonts w:ascii="Times New Roman" w:hAnsi="Times New Roman"/>
                    </w:rPr>
                  </w:pPr>
                </w:p>
              </w:tc>
            </w:tr>
            <w:tr w14:paraId="3F8F83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1A881F4E">
                  <w:pPr>
                    <w:pStyle w:val="134"/>
                    <w:rPr>
                      <w:rFonts w:ascii="Times New Roman" w:hAnsi="Times New Roman"/>
                    </w:rPr>
                  </w:pPr>
                  <w:r>
                    <w:rPr>
                      <w:rFonts w:ascii="Times New Roman" w:hAnsi="Times New Roman"/>
                    </w:rPr>
                    <w:t>4</w:t>
                  </w:r>
                </w:p>
              </w:tc>
              <w:tc>
                <w:tcPr>
                  <w:tcW w:w="1371" w:type="pct"/>
                  <w:vAlign w:val="center"/>
                </w:tcPr>
                <w:p w14:paraId="46BB5DA3">
                  <w:pPr>
                    <w:pStyle w:val="134"/>
                    <w:rPr>
                      <w:rFonts w:ascii="Times New Roman" w:hAnsi="Times New Roman"/>
                    </w:rPr>
                  </w:pPr>
                  <w:r>
                    <w:rPr>
                      <w:rFonts w:ascii="Times New Roman" w:hAnsi="Times New Roman"/>
                    </w:rPr>
                    <w:t>五日生化需氧量</w:t>
                  </w:r>
                </w:p>
              </w:tc>
              <w:tc>
                <w:tcPr>
                  <w:tcW w:w="846" w:type="pct"/>
                  <w:vAlign w:val="center"/>
                </w:tcPr>
                <w:p w14:paraId="2DD0F0FC">
                  <w:pPr>
                    <w:pStyle w:val="134"/>
                    <w:rPr>
                      <w:rFonts w:ascii="Times New Roman" w:hAnsi="Times New Roman"/>
                    </w:rPr>
                  </w:pPr>
                  <w:r>
                    <w:rPr>
                      <w:rFonts w:hint="eastAsia" w:ascii="Times New Roman" w:hAnsi="Times New Roman"/>
                    </w:rPr>
                    <w:t>10</w:t>
                  </w:r>
                </w:p>
              </w:tc>
              <w:tc>
                <w:tcPr>
                  <w:tcW w:w="717" w:type="pct"/>
                  <w:shd w:val="clear" w:color="auto" w:fill="B3B3B3"/>
                  <w:vAlign w:val="center"/>
                </w:tcPr>
                <w:p w14:paraId="682376C6">
                  <w:pPr>
                    <w:pStyle w:val="134"/>
                    <w:rPr>
                      <w:rFonts w:ascii="Times New Roman" w:hAnsi="Times New Roman"/>
                    </w:rPr>
                  </w:pPr>
                  <w:r>
                    <w:rPr>
                      <w:rFonts w:ascii="Times New Roman" w:hAnsi="Times New Roman"/>
                    </w:rPr>
                    <w:t>/</w:t>
                  </w:r>
                </w:p>
              </w:tc>
              <w:tc>
                <w:tcPr>
                  <w:tcW w:w="1561" w:type="pct"/>
                  <w:vMerge w:val="continue"/>
                  <w:vAlign w:val="center"/>
                </w:tcPr>
                <w:p w14:paraId="29A3E870">
                  <w:pPr>
                    <w:pStyle w:val="134"/>
                    <w:rPr>
                      <w:rFonts w:ascii="Times New Roman" w:hAnsi="Times New Roman"/>
                    </w:rPr>
                  </w:pPr>
                </w:p>
              </w:tc>
            </w:tr>
            <w:tr w14:paraId="0B066E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1317BF89">
                  <w:pPr>
                    <w:pStyle w:val="134"/>
                    <w:rPr>
                      <w:rFonts w:ascii="Times New Roman" w:hAnsi="Times New Roman"/>
                    </w:rPr>
                  </w:pPr>
                  <w:r>
                    <w:rPr>
                      <w:rFonts w:ascii="Times New Roman" w:hAnsi="Times New Roman"/>
                    </w:rPr>
                    <w:t>5</w:t>
                  </w:r>
                </w:p>
              </w:tc>
              <w:tc>
                <w:tcPr>
                  <w:tcW w:w="1371" w:type="pct"/>
                  <w:vAlign w:val="center"/>
                </w:tcPr>
                <w:p w14:paraId="43A86F74">
                  <w:pPr>
                    <w:pStyle w:val="134"/>
                    <w:rPr>
                      <w:rFonts w:ascii="Times New Roman" w:hAnsi="Times New Roman"/>
                    </w:rPr>
                  </w:pPr>
                  <w:r>
                    <w:rPr>
                      <w:rFonts w:ascii="Times New Roman" w:hAnsi="Times New Roman"/>
                    </w:rPr>
                    <w:t>氨氮</w:t>
                  </w:r>
                </w:p>
              </w:tc>
              <w:tc>
                <w:tcPr>
                  <w:tcW w:w="846" w:type="pct"/>
                  <w:vAlign w:val="center"/>
                </w:tcPr>
                <w:p w14:paraId="6DA39192">
                  <w:pPr>
                    <w:pStyle w:val="134"/>
                    <w:rPr>
                      <w:rFonts w:ascii="Times New Roman" w:hAnsi="Times New Roman"/>
                    </w:rPr>
                  </w:pPr>
                  <w:r>
                    <w:rPr>
                      <w:rFonts w:hint="eastAsia" w:ascii="Times New Roman" w:hAnsi="Times New Roman"/>
                    </w:rPr>
                    <w:t>5.0</w:t>
                  </w:r>
                </w:p>
              </w:tc>
              <w:tc>
                <w:tcPr>
                  <w:tcW w:w="717" w:type="pct"/>
                  <w:shd w:val="clear" w:color="auto" w:fill="B3B3B3"/>
                  <w:vAlign w:val="center"/>
                </w:tcPr>
                <w:p w14:paraId="4DFA78B7">
                  <w:pPr>
                    <w:pStyle w:val="134"/>
                    <w:rPr>
                      <w:rFonts w:ascii="Times New Roman" w:hAnsi="Times New Roman"/>
                    </w:rPr>
                  </w:pPr>
                  <w:r>
                    <w:rPr>
                      <w:rFonts w:ascii="Times New Roman" w:hAnsi="Times New Roman"/>
                    </w:rPr>
                    <w:t>/</w:t>
                  </w:r>
                </w:p>
              </w:tc>
              <w:tc>
                <w:tcPr>
                  <w:tcW w:w="1561" w:type="pct"/>
                  <w:vMerge w:val="continue"/>
                  <w:vAlign w:val="center"/>
                </w:tcPr>
                <w:p w14:paraId="0033E1A7">
                  <w:pPr>
                    <w:pStyle w:val="134"/>
                    <w:rPr>
                      <w:rFonts w:ascii="Times New Roman" w:hAnsi="Times New Roman"/>
                    </w:rPr>
                  </w:pPr>
                </w:p>
              </w:tc>
            </w:tr>
            <w:tr w14:paraId="7853D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05" w:type="pct"/>
                  <w:vAlign w:val="center"/>
                </w:tcPr>
                <w:p w14:paraId="31604558">
                  <w:pPr>
                    <w:pStyle w:val="134"/>
                    <w:rPr>
                      <w:rFonts w:ascii="Times New Roman" w:hAnsi="Times New Roman"/>
                    </w:rPr>
                  </w:pPr>
                  <w:r>
                    <w:rPr>
                      <w:rFonts w:ascii="Times New Roman" w:hAnsi="Times New Roman"/>
                    </w:rPr>
                    <w:t>6</w:t>
                  </w:r>
                </w:p>
              </w:tc>
              <w:tc>
                <w:tcPr>
                  <w:tcW w:w="1371" w:type="pct"/>
                  <w:vAlign w:val="center"/>
                </w:tcPr>
                <w:p w14:paraId="69ABD42A">
                  <w:pPr>
                    <w:pStyle w:val="134"/>
                    <w:rPr>
                      <w:rFonts w:ascii="Times New Roman" w:hAnsi="Times New Roman"/>
                    </w:rPr>
                  </w:pPr>
                  <w:r>
                    <w:rPr>
                      <w:rFonts w:ascii="Times New Roman" w:hAnsi="Times New Roman"/>
                    </w:rPr>
                    <w:t>总氮</w:t>
                  </w:r>
                </w:p>
              </w:tc>
              <w:tc>
                <w:tcPr>
                  <w:tcW w:w="846" w:type="pct"/>
                  <w:vAlign w:val="center"/>
                </w:tcPr>
                <w:p w14:paraId="7F9457D0">
                  <w:pPr>
                    <w:pStyle w:val="134"/>
                    <w:rPr>
                      <w:rFonts w:ascii="Times New Roman" w:hAnsi="Times New Roman"/>
                    </w:rPr>
                  </w:pPr>
                  <w:r>
                    <w:rPr>
                      <w:rFonts w:hint="eastAsia" w:ascii="Times New Roman" w:hAnsi="Times New Roman"/>
                    </w:rPr>
                    <w:t>30</w:t>
                  </w:r>
                </w:p>
              </w:tc>
              <w:tc>
                <w:tcPr>
                  <w:tcW w:w="717" w:type="pct"/>
                  <w:shd w:val="clear" w:color="auto" w:fill="B3B3B3"/>
                  <w:vAlign w:val="center"/>
                </w:tcPr>
                <w:p w14:paraId="5103A64E">
                  <w:pPr>
                    <w:pStyle w:val="134"/>
                    <w:rPr>
                      <w:rFonts w:ascii="Times New Roman" w:hAnsi="Times New Roman"/>
                    </w:rPr>
                  </w:pPr>
                  <w:r>
                    <w:rPr>
                      <w:rFonts w:ascii="Times New Roman" w:hAnsi="Times New Roman"/>
                    </w:rPr>
                    <w:t>/</w:t>
                  </w:r>
                </w:p>
              </w:tc>
              <w:tc>
                <w:tcPr>
                  <w:tcW w:w="1561" w:type="pct"/>
                  <w:vMerge w:val="continue"/>
                  <w:vAlign w:val="center"/>
                </w:tcPr>
                <w:p w14:paraId="19321C74">
                  <w:pPr>
                    <w:pStyle w:val="134"/>
                    <w:rPr>
                      <w:rFonts w:ascii="Times New Roman" w:hAnsi="Times New Roman"/>
                    </w:rPr>
                  </w:pPr>
                </w:p>
              </w:tc>
            </w:tr>
            <w:tr w14:paraId="1F3722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31782618">
                  <w:pPr>
                    <w:pStyle w:val="134"/>
                    <w:rPr>
                      <w:rFonts w:ascii="Times New Roman" w:hAnsi="Times New Roman"/>
                    </w:rPr>
                  </w:pPr>
                  <w:r>
                    <w:rPr>
                      <w:rFonts w:ascii="Times New Roman" w:hAnsi="Times New Roman"/>
                    </w:rPr>
                    <w:t>7</w:t>
                  </w:r>
                </w:p>
              </w:tc>
              <w:tc>
                <w:tcPr>
                  <w:tcW w:w="1371" w:type="pct"/>
                  <w:vAlign w:val="center"/>
                </w:tcPr>
                <w:p w14:paraId="34307E47">
                  <w:pPr>
                    <w:pStyle w:val="134"/>
                    <w:rPr>
                      <w:rFonts w:ascii="Times New Roman" w:hAnsi="Times New Roman"/>
                    </w:rPr>
                  </w:pPr>
                  <w:r>
                    <w:rPr>
                      <w:rFonts w:ascii="Times New Roman" w:hAnsi="Times New Roman"/>
                    </w:rPr>
                    <w:t>总磷</w:t>
                  </w:r>
                </w:p>
              </w:tc>
              <w:tc>
                <w:tcPr>
                  <w:tcW w:w="846" w:type="pct"/>
                  <w:vAlign w:val="center"/>
                </w:tcPr>
                <w:p w14:paraId="0E8E38FE">
                  <w:pPr>
                    <w:pStyle w:val="134"/>
                    <w:rPr>
                      <w:rFonts w:ascii="Times New Roman" w:hAnsi="Times New Roman"/>
                    </w:rPr>
                  </w:pPr>
                  <w:r>
                    <w:rPr>
                      <w:rFonts w:hint="eastAsia" w:ascii="Times New Roman" w:hAnsi="Times New Roman"/>
                    </w:rPr>
                    <w:t>0.5</w:t>
                  </w:r>
                </w:p>
              </w:tc>
              <w:tc>
                <w:tcPr>
                  <w:tcW w:w="717" w:type="pct"/>
                  <w:shd w:val="clear" w:color="auto" w:fill="B3B3B3"/>
                  <w:vAlign w:val="center"/>
                </w:tcPr>
                <w:p w14:paraId="4EDC5653">
                  <w:pPr>
                    <w:pStyle w:val="134"/>
                    <w:rPr>
                      <w:rFonts w:ascii="Times New Roman" w:hAnsi="Times New Roman"/>
                    </w:rPr>
                  </w:pPr>
                  <w:r>
                    <w:rPr>
                      <w:rFonts w:ascii="Times New Roman" w:hAnsi="Times New Roman"/>
                    </w:rPr>
                    <w:t>/</w:t>
                  </w:r>
                </w:p>
              </w:tc>
              <w:tc>
                <w:tcPr>
                  <w:tcW w:w="1561" w:type="pct"/>
                  <w:vMerge w:val="continue"/>
                  <w:vAlign w:val="center"/>
                </w:tcPr>
                <w:p w14:paraId="4B0A0837">
                  <w:pPr>
                    <w:pStyle w:val="134"/>
                    <w:rPr>
                      <w:rFonts w:ascii="Times New Roman" w:hAnsi="Times New Roman"/>
                    </w:rPr>
                  </w:pPr>
                </w:p>
              </w:tc>
            </w:tr>
            <w:tr w14:paraId="08659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5D864AE9">
                  <w:pPr>
                    <w:pStyle w:val="134"/>
                    <w:rPr>
                      <w:rFonts w:ascii="Times New Roman" w:hAnsi="Times New Roman"/>
                    </w:rPr>
                  </w:pPr>
                  <w:r>
                    <w:rPr>
                      <w:rFonts w:ascii="Times New Roman" w:hAnsi="Times New Roman"/>
                    </w:rPr>
                    <w:t>8</w:t>
                  </w:r>
                </w:p>
              </w:tc>
              <w:tc>
                <w:tcPr>
                  <w:tcW w:w="1371" w:type="pct"/>
                  <w:vAlign w:val="center"/>
                </w:tcPr>
                <w:p w14:paraId="0A11CE34">
                  <w:pPr>
                    <w:pStyle w:val="134"/>
                    <w:rPr>
                      <w:rFonts w:ascii="Times New Roman" w:hAnsi="Times New Roman"/>
                    </w:rPr>
                  </w:pPr>
                  <w:r>
                    <w:rPr>
                      <w:rFonts w:ascii="Times New Roman" w:hAnsi="Times New Roman"/>
                    </w:rPr>
                    <w:t>总有机碳</w:t>
                  </w:r>
                </w:p>
              </w:tc>
              <w:tc>
                <w:tcPr>
                  <w:tcW w:w="846" w:type="pct"/>
                  <w:vAlign w:val="center"/>
                </w:tcPr>
                <w:p w14:paraId="34C8B28B">
                  <w:pPr>
                    <w:pStyle w:val="134"/>
                    <w:rPr>
                      <w:rFonts w:ascii="Times New Roman" w:hAnsi="Times New Roman"/>
                    </w:rPr>
                  </w:pPr>
                  <w:r>
                    <w:rPr>
                      <w:rFonts w:hint="eastAsia" w:ascii="Times New Roman" w:hAnsi="Times New Roman"/>
                    </w:rPr>
                    <w:t>15</w:t>
                  </w:r>
                </w:p>
              </w:tc>
              <w:tc>
                <w:tcPr>
                  <w:tcW w:w="717" w:type="pct"/>
                  <w:shd w:val="clear" w:color="auto" w:fill="B3B3B3"/>
                  <w:vAlign w:val="center"/>
                </w:tcPr>
                <w:p w14:paraId="3409A169">
                  <w:pPr>
                    <w:pStyle w:val="134"/>
                    <w:rPr>
                      <w:rFonts w:ascii="Times New Roman" w:hAnsi="Times New Roman"/>
                    </w:rPr>
                  </w:pPr>
                  <w:r>
                    <w:rPr>
                      <w:rFonts w:ascii="Times New Roman" w:hAnsi="Times New Roman"/>
                    </w:rPr>
                    <w:t>/</w:t>
                  </w:r>
                </w:p>
              </w:tc>
              <w:tc>
                <w:tcPr>
                  <w:tcW w:w="1561" w:type="pct"/>
                  <w:vMerge w:val="continue"/>
                  <w:vAlign w:val="center"/>
                </w:tcPr>
                <w:p w14:paraId="45FF347C">
                  <w:pPr>
                    <w:pStyle w:val="134"/>
                    <w:rPr>
                      <w:rFonts w:ascii="Times New Roman" w:hAnsi="Times New Roman"/>
                    </w:rPr>
                  </w:pPr>
                </w:p>
              </w:tc>
            </w:tr>
            <w:tr w14:paraId="61CA5E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2D474A91">
                  <w:pPr>
                    <w:pStyle w:val="134"/>
                    <w:rPr>
                      <w:rFonts w:ascii="Times New Roman" w:hAnsi="Times New Roman"/>
                    </w:rPr>
                  </w:pPr>
                  <w:r>
                    <w:rPr>
                      <w:rFonts w:hint="eastAsia" w:ascii="Times New Roman" w:hAnsi="Times New Roman"/>
                    </w:rPr>
                    <w:t>9</w:t>
                  </w:r>
                </w:p>
              </w:tc>
              <w:tc>
                <w:tcPr>
                  <w:tcW w:w="1371" w:type="pct"/>
                  <w:vAlign w:val="center"/>
                </w:tcPr>
                <w:p w14:paraId="36E636DD">
                  <w:pPr>
                    <w:pStyle w:val="134"/>
                    <w:rPr>
                      <w:rFonts w:ascii="Times New Roman" w:hAnsi="Times New Roman"/>
                    </w:rPr>
                  </w:pPr>
                  <w:r>
                    <w:rPr>
                      <w:rFonts w:hint="eastAsia" w:ascii="Times New Roman" w:hAnsi="Times New Roman"/>
                    </w:rPr>
                    <w:t>石油类</w:t>
                  </w:r>
                </w:p>
              </w:tc>
              <w:tc>
                <w:tcPr>
                  <w:tcW w:w="846" w:type="pct"/>
                  <w:vAlign w:val="center"/>
                </w:tcPr>
                <w:p w14:paraId="2A374ACA">
                  <w:pPr>
                    <w:pStyle w:val="134"/>
                    <w:rPr>
                      <w:rFonts w:ascii="Times New Roman" w:hAnsi="Times New Roman"/>
                    </w:rPr>
                  </w:pPr>
                  <w:r>
                    <w:rPr>
                      <w:rFonts w:hint="eastAsia" w:ascii="Times New Roman" w:hAnsi="Times New Roman"/>
                    </w:rPr>
                    <w:t>3.0</w:t>
                  </w:r>
                </w:p>
              </w:tc>
              <w:tc>
                <w:tcPr>
                  <w:tcW w:w="717" w:type="pct"/>
                  <w:shd w:val="clear" w:color="auto" w:fill="B3B3B3"/>
                  <w:vAlign w:val="center"/>
                </w:tcPr>
                <w:p w14:paraId="024C321C">
                  <w:pPr>
                    <w:pStyle w:val="134"/>
                    <w:rPr>
                      <w:rFonts w:ascii="Times New Roman" w:hAnsi="Times New Roman"/>
                    </w:rPr>
                  </w:pPr>
                  <w:r>
                    <w:rPr>
                      <w:rFonts w:hint="eastAsia" w:ascii="Times New Roman" w:hAnsi="Times New Roman"/>
                    </w:rPr>
                    <w:t>15</w:t>
                  </w:r>
                </w:p>
              </w:tc>
              <w:tc>
                <w:tcPr>
                  <w:tcW w:w="1561" w:type="pct"/>
                  <w:vMerge w:val="continue"/>
                  <w:vAlign w:val="center"/>
                </w:tcPr>
                <w:p w14:paraId="067B7353">
                  <w:pPr>
                    <w:pStyle w:val="134"/>
                    <w:rPr>
                      <w:rFonts w:ascii="Times New Roman" w:hAnsi="Times New Roman"/>
                    </w:rPr>
                  </w:pPr>
                </w:p>
              </w:tc>
            </w:tr>
            <w:tr w14:paraId="43F77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5" w:type="pct"/>
                  <w:vAlign w:val="center"/>
                </w:tcPr>
                <w:p w14:paraId="72F107D5">
                  <w:pPr>
                    <w:pStyle w:val="134"/>
                    <w:rPr>
                      <w:rFonts w:ascii="Times New Roman" w:hAnsi="Times New Roman"/>
                    </w:rPr>
                  </w:pPr>
                  <w:r>
                    <w:rPr>
                      <w:rFonts w:ascii="Times New Roman" w:hAnsi="Times New Roman"/>
                    </w:rPr>
                    <w:t>10</w:t>
                  </w:r>
                </w:p>
              </w:tc>
              <w:tc>
                <w:tcPr>
                  <w:tcW w:w="1371" w:type="pct"/>
                  <w:vAlign w:val="center"/>
                </w:tcPr>
                <w:p w14:paraId="15E20D29">
                  <w:pPr>
                    <w:pStyle w:val="134"/>
                    <w:rPr>
                      <w:rFonts w:ascii="Times New Roman" w:hAnsi="Times New Roman"/>
                    </w:rPr>
                  </w:pPr>
                  <w:r>
                    <w:rPr>
                      <w:rFonts w:hint="eastAsia" w:ascii="Times New Roman" w:hAnsi="Times New Roman"/>
                    </w:rPr>
                    <w:t>硫化物</w:t>
                  </w:r>
                </w:p>
              </w:tc>
              <w:tc>
                <w:tcPr>
                  <w:tcW w:w="846" w:type="pct"/>
                  <w:vAlign w:val="center"/>
                </w:tcPr>
                <w:p w14:paraId="2883AC47">
                  <w:pPr>
                    <w:pStyle w:val="134"/>
                    <w:rPr>
                      <w:rFonts w:ascii="Times New Roman" w:hAnsi="Times New Roman"/>
                    </w:rPr>
                  </w:pPr>
                  <w:r>
                    <w:rPr>
                      <w:rFonts w:hint="eastAsia" w:ascii="Times New Roman" w:hAnsi="Times New Roman"/>
                    </w:rPr>
                    <w:t>0.5</w:t>
                  </w:r>
                </w:p>
              </w:tc>
              <w:tc>
                <w:tcPr>
                  <w:tcW w:w="717" w:type="pct"/>
                  <w:shd w:val="clear" w:color="auto" w:fill="B3B3B3"/>
                  <w:vAlign w:val="center"/>
                </w:tcPr>
                <w:p w14:paraId="244077F9">
                  <w:pPr>
                    <w:pStyle w:val="134"/>
                    <w:rPr>
                      <w:rFonts w:ascii="Times New Roman" w:hAnsi="Times New Roman"/>
                    </w:rPr>
                  </w:pPr>
                  <w:r>
                    <w:rPr>
                      <w:rFonts w:hint="eastAsia" w:ascii="Times New Roman" w:hAnsi="Times New Roman"/>
                    </w:rPr>
                    <w:t>1.0</w:t>
                  </w:r>
                </w:p>
              </w:tc>
              <w:tc>
                <w:tcPr>
                  <w:tcW w:w="1561" w:type="pct"/>
                  <w:vMerge w:val="continue"/>
                  <w:vAlign w:val="center"/>
                </w:tcPr>
                <w:p w14:paraId="68C29E24">
                  <w:pPr>
                    <w:pStyle w:val="134"/>
                    <w:rPr>
                      <w:rFonts w:ascii="Times New Roman" w:hAnsi="Times New Roman"/>
                    </w:rPr>
                  </w:pPr>
                </w:p>
              </w:tc>
            </w:tr>
            <w:tr w14:paraId="32F0FC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5000" w:type="pct"/>
                  <w:gridSpan w:val="5"/>
                  <w:vAlign w:val="center"/>
                </w:tcPr>
                <w:p w14:paraId="6164888E">
                  <w:pPr>
                    <w:pStyle w:val="134"/>
                    <w:jc w:val="left"/>
                    <w:rPr>
                      <w:rFonts w:ascii="Times New Roman" w:hAnsi="Times New Roman"/>
                    </w:rPr>
                  </w:pPr>
                  <w:r>
                    <w:rPr>
                      <w:rFonts w:ascii="Times New Roman" w:hAnsi="Times New Roman"/>
                    </w:rPr>
                    <w:t>注：废水进入城镇污水处理厂或经由城镇污水管线排放，应达到直接排放限值；废水进入园区（包括各类工业园区、开发区、工业聚集地等）污水处理厂执行间接排放限值，未规定限值的污染物项目由企业与园区污水处理厂根据其污水处理能力商定相关标准，并报当地环境保护主管部门备案</w:t>
                  </w:r>
                </w:p>
              </w:tc>
            </w:tr>
          </w:tbl>
          <w:p w14:paraId="73F53331">
            <w:pPr>
              <w:pStyle w:val="91"/>
              <w:widowControl w:val="0"/>
              <w:numPr>
                <w:ilvl w:val="0"/>
                <w:numId w:val="0"/>
              </w:numPr>
              <w:tabs>
                <w:tab w:val="left" w:pos="-2127"/>
                <w:tab w:val="left" w:pos="0"/>
                <w:tab w:val="left" w:pos="3687"/>
                <w:tab w:val="left" w:pos="5387"/>
                <w:tab w:val="left" w:pos="6380"/>
              </w:tabs>
              <w:autoSpaceDE w:val="0"/>
              <w:autoSpaceDN w:val="0"/>
              <w:adjustRightInd/>
              <w:spacing w:before="120" w:after="120" w:afterLines="50"/>
              <w:outlineLvl w:val="4"/>
            </w:pPr>
            <w:bookmarkStart w:id="27" w:name="_Ref116142643"/>
            <w:r>
              <w:rPr>
                <w:rFonts w:hint="eastAsia"/>
              </w:rPr>
              <w:t>表3.4-5《合成树脂工业污染物排放标准》</w:t>
            </w:r>
            <w:r>
              <w:t>单位：mg/L（除pH外）</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14"/>
              <w:gridCol w:w="1722"/>
              <w:gridCol w:w="974"/>
              <w:gridCol w:w="974"/>
              <w:gridCol w:w="1911"/>
              <w:gridCol w:w="1910"/>
            </w:tblGrid>
            <w:tr w14:paraId="39F01A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vMerge w:val="restart"/>
                  <w:tcBorders>
                    <w:left w:val="nil"/>
                    <w:bottom w:val="single" w:color="000000" w:sz="4" w:space="0"/>
                    <w:right w:val="single" w:color="000000" w:sz="4" w:space="0"/>
                  </w:tcBorders>
                  <w:vAlign w:val="center"/>
                </w:tcPr>
                <w:p w14:paraId="6FD3F906">
                  <w:pPr>
                    <w:pStyle w:val="134"/>
                    <w:rPr>
                      <w:rFonts w:ascii="Times New Roman" w:hAnsi="Times New Roman"/>
                    </w:rPr>
                  </w:pPr>
                  <w:r>
                    <w:rPr>
                      <w:rFonts w:ascii="Times New Roman" w:hAnsi="Times New Roman"/>
                    </w:rPr>
                    <w:t>序号</w:t>
                  </w:r>
                </w:p>
              </w:tc>
              <w:tc>
                <w:tcPr>
                  <w:tcW w:w="1062" w:type="pct"/>
                  <w:vMerge w:val="restart"/>
                  <w:tcBorders>
                    <w:left w:val="single" w:color="000000" w:sz="4" w:space="0"/>
                    <w:bottom w:val="single" w:color="000000" w:sz="4" w:space="0"/>
                    <w:right w:val="single" w:color="000000" w:sz="4" w:space="0"/>
                  </w:tcBorders>
                  <w:vAlign w:val="center"/>
                </w:tcPr>
                <w:p w14:paraId="32F43AE3">
                  <w:pPr>
                    <w:pStyle w:val="134"/>
                    <w:rPr>
                      <w:rFonts w:ascii="Times New Roman" w:hAnsi="Times New Roman"/>
                    </w:rPr>
                  </w:pPr>
                  <w:r>
                    <w:rPr>
                      <w:rFonts w:ascii="Times New Roman" w:hAnsi="Times New Roman"/>
                    </w:rPr>
                    <w:t>污染物</w:t>
                  </w:r>
                </w:p>
              </w:tc>
              <w:tc>
                <w:tcPr>
                  <w:tcW w:w="1202" w:type="pct"/>
                  <w:gridSpan w:val="2"/>
                  <w:tcBorders>
                    <w:left w:val="single" w:color="000000" w:sz="4" w:space="0"/>
                    <w:bottom w:val="single" w:color="000000" w:sz="4" w:space="0"/>
                    <w:right w:val="single" w:color="000000" w:sz="4" w:space="0"/>
                  </w:tcBorders>
                  <w:vAlign w:val="center"/>
                </w:tcPr>
                <w:p w14:paraId="1906B8E7">
                  <w:pPr>
                    <w:pStyle w:val="134"/>
                    <w:rPr>
                      <w:rFonts w:ascii="Times New Roman" w:hAnsi="Times New Roman"/>
                    </w:rPr>
                  </w:pPr>
                  <w:r>
                    <w:rPr>
                      <w:rFonts w:ascii="Times New Roman" w:hAnsi="Times New Roman"/>
                    </w:rPr>
                    <w:t>限值</w:t>
                  </w:r>
                </w:p>
              </w:tc>
              <w:tc>
                <w:tcPr>
                  <w:tcW w:w="1179" w:type="pct"/>
                  <w:vMerge w:val="restart"/>
                  <w:tcBorders>
                    <w:left w:val="single" w:color="000000" w:sz="4" w:space="0"/>
                    <w:bottom w:val="single" w:color="000000" w:sz="4" w:space="0"/>
                    <w:right w:val="single" w:color="000000" w:sz="4" w:space="0"/>
                  </w:tcBorders>
                  <w:vAlign w:val="center"/>
                </w:tcPr>
                <w:p w14:paraId="4481A5B5">
                  <w:pPr>
                    <w:pStyle w:val="134"/>
                    <w:rPr>
                      <w:rFonts w:ascii="Times New Roman" w:hAnsi="Times New Roman"/>
                    </w:rPr>
                  </w:pPr>
                  <w:r>
                    <w:rPr>
                      <w:rFonts w:ascii="Times New Roman" w:hAnsi="Times New Roman"/>
                    </w:rPr>
                    <w:t>适用的合成树脂类型</w:t>
                  </w:r>
                </w:p>
              </w:tc>
              <w:tc>
                <w:tcPr>
                  <w:tcW w:w="1179" w:type="pct"/>
                  <w:vMerge w:val="restart"/>
                  <w:tcBorders>
                    <w:left w:val="single" w:color="000000" w:sz="4" w:space="0"/>
                    <w:bottom w:val="single" w:color="000000" w:sz="4" w:space="0"/>
                    <w:right w:val="nil"/>
                  </w:tcBorders>
                  <w:vAlign w:val="center"/>
                </w:tcPr>
                <w:p w14:paraId="50F40C66">
                  <w:pPr>
                    <w:pStyle w:val="134"/>
                    <w:rPr>
                      <w:rFonts w:ascii="Times New Roman" w:hAnsi="Times New Roman"/>
                    </w:rPr>
                  </w:pPr>
                  <w:r>
                    <w:rPr>
                      <w:rFonts w:ascii="Times New Roman" w:hAnsi="Times New Roman"/>
                    </w:rPr>
                    <w:t>污染物排放监控位置</w:t>
                  </w:r>
                </w:p>
              </w:tc>
            </w:tr>
            <w:tr w14:paraId="094BFB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vMerge w:val="continue"/>
                  <w:tcBorders>
                    <w:top w:val="nil"/>
                    <w:left w:val="nil"/>
                    <w:bottom w:val="single" w:color="000000" w:sz="4" w:space="0"/>
                    <w:right w:val="single" w:color="000000" w:sz="4" w:space="0"/>
                  </w:tcBorders>
                  <w:vAlign w:val="center"/>
                </w:tcPr>
                <w:p w14:paraId="12C5D965">
                  <w:pPr>
                    <w:pStyle w:val="134"/>
                    <w:rPr>
                      <w:rFonts w:ascii="Times New Roman" w:hAnsi="Times New Roman"/>
                    </w:rPr>
                  </w:pPr>
                </w:p>
              </w:tc>
              <w:tc>
                <w:tcPr>
                  <w:tcW w:w="1062" w:type="pct"/>
                  <w:vMerge w:val="continue"/>
                  <w:tcBorders>
                    <w:top w:val="nil"/>
                    <w:left w:val="single" w:color="000000" w:sz="4" w:space="0"/>
                    <w:bottom w:val="single" w:color="000000" w:sz="4" w:space="0"/>
                    <w:right w:val="single" w:color="000000" w:sz="4" w:space="0"/>
                  </w:tcBorders>
                  <w:vAlign w:val="center"/>
                </w:tcPr>
                <w:p w14:paraId="558A1060">
                  <w:pPr>
                    <w:pStyle w:val="134"/>
                    <w:rPr>
                      <w:rFonts w:ascii="Times New Roman" w:hAnsi="Times New Roman"/>
                    </w:rPr>
                  </w:pPr>
                </w:p>
              </w:tc>
              <w:tc>
                <w:tcPr>
                  <w:tcW w:w="601" w:type="pct"/>
                  <w:tcBorders>
                    <w:top w:val="single" w:color="000000" w:sz="4" w:space="0"/>
                    <w:left w:val="single" w:color="000000" w:sz="4" w:space="0"/>
                    <w:bottom w:val="single" w:color="000000" w:sz="4" w:space="0"/>
                    <w:right w:val="single" w:color="000000" w:sz="4" w:space="0"/>
                  </w:tcBorders>
                  <w:vAlign w:val="center"/>
                </w:tcPr>
                <w:p w14:paraId="3CF664D3">
                  <w:pPr>
                    <w:pStyle w:val="134"/>
                    <w:rPr>
                      <w:rFonts w:ascii="Times New Roman" w:hAnsi="Times New Roman"/>
                    </w:rPr>
                  </w:pPr>
                  <w:r>
                    <w:rPr>
                      <w:rFonts w:ascii="Times New Roman" w:hAnsi="Times New Roman"/>
                    </w:rPr>
                    <w:t>直接排放</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7D40205A">
                  <w:pPr>
                    <w:pStyle w:val="134"/>
                    <w:rPr>
                      <w:rFonts w:ascii="Times New Roman" w:hAnsi="Times New Roman"/>
                    </w:rPr>
                  </w:pPr>
                  <w:r>
                    <w:rPr>
                      <w:rFonts w:ascii="Times New Roman" w:hAnsi="Times New Roman"/>
                    </w:rPr>
                    <w:t>间接排放</w:t>
                  </w:r>
                </w:p>
              </w:tc>
              <w:tc>
                <w:tcPr>
                  <w:tcW w:w="1179" w:type="pct"/>
                  <w:vMerge w:val="continue"/>
                  <w:tcBorders>
                    <w:top w:val="nil"/>
                    <w:left w:val="single" w:color="000000" w:sz="4" w:space="0"/>
                    <w:bottom w:val="single" w:color="000000" w:sz="4" w:space="0"/>
                    <w:right w:val="single" w:color="000000" w:sz="4" w:space="0"/>
                  </w:tcBorders>
                  <w:vAlign w:val="center"/>
                </w:tcPr>
                <w:p w14:paraId="449A834C">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763E03EC">
                  <w:pPr>
                    <w:pStyle w:val="134"/>
                    <w:rPr>
                      <w:rFonts w:ascii="Times New Roman" w:hAnsi="Times New Roman"/>
                    </w:rPr>
                  </w:pPr>
                </w:p>
              </w:tc>
            </w:tr>
            <w:tr w14:paraId="431C75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77B93128">
                  <w:pPr>
                    <w:pStyle w:val="134"/>
                    <w:rPr>
                      <w:rFonts w:ascii="Times New Roman" w:hAnsi="Times New Roman"/>
                    </w:rPr>
                  </w:pPr>
                  <w:r>
                    <w:rPr>
                      <w:rFonts w:ascii="Times New Roman" w:hAnsi="Times New Roman"/>
                    </w:rPr>
                    <w:t>1</w:t>
                  </w:r>
                </w:p>
              </w:tc>
              <w:tc>
                <w:tcPr>
                  <w:tcW w:w="1062" w:type="pct"/>
                  <w:tcBorders>
                    <w:top w:val="single" w:color="000000" w:sz="4" w:space="0"/>
                    <w:left w:val="single" w:color="000000" w:sz="4" w:space="0"/>
                    <w:bottom w:val="single" w:color="000000" w:sz="4" w:space="0"/>
                    <w:right w:val="single" w:color="000000" w:sz="4" w:space="0"/>
                  </w:tcBorders>
                  <w:vAlign w:val="center"/>
                </w:tcPr>
                <w:p w14:paraId="2A4D416C">
                  <w:pPr>
                    <w:pStyle w:val="134"/>
                    <w:rPr>
                      <w:rFonts w:ascii="Times New Roman" w:hAnsi="Times New Roman"/>
                    </w:rPr>
                  </w:pPr>
                  <w:r>
                    <w:rPr>
                      <w:rFonts w:ascii="Times New Roman" w:hAnsi="Times New Roman"/>
                    </w:rPr>
                    <w:t>pH值</w:t>
                  </w:r>
                </w:p>
              </w:tc>
              <w:tc>
                <w:tcPr>
                  <w:tcW w:w="601" w:type="pct"/>
                  <w:tcBorders>
                    <w:top w:val="single" w:color="000000" w:sz="4" w:space="0"/>
                    <w:left w:val="single" w:color="000000" w:sz="4" w:space="0"/>
                    <w:bottom w:val="single" w:color="000000" w:sz="4" w:space="0"/>
                    <w:right w:val="single" w:color="000000" w:sz="4" w:space="0"/>
                  </w:tcBorders>
                  <w:vAlign w:val="center"/>
                </w:tcPr>
                <w:p w14:paraId="3CA97407">
                  <w:pPr>
                    <w:pStyle w:val="134"/>
                    <w:rPr>
                      <w:rFonts w:ascii="Times New Roman" w:hAnsi="Times New Roman"/>
                    </w:rPr>
                  </w:pPr>
                  <w:r>
                    <w:rPr>
                      <w:rFonts w:ascii="Times New Roman" w:hAnsi="Times New Roman"/>
                    </w:rPr>
                    <w:t>6.0-9.0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6637627C">
                  <w:pPr>
                    <w:pStyle w:val="134"/>
                    <w:rPr>
                      <w:rFonts w:ascii="Times New Roman" w:hAnsi="Times New Roman"/>
                    </w:rPr>
                  </w:pPr>
                  <w:r>
                    <w:rPr>
                      <w:rFonts w:ascii="Times New Roman" w:hAnsi="Times New Roman"/>
                    </w:rPr>
                    <w:t>/</w:t>
                  </w:r>
                </w:p>
              </w:tc>
              <w:tc>
                <w:tcPr>
                  <w:tcW w:w="1179" w:type="pct"/>
                  <w:vMerge w:val="restart"/>
                  <w:tcBorders>
                    <w:top w:val="single" w:color="000000" w:sz="4" w:space="0"/>
                    <w:left w:val="single" w:color="000000" w:sz="4" w:space="0"/>
                    <w:bottom w:val="single" w:color="000000" w:sz="4" w:space="0"/>
                    <w:right w:val="single" w:color="000000" w:sz="4" w:space="0"/>
                  </w:tcBorders>
                  <w:vAlign w:val="center"/>
                </w:tcPr>
                <w:p w14:paraId="4F7F4503">
                  <w:pPr>
                    <w:pStyle w:val="134"/>
                    <w:rPr>
                      <w:rFonts w:ascii="Times New Roman" w:hAnsi="Times New Roman"/>
                    </w:rPr>
                  </w:pPr>
                  <w:r>
                    <w:rPr>
                      <w:rFonts w:ascii="Times New Roman" w:hAnsi="Times New Roman"/>
                    </w:rPr>
                    <w:t>所有合成树脂</w:t>
                  </w:r>
                </w:p>
              </w:tc>
              <w:tc>
                <w:tcPr>
                  <w:tcW w:w="1179" w:type="pct"/>
                  <w:vMerge w:val="restart"/>
                  <w:tcBorders>
                    <w:top w:val="single" w:color="000000" w:sz="4" w:space="0"/>
                    <w:left w:val="single" w:color="000000" w:sz="4" w:space="0"/>
                    <w:bottom w:val="single" w:color="000000" w:sz="4" w:space="0"/>
                    <w:right w:val="nil"/>
                  </w:tcBorders>
                  <w:vAlign w:val="center"/>
                </w:tcPr>
                <w:p w14:paraId="00333F54">
                  <w:pPr>
                    <w:pStyle w:val="134"/>
                    <w:rPr>
                      <w:rFonts w:ascii="Times New Roman" w:hAnsi="Times New Roman"/>
                    </w:rPr>
                  </w:pPr>
                  <w:r>
                    <w:rPr>
                      <w:rFonts w:ascii="Times New Roman" w:hAnsi="Times New Roman"/>
                    </w:rPr>
                    <w:t>企业废水总排放口</w:t>
                  </w:r>
                </w:p>
              </w:tc>
            </w:tr>
            <w:tr w14:paraId="2D6090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7C8A095C">
                  <w:pPr>
                    <w:pStyle w:val="134"/>
                    <w:rPr>
                      <w:rFonts w:ascii="Times New Roman" w:hAnsi="Times New Roman"/>
                    </w:rPr>
                  </w:pPr>
                  <w:r>
                    <w:rPr>
                      <w:rFonts w:ascii="Times New Roman" w:hAnsi="Times New Roman"/>
                    </w:rPr>
                    <w:t>2</w:t>
                  </w:r>
                </w:p>
              </w:tc>
              <w:tc>
                <w:tcPr>
                  <w:tcW w:w="1062" w:type="pct"/>
                  <w:tcBorders>
                    <w:top w:val="single" w:color="000000" w:sz="4" w:space="0"/>
                    <w:left w:val="single" w:color="000000" w:sz="4" w:space="0"/>
                    <w:bottom w:val="single" w:color="000000" w:sz="4" w:space="0"/>
                    <w:right w:val="single" w:color="000000" w:sz="4" w:space="0"/>
                  </w:tcBorders>
                  <w:vAlign w:val="center"/>
                </w:tcPr>
                <w:p w14:paraId="04E9594E">
                  <w:pPr>
                    <w:pStyle w:val="134"/>
                    <w:rPr>
                      <w:rFonts w:ascii="Times New Roman" w:hAnsi="Times New Roman"/>
                    </w:rPr>
                  </w:pPr>
                  <w:r>
                    <w:rPr>
                      <w:rFonts w:ascii="Times New Roman" w:hAnsi="Times New Roman"/>
                    </w:rPr>
                    <w:t>悬浮物</w:t>
                  </w:r>
                </w:p>
              </w:tc>
              <w:tc>
                <w:tcPr>
                  <w:tcW w:w="601" w:type="pct"/>
                  <w:tcBorders>
                    <w:top w:val="single" w:color="000000" w:sz="4" w:space="0"/>
                    <w:left w:val="single" w:color="000000" w:sz="4" w:space="0"/>
                    <w:bottom w:val="single" w:color="000000" w:sz="4" w:space="0"/>
                    <w:right w:val="single" w:color="000000" w:sz="4" w:space="0"/>
                  </w:tcBorders>
                  <w:vAlign w:val="center"/>
                </w:tcPr>
                <w:p w14:paraId="5583C41F">
                  <w:pPr>
                    <w:pStyle w:val="134"/>
                    <w:rPr>
                      <w:rFonts w:ascii="Times New Roman" w:hAnsi="Times New Roman"/>
                    </w:rPr>
                  </w:pPr>
                  <w:r>
                    <w:rPr>
                      <w:rFonts w:ascii="Times New Roman" w:hAnsi="Times New Roman"/>
                    </w:rPr>
                    <w:t>30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4045326E">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6A286242">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530CFCCC">
                  <w:pPr>
                    <w:pStyle w:val="134"/>
                    <w:rPr>
                      <w:rFonts w:ascii="Times New Roman" w:hAnsi="Times New Roman"/>
                    </w:rPr>
                  </w:pPr>
                </w:p>
              </w:tc>
            </w:tr>
            <w:tr w14:paraId="7460D3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1DABE7EE">
                  <w:pPr>
                    <w:pStyle w:val="134"/>
                    <w:rPr>
                      <w:rFonts w:ascii="Times New Roman" w:hAnsi="Times New Roman"/>
                    </w:rPr>
                  </w:pPr>
                  <w:r>
                    <w:rPr>
                      <w:rFonts w:ascii="Times New Roman" w:hAnsi="Times New Roman"/>
                    </w:rPr>
                    <w:t>3</w:t>
                  </w:r>
                </w:p>
              </w:tc>
              <w:tc>
                <w:tcPr>
                  <w:tcW w:w="1062" w:type="pct"/>
                  <w:tcBorders>
                    <w:top w:val="single" w:color="000000" w:sz="4" w:space="0"/>
                    <w:left w:val="single" w:color="000000" w:sz="4" w:space="0"/>
                    <w:bottom w:val="single" w:color="000000" w:sz="4" w:space="0"/>
                    <w:right w:val="single" w:color="000000" w:sz="4" w:space="0"/>
                  </w:tcBorders>
                  <w:vAlign w:val="center"/>
                </w:tcPr>
                <w:p w14:paraId="09A57BDB">
                  <w:pPr>
                    <w:pStyle w:val="134"/>
                    <w:rPr>
                      <w:rFonts w:ascii="Times New Roman" w:hAnsi="Times New Roman"/>
                    </w:rPr>
                  </w:pPr>
                  <w:r>
                    <w:rPr>
                      <w:rFonts w:ascii="Times New Roman" w:hAnsi="Times New Roman"/>
                    </w:rPr>
                    <w:t>化学需氧量</w:t>
                  </w:r>
                </w:p>
              </w:tc>
              <w:tc>
                <w:tcPr>
                  <w:tcW w:w="601" w:type="pct"/>
                  <w:tcBorders>
                    <w:top w:val="single" w:color="000000" w:sz="4" w:space="0"/>
                    <w:left w:val="single" w:color="000000" w:sz="4" w:space="0"/>
                    <w:bottom w:val="single" w:color="000000" w:sz="4" w:space="0"/>
                    <w:right w:val="single" w:color="000000" w:sz="4" w:space="0"/>
                  </w:tcBorders>
                  <w:vAlign w:val="center"/>
                </w:tcPr>
                <w:p w14:paraId="3D302524">
                  <w:pPr>
                    <w:pStyle w:val="134"/>
                    <w:rPr>
                      <w:rFonts w:ascii="Times New Roman" w:hAnsi="Times New Roman"/>
                    </w:rPr>
                  </w:pPr>
                  <w:r>
                    <w:rPr>
                      <w:rFonts w:ascii="Times New Roman" w:hAnsi="Times New Roman"/>
                    </w:rPr>
                    <w:t>60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4D308928">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63AC6FC2">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4E754C4D">
                  <w:pPr>
                    <w:pStyle w:val="134"/>
                    <w:rPr>
                      <w:rFonts w:ascii="Times New Roman" w:hAnsi="Times New Roman"/>
                    </w:rPr>
                  </w:pPr>
                </w:p>
              </w:tc>
            </w:tr>
            <w:tr w14:paraId="579C2B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28734483">
                  <w:pPr>
                    <w:pStyle w:val="134"/>
                    <w:rPr>
                      <w:rFonts w:ascii="Times New Roman" w:hAnsi="Times New Roman"/>
                    </w:rPr>
                  </w:pPr>
                  <w:r>
                    <w:rPr>
                      <w:rFonts w:ascii="Times New Roman" w:hAnsi="Times New Roman"/>
                    </w:rPr>
                    <w:t>4</w:t>
                  </w:r>
                </w:p>
              </w:tc>
              <w:tc>
                <w:tcPr>
                  <w:tcW w:w="1062" w:type="pct"/>
                  <w:tcBorders>
                    <w:top w:val="single" w:color="000000" w:sz="4" w:space="0"/>
                    <w:left w:val="single" w:color="000000" w:sz="4" w:space="0"/>
                    <w:bottom w:val="single" w:color="000000" w:sz="4" w:space="0"/>
                    <w:right w:val="single" w:color="000000" w:sz="4" w:space="0"/>
                  </w:tcBorders>
                  <w:vAlign w:val="center"/>
                </w:tcPr>
                <w:p w14:paraId="12C82CF1">
                  <w:pPr>
                    <w:pStyle w:val="134"/>
                    <w:rPr>
                      <w:rFonts w:ascii="Times New Roman" w:hAnsi="Times New Roman"/>
                    </w:rPr>
                  </w:pPr>
                  <w:r>
                    <w:rPr>
                      <w:rFonts w:ascii="Times New Roman" w:hAnsi="Times New Roman"/>
                    </w:rPr>
                    <w:t>五日生化需氧量</w:t>
                  </w:r>
                </w:p>
              </w:tc>
              <w:tc>
                <w:tcPr>
                  <w:tcW w:w="601" w:type="pct"/>
                  <w:tcBorders>
                    <w:top w:val="single" w:color="000000" w:sz="4" w:space="0"/>
                    <w:left w:val="single" w:color="000000" w:sz="4" w:space="0"/>
                    <w:bottom w:val="single" w:color="000000" w:sz="4" w:space="0"/>
                    <w:right w:val="single" w:color="000000" w:sz="4" w:space="0"/>
                  </w:tcBorders>
                  <w:vAlign w:val="center"/>
                </w:tcPr>
                <w:p w14:paraId="64234011">
                  <w:pPr>
                    <w:pStyle w:val="134"/>
                    <w:rPr>
                      <w:rFonts w:ascii="Times New Roman" w:hAnsi="Times New Roman"/>
                    </w:rPr>
                  </w:pPr>
                  <w:r>
                    <w:rPr>
                      <w:rFonts w:ascii="Times New Roman" w:hAnsi="Times New Roman"/>
                    </w:rPr>
                    <w:t>20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00D42E2F">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18B9B710">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796BB851">
                  <w:pPr>
                    <w:pStyle w:val="134"/>
                    <w:rPr>
                      <w:rFonts w:ascii="Times New Roman" w:hAnsi="Times New Roman"/>
                    </w:rPr>
                  </w:pPr>
                </w:p>
              </w:tc>
            </w:tr>
            <w:tr w14:paraId="62DF4C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32310890">
                  <w:pPr>
                    <w:pStyle w:val="134"/>
                    <w:rPr>
                      <w:rFonts w:ascii="Times New Roman" w:hAnsi="Times New Roman"/>
                    </w:rPr>
                  </w:pPr>
                  <w:r>
                    <w:rPr>
                      <w:rFonts w:ascii="Times New Roman" w:hAnsi="Times New Roman"/>
                    </w:rPr>
                    <w:t>5</w:t>
                  </w:r>
                </w:p>
              </w:tc>
              <w:tc>
                <w:tcPr>
                  <w:tcW w:w="1062" w:type="pct"/>
                  <w:tcBorders>
                    <w:top w:val="single" w:color="000000" w:sz="4" w:space="0"/>
                    <w:left w:val="single" w:color="000000" w:sz="4" w:space="0"/>
                    <w:bottom w:val="single" w:color="000000" w:sz="4" w:space="0"/>
                    <w:right w:val="single" w:color="000000" w:sz="4" w:space="0"/>
                  </w:tcBorders>
                  <w:vAlign w:val="center"/>
                </w:tcPr>
                <w:p w14:paraId="25564F16">
                  <w:pPr>
                    <w:pStyle w:val="134"/>
                    <w:rPr>
                      <w:rFonts w:ascii="Times New Roman" w:hAnsi="Times New Roman"/>
                    </w:rPr>
                  </w:pPr>
                  <w:r>
                    <w:rPr>
                      <w:rFonts w:ascii="Times New Roman" w:hAnsi="Times New Roman"/>
                    </w:rPr>
                    <w:t>氨氮</w:t>
                  </w:r>
                </w:p>
              </w:tc>
              <w:tc>
                <w:tcPr>
                  <w:tcW w:w="601" w:type="pct"/>
                  <w:tcBorders>
                    <w:top w:val="single" w:color="000000" w:sz="4" w:space="0"/>
                    <w:left w:val="single" w:color="000000" w:sz="4" w:space="0"/>
                    <w:bottom w:val="single" w:color="000000" w:sz="4" w:space="0"/>
                    <w:right w:val="single" w:color="000000" w:sz="4" w:space="0"/>
                  </w:tcBorders>
                  <w:vAlign w:val="center"/>
                </w:tcPr>
                <w:p w14:paraId="729B830D">
                  <w:pPr>
                    <w:pStyle w:val="134"/>
                    <w:rPr>
                      <w:rFonts w:ascii="Times New Roman" w:hAnsi="Times New Roman"/>
                    </w:rPr>
                  </w:pPr>
                  <w:r>
                    <w:rPr>
                      <w:rFonts w:ascii="Times New Roman" w:hAnsi="Times New Roman"/>
                    </w:rPr>
                    <w:t>8.0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4E4DC7A3">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3D259E73">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3F392B86">
                  <w:pPr>
                    <w:pStyle w:val="134"/>
                    <w:rPr>
                      <w:rFonts w:ascii="Times New Roman" w:hAnsi="Times New Roman"/>
                    </w:rPr>
                  </w:pPr>
                </w:p>
              </w:tc>
            </w:tr>
            <w:tr w14:paraId="7EF7A7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jc w:val="center"/>
              </w:trPr>
              <w:tc>
                <w:tcPr>
                  <w:tcW w:w="379" w:type="pct"/>
                  <w:tcBorders>
                    <w:top w:val="single" w:color="000000" w:sz="4" w:space="0"/>
                    <w:left w:val="nil"/>
                    <w:bottom w:val="single" w:color="000000" w:sz="4" w:space="0"/>
                    <w:right w:val="single" w:color="000000" w:sz="4" w:space="0"/>
                  </w:tcBorders>
                  <w:vAlign w:val="center"/>
                </w:tcPr>
                <w:p w14:paraId="745FC2CB">
                  <w:pPr>
                    <w:pStyle w:val="134"/>
                    <w:rPr>
                      <w:rFonts w:ascii="Times New Roman" w:hAnsi="Times New Roman"/>
                    </w:rPr>
                  </w:pPr>
                  <w:r>
                    <w:rPr>
                      <w:rFonts w:ascii="Times New Roman" w:hAnsi="Times New Roman"/>
                    </w:rPr>
                    <w:t>6</w:t>
                  </w:r>
                </w:p>
              </w:tc>
              <w:tc>
                <w:tcPr>
                  <w:tcW w:w="1062" w:type="pct"/>
                  <w:tcBorders>
                    <w:top w:val="single" w:color="000000" w:sz="4" w:space="0"/>
                    <w:left w:val="single" w:color="000000" w:sz="4" w:space="0"/>
                    <w:bottom w:val="single" w:color="000000" w:sz="4" w:space="0"/>
                    <w:right w:val="single" w:color="000000" w:sz="4" w:space="0"/>
                  </w:tcBorders>
                  <w:vAlign w:val="center"/>
                </w:tcPr>
                <w:p w14:paraId="17DC6F4F">
                  <w:pPr>
                    <w:pStyle w:val="134"/>
                    <w:rPr>
                      <w:rFonts w:ascii="Times New Roman" w:hAnsi="Times New Roman"/>
                    </w:rPr>
                  </w:pPr>
                  <w:r>
                    <w:rPr>
                      <w:rFonts w:ascii="Times New Roman" w:hAnsi="Times New Roman"/>
                    </w:rPr>
                    <w:t>总氮</w:t>
                  </w:r>
                </w:p>
              </w:tc>
              <w:tc>
                <w:tcPr>
                  <w:tcW w:w="601" w:type="pct"/>
                  <w:tcBorders>
                    <w:top w:val="single" w:color="000000" w:sz="4" w:space="0"/>
                    <w:left w:val="single" w:color="000000" w:sz="4" w:space="0"/>
                    <w:bottom w:val="single" w:color="000000" w:sz="4" w:space="0"/>
                    <w:right w:val="single" w:color="000000" w:sz="4" w:space="0"/>
                  </w:tcBorders>
                  <w:vAlign w:val="center"/>
                </w:tcPr>
                <w:p w14:paraId="7E7D7BF3">
                  <w:pPr>
                    <w:pStyle w:val="134"/>
                    <w:rPr>
                      <w:rFonts w:ascii="Times New Roman" w:hAnsi="Times New Roman"/>
                    </w:rPr>
                  </w:pPr>
                  <w:r>
                    <w:rPr>
                      <w:rFonts w:ascii="Times New Roman" w:hAnsi="Times New Roman"/>
                    </w:rPr>
                    <w:t>40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21930165">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76A35782">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12BBEB04">
                  <w:pPr>
                    <w:pStyle w:val="134"/>
                    <w:rPr>
                      <w:rFonts w:ascii="Times New Roman" w:hAnsi="Times New Roman"/>
                    </w:rPr>
                  </w:pPr>
                </w:p>
              </w:tc>
            </w:tr>
            <w:tr w14:paraId="77F127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37EF08A1">
                  <w:pPr>
                    <w:pStyle w:val="134"/>
                    <w:rPr>
                      <w:rFonts w:ascii="Times New Roman" w:hAnsi="Times New Roman"/>
                    </w:rPr>
                  </w:pPr>
                  <w:r>
                    <w:rPr>
                      <w:rFonts w:ascii="Times New Roman" w:hAnsi="Times New Roman"/>
                    </w:rPr>
                    <w:t>7</w:t>
                  </w:r>
                </w:p>
              </w:tc>
              <w:tc>
                <w:tcPr>
                  <w:tcW w:w="1062" w:type="pct"/>
                  <w:tcBorders>
                    <w:top w:val="single" w:color="000000" w:sz="4" w:space="0"/>
                    <w:left w:val="single" w:color="000000" w:sz="4" w:space="0"/>
                    <w:bottom w:val="single" w:color="000000" w:sz="4" w:space="0"/>
                    <w:right w:val="single" w:color="000000" w:sz="4" w:space="0"/>
                  </w:tcBorders>
                  <w:vAlign w:val="center"/>
                </w:tcPr>
                <w:p w14:paraId="009DDB65">
                  <w:pPr>
                    <w:pStyle w:val="134"/>
                    <w:rPr>
                      <w:rFonts w:ascii="Times New Roman" w:hAnsi="Times New Roman"/>
                    </w:rPr>
                  </w:pPr>
                  <w:r>
                    <w:rPr>
                      <w:rFonts w:ascii="Times New Roman" w:hAnsi="Times New Roman"/>
                    </w:rPr>
                    <w:t>总磷</w:t>
                  </w:r>
                </w:p>
              </w:tc>
              <w:tc>
                <w:tcPr>
                  <w:tcW w:w="601" w:type="pct"/>
                  <w:tcBorders>
                    <w:top w:val="single" w:color="000000" w:sz="4" w:space="0"/>
                    <w:left w:val="single" w:color="000000" w:sz="4" w:space="0"/>
                    <w:bottom w:val="single" w:color="000000" w:sz="4" w:space="0"/>
                    <w:right w:val="single" w:color="000000" w:sz="4" w:space="0"/>
                  </w:tcBorders>
                  <w:vAlign w:val="center"/>
                </w:tcPr>
                <w:p w14:paraId="0094077B">
                  <w:pPr>
                    <w:pStyle w:val="134"/>
                    <w:rPr>
                      <w:rFonts w:ascii="Times New Roman" w:hAnsi="Times New Roman"/>
                    </w:rPr>
                  </w:pPr>
                  <w:r>
                    <w:rPr>
                      <w:rFonts w:ascii="Times New Roman" w:hAnsi="Times New Roman"/>
                    </w:rPr>
                    <w:t>1.0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4B7FD47C">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6C1D361E">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58B0BB68">
                  <w:pPr>
                    <w:pStyle w:val="134"/>
                    <w:rPr>
                      <w:rFonts w:ascii="Times New Roman" w:hAnsi="Times New Roman"/>
                    </w:rPr>
                  </w:pPr>
                </w:p>
              </w:tc>
            </w:tr>
            <w:tr w14:paraId="4ED43B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61AE452A">
                  <w:pPr>
                    <w:pStyle w:val="134"/>
                    <w:rPr>
                      <w:rFonts w:ascii="Times New Roman" w:hAnsi="Times New Roman"/>
                    </w:rPr>
                  </w:pPr>
                  <w:r>
                    <w:rPr>
                      <w:rFonts w:ascii="Times New Roman" w:hAnsi="Times New Roman"/>
                    </w:rPr>
                    <w:t>8</w:t>
                  </w:r>
                </w:p>
              </w:tc>
              <w:tc>
                <w:tcPr>
                  <w:tcW w:w="1062" w:type="pct"/>
                  <w:tcBorders>
                    <w:top w:val="single" w:color="000000" w:sz="4" w:space="0"/>
                    <w:left w:val="single" w:color="000000" w:sz="4" w:space="0"/>
                    <w:bottom w:val="single" w:color="000000" w:sz="4" w:space="0"/>
                    <w:right w:val="single" w:color="000000" w:sz="4" w:space="0"/>
                  </w:tcBorders>
                  <w:vAlign w:val="center"/>
                </w:tcPr>
                <w:p w14:paraId="753BC649">
                  <w:pPr>
                    <w:pStyle w:val="134"/>
                    <w:rPr>
                      <w:rFonts w:ascii="Times New Roman" w:hAnsi="Times New Roman"/>
                    </w:rPr>
                  </w:pPr>
                  <w:r>
                    <w:rPr>
                      <w:rFonts w:ascii="Times New Roman" w:hAnsi="Times New Roman"/>
                    </w:rPr>
                    <w:t>总有机碳</w:t>
                  </w:r>
                </w:p>
              </w:tc>
              <w:tc>
                <w:tcPr>
                  <w:tcW w:w="601" w:type="pct"/>
                  <w:tcBorders>
                    <w:top w:val="single" w:color="000000" w:sz="4" w:space="0"/>
                    <w:left w:val="single" w:color="000000" w:sz="4" w:space="0"/>
                    <w:bottom w:val="single" w:color="000000" w:sz="4" w:space="0"/>
                    <w:right w:val="single" w:color="000000" w:sz="4" w:space="0"/>
                  </w:tcBorders>
                  <w:vAlign w:val="center"/>
                </w:tcPr>
                <w:p w14:paraId="780131A4">
                  <w:pPr>
                    <w:pStyle w:val="134"/>
                    <w:rPr>
                      <w:rFonts w:ascii="Times New Roman" w:hAnsi="Times New Roman"/>
                    </w:rPr>
                  </w:pPr>
                  <w:r>
                    <w:rPr>
                      <w:rFonts w:ascii="Times New Roman" w:hAnsi="Times New Roman"/>
                    </w:rPr>
                    <w:t>20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656A4AC3">
                  <w:pPr>
                    <w:pStyle w:val="134"/>
                    <w:rPr>
                      <w:rFonts w:ascii="Times New Roman" w:hAnsi="Times New Roman"/>
                    </w:rPr>
                  </w:pPr>
                  <w:r>
                    <w:rPr>
                      <w:rFonts w:ascii="Times New Roman" w:hAnsi="Times New Roman"/>
                    </w:rPr>
                    <w:t>/</w:t>
                  </w:r>
                </w:p>
              </w:tc>
              <w:tc>
                <w:tcPr>
                  <w:tcW w:w="1179" w:type="pct"/>
                  <w:vMerge w:val="continue"/>
                  <w:tcBorders>
                    <w:top w:val="nil"/>
                    <w:left w:val="single" w:color="000000" w:sz="4" w:space="0"/>
                    <w:bottom w:val="single" w:color="000000" w:sz="4" w:space="0"/>
                    <w:right w:val="single" w:color="000000" w:sz="4" w:space="0"/>
                  </w:tcBorders>
                  <w:vAlign w:val="center"/>
                </w:tcPr>
                <w:p w14:paraId="3B16FE91">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33EF0543">
                  <w:pPr>
                    <w:pStyle w:val="134"/>
                    <w:rPr>
                      <w:rFonts w:ascii="Times New Roman" w:hAnsi="Times New Roman"/>
                    </w:rPr>
                  </w:pPr>
                </w:p>
              </w:tc>
            </w:tr>
            <w:tr w14:paraId="09C6E6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379" w:type="pct"/>
                  <w:tcBorders>
                    <w:top w:val="single" w:color="000000" w:sz="4" w:space="0"/>
                    <w:left w:val="nil"/>
                    <w:bottom w:val="single" w:color="000000" w:sz="4" w:space="0"/>
                    <w:right w:val="single" w:color="000000" w:sz="4" w:space="0"/>
                  </w:tcBorders>
                  <w:vAlign w:val="center"/>
                </w:tcPr>
                <w:p w14:paraId="6E8CCB67">
                  <w:pPr>
                    <w:pStyle w:val="134"/>
                    <w:rPr>
                      <w:rFonts w:ascii="Times New Roman" w:hAnsi="Times New Roman"/>
                    </w:rPr>
                  </w:pPr>
                  <w:r>
                    <w:rPr>
                      <w:rFonts w:ascii="Times New Roman" w:hAnsi="Times New Roman"/>
                    </w:rPr>
                    <w:t>9</w:t>
                  </w:r>
                </w:p>
              </w:tc>
              <w:tc>
                <w:tcPr>
                  <w:tcW w:w="1062" w:type="pct"/>
                  <w:tcBorders>
                    <w:top w:val="single" w:color="000000" w:sz="4" w:space="0"/>
                    <w:left w:val="single" w:color="000000" w:sz="4" w:space="0"/>
                    <w:bottom w:val="single" w:color="000000" w:sz="4" w:space="0"/>
                    <w:right w:val="single" w:color="000000" w:sz="4" w:space="0"/>
                  </w:tcBorders>
                  <w:vAlign w:val="center"/>
                </w:tcPr>
                <w:p w14:paraId="71740E07">
                  <w:pPr>
                    <w:pStyle w:val="134"/>
                    <w:rPr>
                      <w:rFonts w:ascii="Times New Roman" w:hAnsi="Times New Roman"/>
                    </w:rPr>
                  </w:pPr>
                  <w:r>
                    <w:rPr>
                      <w:rFonts w:ascii="Times New Roman" w:hAnsi="Times New Roman"/>
                    </w:rPr>
                    <w:t>可吸附有机卤化物</w:t>
                  </w:r>
                </w:p>
              </w:tc>
              <w:tc>
                <w:tcPr>
                  <w:tcW w:w="601" w:type="pct"/>
                  <w:tcBorders>
                    <w:top w:val="single" w:color="000000" w:sz="4" w:space="0"/>
                    <w:left w:val="single" w:color="000000" w:sz="4" w:space="0"/>
                    <w:bottom w:val="single" w:color="000000" w:sz="4" w:space="0"/>
                    <w:right w:val="single" w:color="000000" w:sz="4" w:space="0"/>
                  </w:tcBorders>
                  <w:vAlign w:val="center"/>
                </w:tcPr>
                <w:p w14:paraId="6F53C405">
                  <w:pPr>
                    <w:pStyle w:val="134"/>
                    <w:rPr>
                      <w:rFonts w:ascii="Times New Roman" w:hAnsi="Times New Roman"/>
                    </w:rPr>
                  </w:pPr>
                  <w:r>
                    <w:rPr>
                      <w:rFonts w:ascii="Times New Roman" w:hAnsi="Times New Roman"/>
                    </w:rPr>
                    <w:t>1.0</w:t>
                  </w:r>
                </w:p>
              </w:tc>
              <w:tc>
                <w:tcPr>
                  <w:tcW w:w="601" w:type="pct"/>
                  <w:tcBorders>
                    <w:top w:val="single" w:color="000000" w:sz="4" w:space="0"/>
                    <w:left w:val="single" w:color="000000" w:sz="4" w:space="0"/>
                    <w:bottom w:val="single" w:color="000000" w:sz="4" w:space="0"/>
                    <w:right w:val="single" w:color="000000" w:sz="4" w:space="0"/>
                  </w:tcBorders>
                  <w:shd w:val="clear" w:color="auto" w:fill="B3B3B3"/>
                  <w:vAlign w:val="center"/>
                </w:tcPr>
                <w:p w14:paraId="5DF340D5">
                  <w:pPr>
                    <w:pStyle w:val="134"/>
                    <w:rPr>
                      <w:rFonts w:ascii="Times New Roman" w:hAnsi="Times New Roman"/>
                    </w:rPr>
                  </w:pPr>
                  <w:r>
                    <w:rPr>
                      <w:rFonts w:ascii="Times New Roman" w:hAnsi="Times New Roman"/>
                    </w:rPr>
                    <w:t>5.0</w:t>
                  </w:r>
                </w:p>
              </w:tc>
              <w:tc>
                <w:tcPr>
                  <w:tcW w:w="1179" w:type="pct"/>
                  <w:vMerge w:val="continue"/>
                  <w:tcBorders>
                    <w:top w:val="nil"/>
                    <w:left w:val="single" w:color="000000" w:sz="4" w:space="0"/>
                    <w:bottom w:val="single" w:color="000000" w:sz="4" w:space="0"/>
                    <w:right w:val="single" w:color="000000" w:sz="4" w:space="0"/>
                  </w:tcBorders>
                  <w:vAlign w:val="center"/>
                </w:tcPr>
                <w:p w14:paraId="68624621">
                  <w:pPr>
                    <w:pStyle w:val="134"/>
                    <w:rPr>
                      <w:rFonts w:ascii="Times New Roman" w:hAnsi="Times New Roman"/>
                    </w:rPr>
                  </w:pPr>
                </w:p>
              </w:tc>
              <w:tc>
                <w:tcPr>
                  <w:tcW w:w="1179" w:type="pct"/>
                  <w:vMerge w:val="continue"/>
                  <w:tcBorders>
                    <w:top w:val="nil"/>
                    <w:left w:val="single" w:color="000000" w:sz="4" w:space="0"/>
                    <w:bottom w:val="single" w:color="000000" w:sz="4" w:space="0"/>
                    <w:right w:val="nil"/>
                  </w:tcBorders>
                  <w:vAlign w:val="center"/>
                </w:tcPr>
                <w:p w14:paraId="3E02207F">
                  <w:pPr>
                    <w:pStyle w:val="134"/>
                    <w:rPr>
                      <w:rFonts w:ascii="Times New Roman" w:hAnsi="Times New Roman"/>
                    </w:rPr>
                  </w:pPr>
                </w:p>
              </w:tc>
            </w:tr>
            <w:tr w14:paraId="6D9884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jc w:val="center"/>
              </w:trPr>
              <w:tc>
                <w:tcPr>
                  <w:tcW w:w="5000" w:type="pct"/>
                  <w:gridSpan w:val="6"/>
                  <w:tcBorders>
                    <w:top w:val="single" w:color="000000" w:sz="4" w:space="0"/>
                    <w:left w:val="nil"/>
                    <w:right w:val="nil"/>
                  </w:tcBorders>
                  <w:vAlign w:val="center"/>
                </w:tcPr>
                <w:p w14:paraId="2827C6EB">
                  <w:pPr>
                    <w:pStyle w:val="134"/>
                    <w:jc w:val="left"/>
                    <w:rPr>
                      <w:rFonts w:ascii="Times New Roman" w:hAnsi="Times New Roman"/>
                    </w:rPr>
                  </w:pPr>
                  <w:r>
                    <w:rPr>
                      <w:rFonts w:ascii="Times New Roman" w:hAnsi="Times New Roman"/>
                    </w:rPr>
                    <w:t>注：废水进入城镇污水处理厂或经由城镇污水管线排放，应达到直接排放限值；废水进入园区（包括各类工业园区、开发区、工业聚集地等）污水处理厂执行间接排放限值，未规定限值的污染物项目由企业与园区污水处理厂根据其污水处理能力商定相关标准，并报当地环境保护主管部门备案。</w:t>
                  </w:r>
                </w:p>
              </w:tc>
            </w:tr>
          </w:tbl>
          <w:p w14:paraId="41742382">
            <w:pPr>
              <w:pStyle w:val="91"/>
              <w:widowControl w:val="0"/>
              <w:numPr>
                <w:ilvl w:val="0"/>
                <w:numId w:val="0"/>
              </w:numPr>
              <w:tabs>
                <w:tab w:val="left" w:pos="-2127"/>
                <w:tab w:val="left" w:pos="0"/>
                <w:tab w:val="left" w:pos="3687"/>
                <w:tab w:val="left" w:pos="5387"/>
                <w:tab w:val="left" w:pos="6380"/>
              </w:tabs>
              <w:autoSpaceDE w:val="0"/>
              <w:autoSpaceDN w:val="0"/>
              <w:adjustRightInd/>
              <w:spacing w:before="120" w:after="120" w:afterLines="50"/>
              <w:outlineLvl w:val="4"/>
            </w:pPr>
            <w:bookmarkStart w:id="28" w:name="_Ref117436895"/>
          </w:p>
          <w:p w14:paraId="72B2B2E8">
            <w:pPr>
              <w:pStyle w:val="91"/>
              <w:widowControl w:val="0"/>
              <w:numPr>
                <w:ilvl w:val="0"/>
                <w:numId w:val="0"/>
              </w:numPr>
              <w:tabs>
                <w:tab w:val="left" w:pos="-2127"/>
                <w:tab w:val="left" w:pos="0"/>
                <w:tab w:val="left" w:pos="3687"/>
                <w:tab w:val="left" w:pos="5387"/>
                <w:tab w:val="left" w:pos="6380"/>
              </w:tabs>
              <w:autoSpaceDE w:val="0"/>
              <w:autoSpaceDN w:val="0"/>
              <w:adjustRightInd/>
              <w:spacing w:before="120" w:after="120" w:afterLines="50"/>
              <w:outlineLvl w:val="4"/>
              <w:rPr>
                <w:rFonts w:eastAsia="Times New Roman"/>
              </w:rPr>
            </w:pPr>
            <w:r>
              <w:rPr>
                <w:rFonts w:hint="eastAsia"/>
              </w:rPr>
              <w:t>表3.4-</w:t>
            </w:r>
            <w:r>
              <w:t>6江阴污水处理厂进岀水水质主要指标单位：mg/L</w:t>
            </w:r>
            <w:r>
              <w:rPr>
                <w:rFonts w:hint="eastAsia" w:ascii="宋体" w:hAnsi="宋体" w:cs="宋体"/>
                <w:sz w:val="21"/>
              </w:rPr>
              <w:t>（</w:t>
            </w:r>
            <w:r>
              <w:rPr>
                <w:rFonts w:eastAsia="Times New Roman"/>
                <w:sz w:val="21"/>
              </w:rPr>
              <w:t>pH</w:t>
            </w:r>
            <w:r>
              <w:rPr>
                <w:sz w:val="21"/>
              </w:rPr>
              <w:t>除外</w:t>
            </w:r>
            <w:r>
              <w:rPr>
                <w:rFonts w:hint="eastAsia" w:ascii="宋体" w:hAnsi="宋体" w:cs="宋体"/>
                <w:sz w:val="21"/>
              </w:rPr>
              <w:t>）</w:t>
            </w:r>
            <w:bookmarkEnd w:id="27"/>
            <w:bookmarkEnd w:id="28"/>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43"/>
              <w:gridCol w:w="889"/>
              <w:gridCol w:w="822"/>
              <w:gridCol w:w="822"/>
              <w:gridCol w:w="900"/>
              <w:gridCol w:w="967"/>
              <w:gridCol w:w="946"/>
              <w:gridCol w:w="946"/>
            </w:tblGrid>
            <w:tr w14:paraId="2029E1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33" w:type="pct"/>
                  <w:vAlign w:val="center"/>
                </w:tcPr>
                <w:p w14:paraId="2610B792">
                  <w:pPr>
                    <w:pStyle w:val="134"/>
                    <w:rPr>
                      <w:rFonts w:ascii="Times New Roman" w:hAnsi="Times New Roman"/>
                    </w:rPr>
                  </w:pPr>
                  <w:r>
                    <w:rPr>
                      <w:rFonts w:ascii="Times New Roman" w:hAnsi="Times New Roman"/>
                    </w:rPr>
                    <w:t>水质指标</w:t>
                  </w:r>
                </w:p>
              </w:tc>
              <w:tc>
                <w:tcPr>
                  <w:tcW w:w="546" w:type="pct"/>
                  <w:vAlign w:val="center"/>
                </w:tcPr>
                <w:p w14:paraId="21B87462">
                  <w:pPr>
                    <w:pStyle w:val="134"/>
                    <w:rPr>
                      <w:rFonts w:ascii="Times New Roman" w:hAnsi="Times New Roman"/>
                    </w:rPr>
                  </w:pPr>
                  <w:r>
                    <w:rPr>
                      <w:rFonts w:ascii="Times New Roman" w:hAnsi="Times New Roman"/>
                    </w:rPr>
                    <w:t>COD</w:t>
                  </w:r>
                </w:p>
              </w:tc>
              <w:tc>
                <w:tcPr>
                  <w:tcW w:w="505" w:type="pct"/>
                  <w:vAlign w:val="center"/>
                </w:tcPr>
                <w:p w14:paraId="44DD8866">
                  <w:pPr>
                    <w:pStyle w:val="134"/>
                    <w:rPr>
                      <w:rFonts w:ascii="Times New Roman" w:hAnsi="Times New Roman"/>
                    </w:rPr>
                  </w:pPr>
                  <w:r>
                    <w:rPr>
                      <w:rFonts w:ascii="Times New Roman" w:hAnsi="Times New Roman"/>
                    </w:rPr>
                    <w:t>BOD</w:t>
                  </w:r>
                  <w:r>
                    <w:rPr>
                      <w:rFonts w:ascii="Times New Roman" w:hAnsi="Times New Roman"/>
                      <w:vertAlign w:val="subscript"/>
                    </w:rPr>
                    <w:t>5</w:t>
                  </w:r>
                </w:p>
              </w:tc>
              <w:tc>
                <w:tcPr>
                  <w:tcW w:w="505" w:type="pct"/>
                  <w:vAlign w:val="center"/>
                </w:tcPr>
                <w:p w14:paraId="54EFAF9C">
                  <w:pPr>
                    <w:pStyle w:val="134"/>
                    <w:rPr>
                      <w:rFonts w:ascii="Times New Roman" w:hAnsi="Times New Roman"/>
                    </w:rPr>
                  </w:pPr>
                  <w:r>
                    <w:rPr>
                      <w:rFonts w:ascii="Times New Roman" w:hAnsi="Times New Roman"/>
                    </w:rPr>
                    <w:t>SS</w:t>
                  </w:r>
                </w:p>
              </w:tc>
              <w:tc>
                <w:tcPr>
                  <w:tcW w:w="553" w:type="pct"/>
                  <w:vAlign w:val="center"/>
                </w:tcPr>
                <w:p w14:paraId="06936225">
                  <w:pPr>
                    <w:pStyle w:val="134"/>
                    <w:rPr>
                      <w:rFonts w:ascii="Times New Roman" w:hAnsi="Times New Roman"/>
                    </w:rPr>
                  </w:pPr>
                  <w:r>
                    <w:rPr>
                      <w:rFonts w:ascii="Times New Roman" w:hAnsi="Times New Roman"/>
                    </w:rPr>
                    <w:t>NH3-N</w:t>
                  </w:r>
                </w:p>
              </w:tc>
              <w:tc>
                <w:tcPr>
                  <w:tcW w:w="594" w:type="pct"/>
                  <w:vAlign w:val="center"/>
                </w:tcPr>
                <w:p w14:paraId="063B1C3D">
                  <w:pPr>
                    <w:pStyle w:val="134"/>
                    <w:rPr>
                      <w:rFonts w:ascii="Times New Roman" w:hAnsi="Times New Roman"/>
                    </w:rPr>
                  </w:pPr>
                  <w:r>
                    <w:rPr>
                      <w:rFonts w:ascii="Times New Roman" w:hAnsi="Times New Roman"/>
                    </w:rPr>
                    <w:t>石油类</w:t>
                  </w:r>
                </w:p>
              </w:tc>
              <w:tc>
                <w:tcPr>
                  <w:tcW w:w="581" w:type="pct"/>
                  <w:vAlign w:val="center"/>
                </w:tcPr>
                <w:p w14:paraId="57B9D5C4">
                  <w:pPr>
                    <w:pStyle w:val="134"/>
                    <w:rPr>
                      <w:rFonts w:ascii="Times New Roman" w:hAnsi="Times New Roman"/>
                    </w:rPr>
                  </w:pPr>
                  <w:r>
                    <w:rPr>
                      <w:rFonts w:hint="eastAsia" w:ascii="Times New Roman" w:hAnsi="Times New Roman"/>
                    </w:rPr>
                    <w:t>硫化物</w:t>
                  </w:r>
                </w:p>
              </w:tc>
              <w:tc>
                <w:tcPr>
                  <w:tcW w:w="581" w:type="pct"/>
                  <w:vAlign w:val="center"/>
                </w:tcPr>
                <w:p w14:paraId="0EB5C6A6">
                  <w:pPr>
                    <w:pStyle w:val="134"/>
                    <w:rPr>
                      <w:rFonts w:ascii="Times New Roman" w:hAnsi="Times New Roman"/>
                    </w:rPr>
                  </w:pPr>
                  <w:r>
                    <w:rPr>
                      <w:rFonts w:ascii="Times New Roman" w:hAnsi="Times New Roman"/>
                    </w:rPr>
                    <w:t>TP</w:t>
                  </w:r>
                </w:p>
              </w:tc>
            </w:tr>
            <w:tr w14:paraId="66E1E2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133" w:type="pct"/>
                  <w:vAlign w:val="center"/>
                </w:tcPr>
                <w:p w14:paraId="00E09618">
                  <w:pPr>
                    <w:pStyle w:val="134"/>
                    <w:rPr>
                      <w:rFonts w:ascii="Times New Roman" w:hAnsi="Times New Roman"/>
                    </w:rPr>
                  </w:pPr>
                  <w:r>
                    <w:rPr>
                      <w:rFonts w:ascii="Times New Roman" w:hAnsi="Times New Roman"/>
                    </w:rPr>
                    <w:t>进水水质</w:t>
                  </w:r>
                </w:p>
              </w:tc>
              <w:tc>
                <w:tcPr>
                  <w:tcW w:w="546" w:type="pct"/>
                  <w:vAlign w:val="center"/>
                </w:tcPr>
                <w:p w14:paraId="6D13F6FC">
                  <w:pPr>
                    <w:pStyle w:val="134"/>
                    <w:rPr>
                      <w:rFonts w:ascii="Times New Roman" w:hAnsi="Times New Roman"/>
                    </w:rPr>
                  </w:pPr>
                  <w:r>
                    <w:rPr>
                      <w:rFonts w:ascii="Times New Roman" w:hAnsi="Times New Roman"/>
                    </w:rPr>
                    <w:t>≤500</w:t>
                  </w:r>
                </w:p>
              </w:tc>
              <w:tc>
                <w:tcPr>
                  <w:tcW w:w="505" w:type="pct"/>
                  <w:vAlign w:val="center"/>
                </w:tcPr>
                <w:p w14:paraId="22774362">
                  <w:pPr>
                    <w:pStyle w:val="134"/>
                    <w:rPr>
                      <w:rFonts w:ascii="Times New Roman" w:hAnsi="Times New Roman"/>
                    </w:rPr>
                  </w:pPr>
                  <w:r>
                    <w:rPr>
                      <w:rFonts w:ascii="Times New Roman" w:hAnsi="Times New Roman"/>
                    </w:rPr>
                    <w:t>≤300</w:t>
                  </w:r>
                </w:p>
              </w:tc>
              <w:tc>
                <w:tcPr>
                  <w:tcW w:w="505" w:type="pct"/>
                  <w:vAlign w:val="center"/>
                </w:tcPr>
                <w:p w14:paraId="1A054A6C">
                  <w:pPr>
                    <w:pStyle w:val="134"/>
                    <w:rPr>
                      <w:rFonts w:ascii="Times New Roman" w:hAnsi="Times New Roman"/>
                    </w:rPr>
                  </w:pPr>
                  <w:r>
                    <w:rPr>
                      <w:rFonts w:ascii="Times New Roman" w:hAnsi="Times New Roman"/>
                    </w:rPr>
                    <w:t>≤400</w:t>
                  </w:r>
                </w:p>
              </w:tc>
              <w:tc>
                <w:tcPr>
                  <w:tcW w:w="553" w:type="pct"/>
                  <w:vAlign w:val="center"/>
                </w:tcPr>
                <w:p w14:paraId="33A35F71">
                  <w:pPr>
                    <w:pStyle w:val="134"/>
                    <w:rPr>
                      <w:rFonts w:ascii="Times New Roman" w:hAnsi="Times New Roman"/>
                    </w:rPr>
                  </w:pPr>
                  <w:r>
                    <w:rPr>
                      <w:rFonts w:ascii="Times New Roman" w:hAnsi="Times New Roman"/>
                    </w:rPr>
                    <w:t>≤60</w:t>
                  </w:r>
                </w:p>
              </w:tc>
              <w:tc>
                <w:tcPr>
                  <w:tcW w:w="594" w:type="pct"/>
                  <w:vAlign w:val="center"/>
                </w:tcPr>
                <w:p w14:paraId="454A803E">
                  <w:pPr>
                    <w:pStyle w:val="134"/>
                    <w:rPr>
                      <w:rFonts w:ascii="Times New Roman" w:hAnsi="Times New Roman"/>
                    </w:rPr>
                  </w:pPr>
                  <w:r>
                    <w:rPr>
                      <w:rFonts w:ascii="Times New Roman" w:hAnsi="Times New Roman"/>
                    </w:rPr>
                    <w:t>≤20</w:t>
                  </w:r>
                </w:p>
              </w:tc>
              <w:tc>
                <w:tcPr>
                  <w:tcW w:w="581" w:type="pct"/>
                  <w:vAlign w:val="center"/>
                </w:tcPr>
                <w:p w14:paraId="2DF3E32D">
                  <w:pPr>
                    <w:pStyle w:val="134"/>
                    <w:rPr>
                      <w:rFonts w:ascii="Times New Roman" w:hAnsi="Times New Roman"/>
                    </w:rPr>
                  </w:pPr>
                  <w:r>
                    <w:rPr>
                      <w:rFonts w:ascii="Times New Roman" w:hAnsi="Times New Roman"/>
                    </w:rPr>
                    <w:t>≤</w:t>
                  </w:r>
                  <w:r>
                    <w:rPr>
                      <w:rFonts w:hint="eastAsia" w:ascii="Times New Roman" w:hAnsi="Times New Roman"/>
                    </w:rPr>
                    <w:t>1</w:t>
                  </w:r>
                </w:p>
              </w:tc>
              <w:tc>
                <w:tcPr>
                  <w:tcW w:w="581" w:type="pct"/>
                  <w:vAlign w:val="center"/>
                </w:tcPr>
                <w:p w14:paraId="6EE99FB3">
                  <w:pPr>
                    <w:pStyle w:val="134"/>
                    <w:rPr>
                      <w:rFonts w:ascii="Times New Roman" w:hAnsi="Times New Roman"/>
                    </w:rPr>
                  </w:pPr>
                  <w:r>
                    <w:rPr>
                      <w:rFonts w:ascii="Times New Roman" w:hAnsi="Times New Roman"/>
                    </w:rPr>
                    <w:t>≤8</w:t>
                  </w:r>
                </w:p>
              </w:tc>
            </w:tr>
            <w:tr w14:paraId="02C1E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133" w:type="pct"/>
                  <w:vAlign w:val="center"/>
                </w:tcPr>
                <w:p w14:paraId="00AF1BD8">
                  <w:pPr>
                    <w:pStyle w:val="134"/>
                    <w:rPr>
                      <w:rFonts w:ascii="Times New Roman" w:hAnsi="Times New Roman"/>
                    </w:rPr>
                  </w:pPr>
                  <w:r>
                    <w:rPr>
                      <w:rFonts w:ascii="Times New Roman" w:hAnsi="Times New Roman"/>
                    </w:rPr>
                    <w:t>排水水质</w:t>
                  </w:r>
                </w:p>
              </w:tc>
              <w:tc>
                <w:tcPr>
                  <w:tcW w:w="546" w:type="pct"/>
                  <w:vAlign w:val="center"/>
                </w:tcPr>
                <w:p w14:paraId="782E22F2">
                  <w:pPr>
                    <w:pStyle w:val="134"/>
                    <w:rPr>
                      <w:rFonts w:ascii="Times New Roman" w:hAnsi="Times New Roman"/>
                    </w:rPr>
                  </w:pPr>
                  <w:r>
                    <w:rPr>
                      <w:rFonts w:ascii="Times New Roman" w:hAnsi="Times New Roman"/>
                    </w:rPr>
                    <w:t>≤50</w:t>
                  </w:r>
                </w:p>
              </w:tc>
              <w:tc>
                <w:tcPr>
                  <w:tcW w:w="505" w:type="pct"/>
                  <w:vAlign w:val="center"/>
                </w:tcPr>
                <w:p w14:paraId="1565747B">
                  <w:pPr>
                    <w:pStyle w:val="134"/>
                    <w:rPr>
                      <w:rFonts w:ascii="Times New Roman" w:hAnsi="Times New Roman"/>
                    </w:rPr>
                  </w:pPr>
                  <w:r>
                    <w:rPr>
                      <w:rFonts w:ascii="Times New Roman" w:hAnsi="Times New Roman"/>
                    </w:rPr>
                    <w:t>≤10</w:t>
                  </w:r>
                </w:p>
              </w:tc>
              <w:tc>
                <w:tcPr>
                  <w:tcW w:w="505" w:type="pct"/>
                  <w:vAlign w:val="center"/>
                </w:tcPr>
                <w:p w14:paraId="50D5F11D">
                  <w:pPr>
                    <w:pStyle w:val="134"/>
                    <w:rPr>
                      <w:rFonts w:ascii="Times New Roman" w:hAnsi="Times New Roman"/>
                    </w:rPr>
                  </w:pPr>
                  <w:r>
                    <w:rPr>
                      <w:rFonts w:ascii="Times New Roman" w:hAnsi="Times New Roman"/>
                    </w:rPr>
                    <w:t>≤10</w:t>
                  </w:r>
                </w:p>
              </w:tc>
              <w:tc>
                <w:tcPr>
                  <w:tcW w:w="553" w:type="pct"/>
                  <w:vAlign w:val="center"/>
                </w:tcPr>
                <w:p w14:paraId="19FBA01C">
                  <w:pPr>
                    <w:pStyle w:val="134"/>
                    <w:rPr>
                      <w:rFonts w:ascii="Times New Roman" w:hAnsi="Times New Roman"/>
                    </w:rPr>
                  </w:pPr>
                  <w:r>
                    <w:rPr>
                      <w:rFonts w:ascii="Times New Roman" w:hAnsi="Times New Roman"/>
                    </w:rPr>
                    <w:t>≤5</w:t>
                  </w:r>
                </w:p>
              </w:tc>
              <w:tc>
                <w:tcPr>
                  <w:tcW w:w="594" w:type="pct"/>
                  <w:vAlign w:val="center"/>
                </w:tcPr>
                <w:p w14:paraId="7FCAF337">
                  <w:pPr>
                    <w:pStyle w:val="134"/>
                    <w:rPr>
                      <w:rFonts w:ascii="Times New Roman" w:hAnsi="Times New Roman"/>
                    </w:rPr>
                  </w:pPr>
                  <w:r>
                    <w:rPr>
                      <w:rFonts w:ascii="Times New Roman" w:hAnsi="Times New Roman"/>
                    </w:rPr>
                    <w:t>≤1</w:t>
                  </w:r>
                </w:p>
              </w:tc>
              <w:tc>
                <w:tcPr>
                  <w:tcW w:w="581" w:type="pct"/>
                  <w:vAlign w:val="center"/>
                </w:tcPr>
                <w:p w14:paraId="4CCB08AF">
                  <w:pPr>
                    <w:pStyle w:val="134"/>
                    <w:rPr>
                      <w:rFonts w:ascii="Times New Roman" w:hAnsi="Times New Roman"/>
                    </w:rPr>
                  </w:pPr>
                  <w:r>
                    <w:rPr>
                      <w:rFonts w:ascii="Times New Roman" w:hAnsi="Times New Roman"/>
                    </w:rPr>
                    <w:t>/</w:t>
                  </w:r>
                </w:p>
              </w:tc>
              <w:tc>
                <w:tcPr>
                  <w:tcW w:w="581" w:type="pct"/>
                  <w:vAlign w:val="center"/>
                </w:tcPr>
                <w:p w14:paraId="6593D245">
                  <w:pPr>
                    <w:pStyle w:val="134"/>
                    <w:rPr>
                      <w:rFonts w:ascii="Times New Roman" w:hAnsi="Times New Roman"/>
                    </w:rPr>
                  </w:pPr>
                  <w:r>
                    <w:rPr>
                      <w:rFonts w:ascii="Times New Roman" w:hAnsi="Times New Roman"/>
                    </w:rPr>
                    <w:t>≤0.5</w:t>
                  </w:r>
                </w:p>
              </w:tc>
            </w:tr>
          </w:tbl>
          <w:p w14:paraId="5D49A0E1">
            <w:pPr>
              <w:pStyle w:val="91"/>
              <w:widowControl w:val="0"/>
              <w:numPr>
                <w:ilvl w:val="0"/>
                <w:numId w:val="0"/>
              </w:numPr>
              <w:tabs>
                <w:tab w:val="left" w:pos="-2127"/>
                <w:tab w:val="left" w:pos="0"/>
                <w:tab w:val="left" w:pos="3687"/>
                <w:tab w:val="left" w:pos="5387"/>
                <w:tab w:val="left" w:pos="6380"/>
              </w:tabs>
              <w:autoSpaceDE w:val="0"/>
              <w:autoSpaceDN w:val="0"/>
              <w:adjustRightInd/>
              <w:spacing w:before="120" w:after="120" w:afterLines="50"/>
              <w:outlineLvl w:val="4"/>
              <w:rPr>
                <w:rFonts w:ascii="宋体" w:hAnsi="宋体" w:cs="宋体"/>
                <w:sz w:val="21"/>
              </w:rPr>
            </w:pPr>
            <w:bookmarkStart w:id="29" w:name="_Ref19788"/>
            <w:bookmarkStart w:id="30" w:name="_Ref117378881"/>
            <w:r>
              <w:rPr>
                <w:rFonts w:hint="eastAsia"/>
              </w:rPr>
              <w:t>表3.4-</w:t>
            </w:r>
            <w:r>
              <w:t>7</w:t>
            </w:r>
            <w:r>
              <w:rPr>
                <w:rFonts w:hint="eastAsia"/>
              </w:rPr>
              <w:t>万景石化污水处理站</w:t>
            </w:r>
            <w:r>
              <w:t>执行污水排放</w:t>
            </w:r>
            <w:bookmarkEnd w:id="29"/>
            <w:r>
              <w:rPr>
                <w:rFonts w:hint="eastAsia"/>
              </w:rPr>
              <w:t>限值</w:t>
            </w:r>
            <w:r>
              <w:t>单位：mg/L</w:t>
            </w:r>
            <w:r>
              <w:rPr>
                <w:rFonts w:hint="eastAsia" w:ascii="宋体" w:hAnsi="宋体" w:cs="宋体"/>
                <w:sz w:val="21"/>
              </w:rPr>
              <w:t>（</w:t>
            </w:r>
            <w:r>
              <w:rPr>
                <w:rFonts w:eastAsia="Times New Roman"/>
                <w:sz w:val="21"/>
              </w:rPr>
              <w:t>pH</w:t>
            </w:r>
            <w:r>
              <w:rPr>
                <w:sz w:val="21"/>
              </w:rPr>
              <w:t>除外</w:t>
            </w:r>
            <w:r>
              <w:rPr>
                <w:rFonts w:hint="eastAsia" w:ascii="宋体" w:hAnsi="宋体" w:cs="宋体"/>
                <w:sz w:val="21"/>
              </w:rPr>
              <w:t>）</w:t>
            </w:r>
            <w:bookmarkEnd w:id="30"/>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2"/>
              <w:gridCol w:w="540"/>
              <w:gridCol w:w="895"/>
              <w:gridCol w:w="818"/>
              <w:gridCol w:w="823"/>
              <w:gridCol w:w="900"/>
              <w:gridCol w:w="949"/>
              <w:gridCol w:w="949"/>
              <w:gridCol w:w="949"/>
            </w:tblGrid>
            <w:tr w14:paraId="58369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7" w:type="pct"/>
                  <w:tcBorders>
                    <w:tl2br w:val="nil"/>
                    <w:tr2bl w:val="nil"/>
                  </w:tcBorders>
                  <w:vAlign w:val="center"/>
                </w:tcPr>
                <w:p w14:paraId="270817D3">
                  <w:pPr>
                    <w:pStyle w:val="134"/>
                    <w:rPr>
                      <w:rFonts w:ascii="Times New Roman" w:hAnsi="Times New Roman"/>
                    </w:rPr>
                  </w:pPr>
                  <w:r>
                    <w:rPr>
                      <w:rFonts w:ascii="Times New Roman" w:hAnsi="Times New Roman"/>
                    </w:rPr>
                    <w:t>水质指标</w:t>
                  </w:r>
                </w:p>
              </w:tc>
              <w:tc>
                <w:tcPr>
                  <w:tcW w:w="332" w:type="pct"/>
                  <w:tcBorders>
                    <w:tl2br w:val="nil"/>
                    <w:tr2bl w:val="nil"/>
                  </w:tcBorders>
                  <w:vAlign w:val="center"/>
                </w:tcPr>
                <w:p w14:paraId="1F2F7094">
                  <w:pPr>
                    <w:pStyle w:val="134"/>
                    <w:rPr>
                      <w:rFonts w:ascii="Times New Roman" w:hAnsi="Times New Roman"/>
                    </w:rPr>
                  </w:pPr>
                  <w:r>
                    <w:rPr>
                      <w:rFonts w:ascii="Times New Roman" w:hAnsi="Times New Roman"/>
                    </w:rPr>
                    <w:t>pH</w:t>
                  </w:r>
                </w:p>
              </w:tc>
              <w:tc>
                <w:tcPr>
                  <w:tcW w:w="550" w:type="pct"/>
                  <w:tcBorders>
                    <w:tl2br w:val="nil"/>
                    <w:tr2bl w:val="nil"/>
                  </w:tcBorders>
                  <w:vAlign w:val="center"/>
                </w:tcPr>
                <w:p w14:paraId="39ACDD3A">
                  <w:pPr>
                    <w:pStyle w:val="134"/>
                    <w:rPr>
                      <w:rFonts w:ascii="Times New Roman" w:hAnsi="Times New Roman"/>
                    </w:rPr>
                  </w:pPr>
                  <w:r>
                    <w:rPr>
                      <w:rFonts w:ascii="Times New Roman" w:hAnsi="Times New Roman"/>
                    </w:rPr>
                    <w:t>COD</w:t>
                  </w:r>
                </w:p>
              </w:tc>
              <w:tc>
                <w:tcPr>
                  <w:tcW w:w="503" w:type="pct"/>
                  <w:tcBorders>
                    <w:tl2br w:val="nil"/>
                    <w:tr2bl w:val="nil"/>
                  </w:tcBorders>
                  <w:vAlign w:val="center"/>
                </w:tcPr>
                <w:p w14:paraId="4A13E44A">
                  <w:pPr>
                    <w:pStyle w:val="134"/>
                    <w:rPr>
                      <w:rFonts w:ascii="Times New Roman" w:hAnsi="Times New Roman"/>
                    </w:rPr>
                  </w:pPr>
                  <w:r>
                    <w:rPr>
                      <w:rFonts w:ascii="Times New Roman" w:hAnsi="Times New Roman"/>
                    </w:rPr>
                    <w:t>BOD</w:t>
                  </w:r>
                  <w:r>
                    <w:rPr>
                      <w:rFonts w:ascii="Times New Roman" w:hAnsi="Times New Roman"/>
                      <w:vertAlign w:val="subscript"/>
                    </w:rPr>
                    <w:t>5</w:t>
                  </w:r>
                </w:p>
              </w:tc>
              <w:tc>
                <w:tcPr>
                  <w:tcW w:w="506" w:type="pct"/>
                  <w:tcBorders>
                    <w:tl2br w:val="nil"/>
                    <w:tr2bl w:val="nil"/>
                  </w:tcBorders>
                  <w:vAlign w:val="center"/>
                </w:tcPr>
                <w:p w14:paraId="09FBA007">
                  <w:pPr>
                    <w:pStyle w:val="134"/>
                    <w:rPr>
                      <w:rFonts w:ascii="Times New Roman" w:hAnsi="Times New Roman"/>
                    </w:rPr>
                  </w:pPr>
                  <w:r>
                    <w:rPr>
                      <w:rFonts w:ascii="Times New Roman" w:hAnsi="Times New Roman"/>
                    </w:rPr>
                    <w:t>SS</w:t>
                  </w:r>
                </w:p>
              </w:tc>
              <w:tc>
                <w:tcPr>
                  <w:tcW w:w="553" w:type="pct"/>
                  <w:tcBorders>
                    <w:tl2br w:val="nil"/>
                    <w:tr2bl w:val="nil"/>
                  </w:tcBorders>
                  <w:vAlign w:val="center"/>
                </w:tcPr>
                <w:p w14:paraId="449A2D76">
                  <w:pPr>
                    <w:pStyle w:val="134"/>
                    <w:rPr>
                      <w:rFonts w:ascii="Times New Roman" w:hAnsi="Times New Roman"/>
                    </w:rPr>
                  </w:pPr>
                  <w:r>
                    <w:rPr>
                      <w:rFonts w:ascii="Times New Roman" w:hAnsi="Times New Roman"/>
                    </w:rPr>
                    <w:t>NH3-N</w:t>
                  </w:r>
                </w:p>
              </w:tc>
              <w:tc>
                <w:tcPr>
                  <w:tcW w:w="583" w:type="pct"/>
                  <w:tcBorders>
                    <w:tl2br w:val="nil"/>
                    <w:tr2bl w:val="nil"/>
                  </w:tcBorders>
                  <w:vAlign w:val="center"/>
                </w:tcPr>
                <w:p w14:paraId="49F3AA1F">
                  <w:pPr>
                    <w:pStyle w:val="134"/>
                    <w:rPr>
                      <w:rFonts w:ascii="Times New Roman" w:hAnsi="Times New Roman"/>
                    </w:rPr>
                  </w:pPr>
                  <w:r>
                    <w:rPr>
                      <w:rFonts w:ascii="Times New Roman" w:hAnsi="Times New Roman"/>
                    </w:rPr>
                    <w:t>石油类</w:t>
                  </w:r>
                </w:p>
              </w:tc>
              <w:tc>
                <w:tcPr>
                  <w:tcW w:w="583" w:type="pct"/>
                  <w:tcBorders>
                    <w:tl2br w:val="nil"/>
                    <w:tr2bl w:val="nil"/>
                  </w:tcBorders>
                  <w:vAlign w:val="center"/>
                </w:tcPr>
                <w:p w14:paraId="680DE54F">
                  <w:pPr>
                    <w:pStyle w:val="134"/>
                    <w:rPr>
                      <w:rFonts w:ascii="Times New Roman" w:hAnsi="Times New Roman"/>
                    </w:rPr>
                  </w:pPr>
                  <w:r>
                    <w:rPr>
                      <w:rFonts w:ascii="Times New Roman" w:hAnsi="Times New Roman"/>
                    </w:rPr>
                    <w:t>TP</w:t>
                  </w:r>
                </w:p>
              </w:tc>
              <w:tc>
                <w:tcPr>
                  <w:tcW w:w="583" w:type="pct"/>
                  <w:tcBorders>
                    <w:tl2br w:val="nil"/>
                    <w:tr2bl w:val="nil"/>
                  </w:tcBorders>
                  <w:vAlign w:val="center"/>
                </w:tcPr>
                <w:p w14:paraId="42D77626">
                  <w:pPr>
                    <w:pStyle w:val="134"/>
                    <w:rPr>
                      <w:rFonts w:ascii="Times New Roman" w:hAnsi="Times New Roman"/>
                    </w:rPr>
                  </w:pPr>
                  <w:r>
                    <w:rPr>
                      <w:rFonts w:hint="eastAsia" w:ascii="Times New Roman" w:hAnsi="Times New Roman"/>
                    </w:rPr>
                    <w:t>硫化物</w:t>
                  </w:r>
                </w:p>
              </w:tc>
            </w:tr>
            <w:tr w14:paraId="313428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07" w:type="pct"/>
                  <w:tcBorders>
                    <w:tl2br w:val="nil"/>
                    <w:tr2bl w:val="nil"/>
                  </w:tcBorders>
                  <w:vAlign w:val="center"/>
                </w:tcPr>
                <w:p w14:paraId="1CB44A2B">
                  <w:pPr>
                    <w:pStyle w:val="134"/>
                    <w:rPr>
                      <w:rFonts w:ascii="Times New Roman" w:hAnsi="Times New Roman"/>
                    </w:rPr>
                  </w:pPr>
                  <w:r>
                    <w:rPr>
                      <w:rFonts w:ascii="Times New Roman" w:hAnsi="Times New Roman"/>
                    </w:rPr>
                    <w:t>排放标准</w:t>
                  </w:r>
                </w:p>
              </w:tc>
              <w:tc>
                <w:tcPr>
                  <w:tcW w:w="332" w:type="pct"/>
                  <w:tcBorders>
                    <w:tl2br w:val="nil"/>
                    <w:tr2bl w:val="nil"/>
                  </w:tcBorders>
                  <w:vAlign w:val="center"/>
                </w:tcPr>
                <w:p w14:paraId="112BD6ED">
                  <w:pPr>
                    <w:pStyle w:val="134"/>
                    <w:rPr>
                      <w:rFonts w:ascii="Times New Roman" w:hAnsi="Times New Roman"/>
                    </w:rPr>
                  </w:pPr>
                  <w:r>
                    <w:rPr>
                      <w:rFonts w:ascii="Times New Roman" w:hAnsi="Times New Roman"/>
                    </w:rPr>
                    <w:t>6~9</w:t>
                  </w:r>
                </w:p>
              </w:tc>
              <w:tc>
                <w:tcPr>
                  <w:tcW w:w="550" w:type="pct"/>
                  <w:tcBorders>
                    <w:tl2br w:val="nil"/>
                    <w:tr2bl w:val="nil"/>
                  </w:tcBorders>
                  <w:vAlign w:val="center"/>
                </w:tcPr>
                <w:p w14:paraId="719638F3">
                  <w:pPr>
                    <w:pStyle w:val="134"/>
                    <w:rPr>
                      <w:rFonts w:ascii="Times New Roman" w:hAnsi="Times New Roman"/>
                    </w:rPr>
                  </w:pPr>
                  <w:r>
                    <w:rPr>
                      <w:rFonts w:ascii="Times New Roman" w:hAnsi="Times New Roman"/>
                    </w:rPr>
                    <w:t>≤500</w:t>
                  </w:r>
                </w:p>
              </w:tc>
              <w:tc>
                <w:tcPr>
                  <w:tcW w:w="503" w:type="pct"/>
                  <w:tcBorders>
                    <w:tl2br w:val="nil"/>
                    <w:tr2bl w:val="nil"/>
                  </w:tcBorders>
                  <w:vAlign w:val="center"/>
                </w:tcPr>
                <w:p w14:paraId="17F576B0">
                  <w:pPr>
                    <w:pStyle w:val="134"/>
                    <w:rPr>
                      <w:rFonts w:ascii="Times New Roman" w:hAnsi="Times New Roman"/>
                    </w:rPr>
                  </w:pPr>
                  <w:r>
                    <w:rPr>
                      <w:rFonts w:ascii="Times New Roman" w:hAnsi="Times New Roman"/>
                    </w:rPr>
                    <w:t>≤300</w:t>
                  </w:r>
                </w:p>
              </w:tc>
              <w:tc>
                <w:tcPr>
                  <w:tcW w:w="506" w:type="pct"/>
                  <w:tcBorders>
                    <w:tl2br w:val="nil"/>
                    <w:tr2bl w:val="nil"/>
                  </w:tcBorders>
                  <w:vAlign w:val="center"/>
                </w:tcPr>
                <w:p w14:paraId="36A4FCC5">
                  <w:pPr>
                    <w:pStyle w:val="134"/>
                    <w:rPr>
                      <w:rFonts w:ascii="Times New Roman" w:hAnsi="Times New Roman"/>
                    </w:rPr>
                  </w:pPr>
                  <w:r>
                    <w:rPr>
                      <w:rFonts w:ascii="Times New Roman" w:hAnsi="Times New Roman"/>
                    </w:rPr>
                    <w:t>≤400</w:t>
                  </w:r>
                </w:p>
              </w:tc>
              <w:tc>
                <w:tcPr>
                  <w:tcW w:w="553" w:type="pct"/>
                  <w:tcBorders>
                    <w:tl2br w:val="nil"/>
                    <w:tr2bl w:val="nil"/>
                  </w:tcBorders>
                  <w:vAlign w:val="center"/>
                </w:tcPr>
                <w:p w14:paraId="31894C79">
                  <w:pPr>
                    <w:pStyle w:val="134"/>
                    <w:rPr>
                      <w:rFonts w:ascii="Times New Roman" w:hAnsi="Times New Roman"/>
                    </w:rPr>
                  </w:pPr>
                  <w:r>
                    <w:rPr>
                      <w:rFonts w:ascii="Times New Roman" w:hAnsi="Times New Roman"/>
                    </w:rPr>
                    <w:t>≤60</w:t>
                  </w:r>
                </w:p>
              </w:tc>
              <w:tc>
                <w:tcPr>
                  <w:tcW w:w="583" w:type="pct"/>
                  <w:tcBorders>
                    <w:tl2br w:val="nil"/>
                    <w:tr2bl w:val="nil"/>
                  </w:tcBorders>
                  <w:vAlign w:val="center"/>
                </w:tcPr>
                <w:p w14:paraId="271DAC39">
                  <w:pPr>
                    <w:pStyle w:val="134"/>
                    <w:rPr>
                      <w:rFonts w:ascii="Times New Roman" w:hAnsi="Times New Roman"/>
                    </w:rPr>
                  </w:pPr>
                  <w:r>
                    <w:rPr>
                      <w:rFonts w:ascii="Times New Roman" w:hAnsi="Times New Roman"/>
                    </w:rPr>
                    <w:t>≤</w:t>
                  </w:r>
                  <w:r>
                    <w:rPr>
                      <w:rFonts w:hint="eastAsia" w:ascii="Times New Roman" w:hAnsi="Times New Roman"/>
                    </w:rPr>
                    <w:t>15</w:t>
                  </w:r>
                </w:p>
              </w:tc>
              <w:tc>
                <w:tcPr>
                  <w:tcW w:w="583" w:type="pct"/>
                  <w:tcBorders>
                    <w:tl2br w:val="nil"/>
                    <w:tr2bl w:val="nil"/>
                  </w:tcBorders>
                  <w:vAlign w:val="center"/>
                </w:tcPr>
                <w:p w14:paraId="3E00D668">
                  <w:pPr>
                    <w:pStyle w:val="134"/>
                    <w:rPr>
                      <w:rFonts w:ascii="Times New Roman" w:hAnsi="Times New Roman"/>
                    </w:rPr>
                  </w:pPr>
                  <w:r>
                    <w:rPr>
                      <w:rFonts w:ascii="Times New Roman" w:hAnsi="Times New Roman"/>
                    </w:rPr>
                    <w:t>≤8</w:t>
                  </w:r>
                </w:p>
              </w:tc>
              <w:tc>
                <w:tcPr>
                  <w:tcW w:w="583" w:type="pct"/>
                  <w:tcBorders>
                    <w:tl2br w:val="nil"/>
                    <w:tr2bl w:val="nil"/>
                  </w:tcBorders>
                  <w:vAlign w:val="center"/>
                </w:tcPr>
                <w:p w14:paraId="7D098791">
                  <w:pPr>
                    <w:pStyle w:val="134"/>
                    <w:rPr>
                      <w:rFonts w:ascii="Times New Roman" w:hAnsi="Times New Roman"/>
                    </w:rPr>
                  </w:pPr>
                  <w:r>
                    <w:rPr>
                      <w:rFonts w:ascii="Times New Roman" w:hAnsi="Times New Roman"/>
                    </w:rPr>
                    <w:t>≤</w:t>
                  </w:r>
                  <w:r>
                    <w:rPr>
                      <w:rFonts w:hint="eastAsia" w:ascii="Times New Roman" w:hAnsi="Times New Roman"/>
                    </w:rPr>
                    <w:t>1</w:t>
                  </w:r>
                </w:p>
              </w:tc>
            </w:tr>
          </w:tbl>
          <w:p w14:paraId="6021BEAD">
            <w:pPr>
              <w:pStyle w:val="91"/>
              <w:widowControl w:val="0"/>
              <w:numPr>
                <w:ilvl w:val="0"/>
                <w:numId w:val="0"/>
              </w:numPr>
              <w:tabs>
                <w:tab w:val="left" w:pos="-2127"/>
                <w:tab w:val="left" w:pos="0"/>
                <w:tab w:val="left" w:pos="3687"/>
                <w:tab w:val="left" w:pos="5387"/>
                <w:tab w:val="left" w:pos="6380"/>
              </w:tabs>
              <w:autoSpaceDE w:val="0"/>
              <w:autoSpaceDN w:val="0"/>
              <w:adjustRightInd/>
              <w:spacing w:before="120" w:after="120" w:afterLines="50"/>
              <w:outlineLvl w:val="4"/>
            </w:pPr>
            <w:bookmarkStart w:id="31" w:name="_Ref24805"/>
            <w:r>
              <w:rPr>
                <w:rFonts w:hint="eastAsia"/>
              </w:rPr>
              <w:t>表3.4-8福州万景石化有限公司污水处理站</w:t>
            </w:r>
            <w:r>
              <w:t>进水水质</w:t>
            </w:r>
            <w:bookmarkEnd w:id="31"/>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697"/>
              <w:gridCol w:w="1944"/>
              <w:gridCol w:w="1944"/>
              <w:gridCol w:w="1932"/>
            </w:tblGrid>
            <w:tr w14:paraId="7EC68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4D92CFA4">
                  <w:pPr>
                    <w:pStyle w:val="134"/>
                    <w:rPr>
                      <w:rFonts w:ascii="Times New Roman" w:hAnsi="Times New Roman"/>
                    </w:rPr>
                  </w:pPr>
                  <w:r>
                    <w:rPr>
                      <w:rFonts w:ascii="Times New Roman" w:hAnsi="Times New Roman"/>
                    </w:rPr>
                    <w:t>序号</w:t>
                  </w:r>
                </w:p>
              </w:tc>
              <w:tc>
                <w:tcPr>
                  <w:tcW w:w="1043" w:type="pct"/>
                  <w:vAlign w:val="center"/>
                </w:tcPr>
                <w:p w14:paraId="5733CFF9">
                  <w:pPr>
                    <w:pStyle w:val="134"/>
                    <w:rPr>
                      <w:rFonts w:ascii="Times New Roman" w:hAnsi="Times New Roman"/>
                    </w:rPr>
                  </w:pPr>
                  <w:r>
                    <w:rPr>
                      <w:rFonts w:ascii="Times New Roman" w:hAnsi="Times New Roman"/>
                    </w:rPr>
                    <w:t>项目</w:t>
                  </w:r>
                </w:p>
              </w:tc>
              <w:tc>
                <w:tcPr>
                  <w:tcW w:w="1195" w:type="pct"/>
                  <w:vAlign w:val="center"/>
                </w:tcPr>
                <w:p w14:paraId="1B80AFAC">
                  <w:pPr>
                    <w:pStyle w:val="134"/>
                    <w:rPr>
                      <w:rFonts w:ascii="Times New Roman" w:hAnsi="Times New Roman"/>
                    </w:rPr>
                  </w:pPr>
                  <w:r>
                    <w:rPr>
                      <w:rFonts w:hint="eastAsia" w:ascii="Times New Roman" w:hAnsi="Times New Roman"/>
                    </w:rPr>
                    <w:t>高浓度</w:t>
                  </w:r>
                  <w:r>
                    <w:rPr>
                      <w:rFonts w:ascii="Times New Roman" w:hAnsi="Times New Roman"/>
                    </w:rPr>
                    <w:t>进水水质</w:t>
                  </w:r>
                </w:p>
              </w:tc>
              <w:tc>
                <w:tcPr>
                  <w:tcW w:w="1195" w:type="pct"/>
                  <w:tcBorders>
                    <w:top w:val="single" w:color="auto" w:sz="12" w:space="0"/>
                    <w:bottom w:val="single" w:color="auto" w:sz="4" w:space="0"/>
                  </w:tcBorders>
                  <w:shd w:val="clear" w:color="auto" w:fill="D8D8D8" w:themeFill="background1" w:themeFillShade="D9"/>
                  <w:vAlign w:val="center"/>
                </w:tcPr>
                <w:p w14:paraId="384C935B">
                  <w:pPr>
                    <w:pStyle w:val="134"/>
                    <w:rPr>
                      <w:rFonts w:ascii="Times New Roman" w:hAnsi="Times New Roman"/>
                    </w:rPr>
                  </w:pPr>
                  <w:r>
                    <w:rPr>
                      <w:rFonts w:hint="eastAsia" w:ascii="Times New Roman" w:hAnsi="Times New Roman"/>
                    </w:rPr>
                    <w:t>低浓度</w:t>
                  </w:r>
                  <w:r>
                    <w:rPr>
                      <w:rFonts w:ascii="Times New Roman" w:hAnsi="Times New Roman"/>
                    </w:rPr>
                    <w:t>进水水质</w:t>
                  </w:r>
                </w:p>
              </w:tc>
              <w:tc>
                <w:tcPr>
                  <w:tcW w:w="1188" w:type="pct"/>
                  <w:vAlign w:val="center"/>
                </w:tcPr>
                <w:p w14:paraId="0950D47D">
                  <w:pPr>
                    <w:pStyle w:val="134"/>
                    <w:rPr>
                      <w:rFonts w:ascii="Times New Roman" w:hAnsi="Times New Roman"/>
                    </w:rPr>
                  </w:pPr>
                  <w:r>
                    <w:rPr>
                      <w:rFonts w:ascii="Times New Roman" w:hAnsi="Times New Roman"/>
                    </w:rPr>
                    <w:t>单位</w:t>
                  </w:r>
                </w:p>
              </w:tc>
            </w:tr>
            <w:tr w14:paraId="5CD96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243F7464">
                  <w:pPr>
                    <w:pStyle w:val="134"/>
                    <w:rPr>
                      <w:rFonts w:ascii="Times New Roman" w:hAnsi="Times New Roman"/>
                    </w:rPr>
                  </w:pPr>
                  <w:r>
                    <w:rPr>
                      <w:rFonts w:ascii="Times New Roman" w:hAnsi="Times New Roman"/>
                    </w:rPr>
                    <w:t>1</w:t>
                  </w:r>
                </w:p>
              </w:tc>
              <w:tc>
                <w:tcPr>
                  <w:tcW w:w="1043" w:type="pct"/>
                  <w:vAlign w:val="center"/>
                </w:tcPr>
                <w:p w14:paraId="0CCC936B">
                  <w:pPr>
                    <w:pStyle w:val="134"/>
                    <w:rPr>
                      <w:rFonts w:ascii="Times New Roman" w:hAnsi="Times New Roman"/>
                    </w:rPr>
                  </w:pPr>
                  <w:r>
                    <w:rPr>
                      <w:rFonts w:ascii="Times New Roman" w:hAnsi="Times New Roman"/>
                    </w:rPr>
                    <w:t>pH</w:t>
                  </w:r>
                </w:p>
              </w:tc>
              <w:tc>
                <w:tcPr>
                  <w:tcW w:w="1195" w:type="pct"/>
                  <w:vAlign w:val="center"/>
                </w:tcPr>
                <w:p w14:paraId="613BBE57">
                  <w:pPr>
                    <w:pStyle w:val="134"/>
                    <w:rPr>
                      <w:rFonts w:ascii="Times New Roman" w:hAnsi="Times New Roman"/>
                    </w:rPr>
                  </w:pPr>
                  <w:r>
                    <w:rPr>
                      <w:rFonts w:hint="eastAsia" w:ascii="Times New Roman" w:hAnsi="Times New Roman"/>
                    </w:rPr>
                    <w:t>6-9</w:t>
                  </w:r>
                </w:p>
              </w:tc>
              <w:tc>
                <w:tcPr>
                  <w:tcW w:w="1195" w:type="pct"/>
                  <w:tcBorders>
                    <w:top w:val="single" w:color="auto" w:sz="4" w:space="0"/>
                    <w:bottom w:val="single" w:color="auto" w:sz="4" w:space="0"/>
                  </w:tcBorders>
                  <w:shd w:val="clear" w:color="auto" w:fill="D8D8D8" w:themeFill="background1" w:themeFillShade="D9"/>
                  <w:vAlign w:val="center"/>
                </w:tcPr>
                <w:p w14:paraId="349AA5A7">
                  <w:pPr>
                    <w:pStyle w:val="134"/>
                    <w:rPr>
                      <w:rFonts w:ascii="Times New Roman" w:hAnsi="Times New Roman"/>
                    </w:rPr>
                  </w:pPr>
                  <w:r>
                    <w:rPr>
                      <w:rFonts w:ascii="Times New Roman" w:hAnsi="Times New Roman"/>
                    </w:rPr>
                    <w:t>6-9</w:t>
                  </w:r>
                </w:p>
              </w:tc>
              <w:tc>
                <w:tcPr>
                  <w:tcW w:w="1188" w:type="pct"/>
                  <w:vAlign w:val="center"/>
                </w:tcPr>
                <w:p w14:paraId="37450D5D">
                  <w:pPr>
                    <w:pStyle w:val="134"/>
                    <w:rPr>
                      <w:rFonts w:ascii="Times New Roman" w:hAnsi="Times New Roman"/>
                    </w:rPr>
                  </w:pPr>
                  <w:r>
                    <w:rPr>
                      <w:rFonts w:ascii="Times New Roman" w:hAnsi="Times New Roman"/>
                    </w:rPr>
                    <w:t>无量纲</w:t>
                  </w:r>
                </w:p>
              </w:tc>
            </w:tr>
            <w:tr w14:paraId="3D1E5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68EA56D5">
                  <w:pPr>
                    <w:pStyle w:val="134"/>
                    <w:rPr>
                      <w:rFonts w:ascii="Times New Roman" w:hAnsi="Times New Roman"/>
                    </w:rPr>
                  </w:pPr>
                  <w:r>
                    <w:rPr>
                      <w:rFonts w:ascii="Times New Roman" w:hAnsi="Times New Roman"/>
                    </w:rPr>
                    <w:t>2</w:t>
                  </w:r>
                </w:p>
              </w:tc>
              <w:tc>
                <w:tcPr>
                  <w:tcW w:w="1043" w:type="pct"/>
                  <w:vAlign w:val="center"/>
                </w:tcPr>
                <w:p w14:paraId="37F7CFD7">
                  <w:pPr>
                    <w:pStyle w:val="134"/>
                    <w:rPr>
                      <w:rFonts w:ascii="Times New Roman" w:hAnsi="Times New Roman"/>
                    </w:rPr>
                  </w:pPr>
                  <w:r>
                    <w:rPr>
                      <w:rFonts w:ascii="Times New Roman" w:hAnsi="Times New Roman"/>
                    </w:rPr>
                    <w:t>CODcr</w:t>
                  </w:r>
                </w:p>
              </w:tc>
              <w:tc>
                <w:tcPr>
                  <w:tcW w:w="1195" w:type="pct"/>
                  <w:vAlign w:val="center"/>
                </w:tcPr>
                <w:p w14:paraId="39899722">
                  <w:pPr>
                    <w:pStyle w:val="134"/>
                    <w:rPr>
                      <w:rFonts w:ascii="Times New Roman" w:hAnsi="Times New Roman"/>
                    </w:rPr>
                  </w:pPr>
                  <w:r>
                    <w:rPr>
                      <w:rFonts w:ascii="Times New Roman" w:hAnsi="Times New Roman"/>
                    </w:rPr>
                    <w:t>≤</w:t>
                  </w:r>
                  <w:r>
                    <w:rPr>
                      <w:rFonts w:hint="eastAsia" w:ascii="Times New Roman" w:hAnsi="Times New Roman"/>
                    </w:rPr>
                    <w:t>5750</w:t>
                  </w:r>
                </w:p>
              </w:tc>
              <w:tc>
                <w:tcPr>
                  <w:tcW w:w="1195" w:type="pct"/>
                  <w:tcBorders>
                    <w:top w:val="single" w:color="auto" w:sz="4" w:space="0"/>
                    <w:bottom w:val="single" w:color="auto" w:sz="4" w:space="0"/>
                  </w:tcBorders>
                  <w:shd w:val="clear" w:color="auto" w:fill="D8D8D8" w:themeFill="background1" w:themeFillShade="D9"/>
                  <w:vAlign w:val="center"/>
                </w:tcPr>
                <w:p w14:paraId="7E185920">
                  <w:pPr>
                    <w:pStyle w:val="134"/>
                    <w:rPr>
                      <w:rFonts w:ascii="Times New Roman" w:hAnsi="Times New Roman"/>
                    </w:rPr>
                  </w:pPr>
                  <w:r>
                    <w:rPr>
                      <w:rFonts w:ascii="Times New Roman" w:hAnsi="Times New Roman"/>
                    </w:rPr>
                    <w:t>≤</w:t>
                  </w:r>
                  <w:r>
                    <w:rPr>
                      <w:rFonts w:hint="eastAsia" w:ascii="Times New Roman" w:hAnsi="Times New Roman"/>
                    </w:rPr>
                    <w:t>800</w:t>
                  </w:r>
                </w:p>
              </w:tc>
              <w:tc>
                <w:tcPr>
                  <w:tcW w:w="1188" w:type="pct"/>
                  <w:vAlign w:val="center"/>
                </w:tcPr>
                <w:p w14:paraId="03E4EE26">
                  <w:pPr>
                    <w:pStyle w:val="134"/>
                    <w:rPr>
                      <w:rFonts w:ascii="Times New Roman" w:hAnsi="Times New Roman"/>
                    </w:rPr>
                  </w:pPr>
                  <w:r>
                    <w:rPr>
                      <w:rFonts w:ascii="Times New Roman" w:hAnsi="Times New Roman"/>
                    </w:rPr>
                    <w:t>mg/L</w:t>
                  </w:r>
                </w:p>
              </w:tc>
            </w:tr>
            <w:tr w14:paraId="378CC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17EC1C4C">
                  <w:pPr>
                    <w:pStyle w:val="134"/>
                    <w:rPr>
                      <w:rFonts w:ascii="Times New Roman" w:hAnsi="Times New Roman"/>
                    </w:rPr>
                  </w:pPr>
                  <w:r>
                    <w:rPr>
                      <w:rFonts w:ascii="Times New Roman" w:hAnsi="Times New Roman"/>
                    </w:rPr>
                    <w:t>3</w:t>
                  </w:r>
                </w:p>
              </w:tc>
              <w:tc>
                <w:tcPr>
                  <w:tcW w:w="1043" w:type="pct"/>
                  <w:vAlign w:val="center"/>
                </w:tcPr>
                <w:p w14:paraId="3C699622">
                  <w:pPr>
                    <w:pStyle w:val="134"/>
                    <w:rPr>
                      <w:rFonts w:ascii="Times New Roman" w:hAnsi="Times New Roman"/>
                    </w:rPr>
                  </w:pPr>
                  <w:r>
                    <w:rPr>
                      <w:rFonts w:ascii="Times New Roman" w:hAnsi="Times New Roman"/>
                    </w:rPr>
                    <w:t>悬浮物</w:t>
                  </w:r>
                </w:p>
              </w:tc>
              <w:tc>
                <w:tcPr>
                  <w:tcW w:w="1195" w:type="pct"/>
                  <w:vAlign w:val="center"/>
                </w:tcPr>
                <w:p w14:paraId="633B1162">
                  <w:pPr>
                    <w:pStyle w:val="134"/>
                    <w:rPr>
                      <w:rFonts w:ascii="Times New Roman" w:hAnsi="Times New Roman"/>
                    </w:rPr>
                  </w:pPr>
                  <w:r>
                    <w:rPr>
                      <w:rFonts w:ascii="Times New Roman" w:hAnsi="Times New Roman"/>
                    </w:rPr>
                    <w:t>≤</w:t>
                  </w:r>
                  <w:r>
                    <w:rPr>
                      <w:rFonts w:hint="eastAsia" w:ascii="Times New Roman" w:hAnsi="Times New Roman"/>
                    </w:rPr>
                    <w:t>80</w:t>
                  </w:r>
                </w:p>
              </w:tc>
              <w:tc>
                <w:tcPr>
                  <w:tcW w:w="1195" w:type="pct"/>
                  <w:tcBorders>
                    <w:top w:val="single" w:color="auto" w:sz="4" w:space="0"/>
                    <w:bottom w:val="single" w:color="auto" w:sz="4" w:space="0"/>
                  </w:tcBorders>
                  <w:shd w:val="clear" w:color="auto" w:fill="D8D8D8" w:themeFill="background1" w:themeFillShade="D9"/>
                  <w:vAlign w:val="center"/>
                </w:tcPr>
                <w:p w14:paraId="716D915D">
                  <w:pPr>
                    <w:pStyle w:val="134"/>
                    <w:rPr>
                      <w:rFonts w:ascii="Times New Roman" w:hAnsi="Times New Roman"/>
                    </w:rPr>
                  </w:pPr>
                  <w:r>
                    <w:rPr>
                      <w:rFonts w:ascii="Times New Roman" w:hAnsi="Times New Roman"/>
                    </w:rPr>
                    <w:t>≤</w:t>
                  </w:r>
                  <w:r>
                    <w:rPr>
                      <w:rFonts w:hint="eastAsia" w:ascii="Times New Roman" w:hAnsi="Times New Roman"/>
                    </w:rPr>
                    <w:t>340</w:t>
                  </w:r>
                </w:p>
              </w:tc>
              <w:tc>
                <w:tcPr>
                  <w:tcW w:w="1188" w:type="pct"/>
                  <w:vAlign w:val="center"/>
                </w:tcPr>
                <w:p w14:paraId="7E7EB54C">
                  <w:pPr>
                    <w:pStyle w:val="134"/>
                    <w:rPr>
                      <w:rFonts w:ascii="Times New Roman" w:hAnsi="Times New Roman"/>
                    </w:rPr>
                  </w:pPr>
                  <w:r>
                    <w:rPr>
                      <w:rFonts w:ascii="Times New Roman" w:hAnsi="Times New Roman"/>
                    </w:rPr>
                    <w:t>mg/L</w:t>
                  </w:r>
                </w:p>
              </w:tc>
            </w:tr>
            <w:tr w14:paraId="65E00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2FA5081C">
                  <w:pPr>
                    <w:pStyle w:val="134"/>
                    <w:rPr>
                      <w:rFonts w:ascii="Times New Roman" w:hAnsi="Times New Roman"/>
                    </w:rPr>
                  </w:pPr>
                  <w:r>
                    <w:rPr>
                      <w:rFonts w:ascii="Times New Roman" w:hAnsi="Times New Roman"/>
                    </w:rPr>
                    <w:t>4</w:t>
                  </w:r>
                </w:p>
              </w:tc>
              <w:tc>
                <w:tcPr>
                  <w:tcW w:w="1043" w:type="pct"/>
                  <w:vAlign w:val="center"/>
                </w:tcPr>
                <w:p w14:paraId="3F331DA5">
                  <w:pPr>
                    <w:pStyle w:val="134"/>
                    <w:rPr>
                      <w:rFonts w:ascii="Times New Roman" w:hAnsi="Times New Roman"/>
                    </w:rPr>
                  </w:pPr>
                  <w:r>
                    <w:rPr>
                      <w:rFonts w:ascii="Times New Roman" w:hAnsi="Times New Roman"/>
                    </w:rPr>
                    <w:t>氨氮</w:t>
                  </w:r>
                </w:p>
              </w:tc>
              <w:tc>
                <w:tcPr>
                  <w:tcW w:w="1195" w:type="pct"/>
                  <w:vAlign w:val="center"/>
                </w:tcPr>
                <w:p w14:paraId="3F282F2D">
                  <w:pPr>
                    <w:pStyle w:val="134"/>
                    <w:rPr>
                      <w:rFonts w:ascii="Times New Roman" w:hAnsi="Times New Roman"/>
                    </w:rPr>
                  </w:pPr>
                  <w:r>
                    <w:rPr>
                      <w:rFonts w:ascii="Times New Roman" w:hAnsi="Times New Roman"/>
                    </w:rPr>
                    <w:t>≤</w:t>
                  </w:r>
                  <w:r>
                    <w:rPr>
                      <w:rFonts w:hint="eastAsia" w:ascii="Times New Roman" w:hAnsi="Times New Roman"/>
                    </w:rPr>
                    <w:t>40</w:t>
                  </w:r>
                </w:p>
              </w:tc>
              <w:tc>
                <w:tcPr>
                  <w:tcW w:w="1195" w:type="pct"/>
                  <w:tcBorders>
                    <w:top w:val="single" w:color="auto" w:sz="4" w:space="0"/>
                    <w:bottom w:val="single" w:color="auto" w:sz="4" w:space="0"/>
                  </w:tcBorders>
                  <w:shd w:val="clear" w:color="auto" w:fill="D8D8D8" w:themeFill="background1" w:themeFillShade="D9"/>
                  <w:vAlign w:val="center"/>
                </w:tcPr>
                <w:p w14:paraId="5FC19BE4">
                  <w:pPr>
                    <w:pStyle w:val="134"/>
                    <w:rPr>
                      <w:rFonts w:ascii="Times New Roman" w:hAnsi="Times New Roman"/>
                    </w:rPr>
                  </w:pPr>
                  <w:r>
                    <w:rPr>
                      <w:rFonts w:ascii="Times New Roman" w:hAnsi="Times New Roman"/>
                    </w:rPr>
                    <w:t>≤</w:t>
                  </w:r>
                  <w:r>
                    <w:rPr>
                      <w:rFonts w:hint="eastAsia" w:ascii="Times New Roman" w:hAnsi="Times New Roman"/>
                    </w:rPr>
                    <w:t>40</w:t>
                  </w:r>
                </w:p>
              </w:tc>
              <w:tc>
                <w:tcPr>
                  <w:tcW w:w="1188" w:type="pct"/>
                  <w:vAlign w:val="center"/>
                </w:tcPr>
                <w:p w14:paraId="464AC8F0">
                  <w:pPr>
                    <w:pStyle w:val="134"/>
                    <w:rPr>
                      <w:rFonts w:ascii="Times New Roman" w:hAnsi="Times New Roman"/>
                    </w:rPr>
                  </w:pPr>
                  <w:r>
                    <w:rPr>
                      <w:rFonts w:ascii="Times New Roman" w:hAnsi="Times New Roman"/>
                    </w:rPr>
                    <w:t>mg/L</w:t>
                  </w:r>
                </w:p>
              </w:tc>
            </w:tr>
            <w:tr w14:paraId="089A4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19A1888C">
                  <w:pPr>
                    <w:pStyle w:val="134"/>
                    <w:rPr>
                      <w:rFonts w:ascii="Times New Roman" w:hAnsi="Times New Roman"/>
                    </w:rPr>
                  </w:pPr>
                  <w:r>
                    <w:rPr>
                      <w:rFonts w:ascii="Times New Roman" w:hAnsi="Times New Roman"/>
                    </w:rPr>
                    <w:t>5</w:t>
                  </w:r>
                </w:p>
              </w:tc>
              <w:tc>
                <w:tcPr>
                  <w:tcW w:w="1043" w:type="pct"/>
                  <w:vAlign w:val="center"/>
                </w:tcPr>
                <w:p w14:paraId="5F6471DB">
                  <w:pPr>
                    <w:pStyle w:val="134"/>
                    <w:rPr>
                      <w:rFonts w:ascii="Times New Roman" w:hAnsi="Times New Roman"/>
                    </w:rPr>
                  </w:pPr>
                  <w:r>
                    <w:rPr>
                      <w:rFonts w:hint="eastAsia" w:ascii="Times New Roman" w:hAnsi="Times New Roman"/>
                    </w:rPr>
                    <w:t>BOD</w:t>
                  </w:r>
                  <w:r>
                    <w:rPr>
                      <w:rFonts w:hint="eastAsia" w:ascii="Times New Roman" w:hAnsi="Times New Roman"/>
                      <w:vertAlign w:val="subscript"/>
                    </w:rPr>
                    <w:t>5</w:t>
                  </w:r>
                </w:p>
              </w:tc>
              <w:tc>
                <w:tcPr>
                  <w:tcW w:w="1195" w:type="pct"/>
                  <w:vAlign w:val="center"/>
                </w:tcPr>
                <w:p w14:paraId="7F16E237">
                  <w:pPr>
                    <w:pStyle w:val="134"/>
                    <w:rPr>
                      <w:rFonts w:ascii="Times New Roman" w:hAnsi="Times New Roman"/>
                    </w:rPr>
                  </w:pPr>
                  <w:r>
                    <w:rPr>
                      <w:rFonts w:ascii="Times New Roman" w:hAnsi="Times New Roman"/>
                    </w:rPr>
                    <w:t>≤</w:t>
                  </w:r>
                  <w:r>
                    <w:rPr>
                      <w:rFonts w:hint="eastAsia" w:ascii="Times New Roman" w:hAnsi="Times New Roman"/>
                    </w:rPr>
                    <w:t>2740</w:t>
                  </w:r>
                </w:p>
              </w:tc>
              <w:tc>
                <w:tcPr>
                  <w:tcW w:w="1195" w:type="pct"/>
                  <w:tcBorders>
                    <w:top w:val="single" w:color="auto" w:sz="4" w:space="0"/>
                    <w:bottom w:val="single" w:color="auto" w:sz="4" w:space="0"/>
                  </w:tcBorders>
                  <w:shd w:val="clear" w:color="auto" w:fill="D8D8D8" w:themeFill="background1" w:themeFillShade="D9"/>
                  <w:vAlign w:val="center"/>
                </w:tcPr>
                <w:p w14:paraId="190E9BDA">
                  <w:pPr>
                    <w:pStyle w:val="134"/>
                    <w:rPr>
                      <w:rFonts w:ascii="Times New Roman" w:hAnsi="Times New Roman"/>
                    </w:rPr>
                  </w:pPr>
                  <w:r>
                    <w:rPr>
                      <w:rFonts w:ascii="Times New Roman" w:hAnsi="Times New Roman"/>
                    </w:rPr>
                    <w:t>≤</w:t>
                  </w:r>
                  <w:r>
                    <w:rPr>
                      <w:rFonts w:hint="eastAsia" w:ascii="Times New Roman" w:hAnsi="Times New Roman"/>
                    </w:rPr>
                    <w:t>300</w:t>
                  </w:r>
                </w:p>
              </w:tc>
              <w:tc>
                <w:tcPr>
                  <w:tcW w:w="1188" w:type="pct"/>
                  <w:vAlign w:val="center"/>
                </w:tcPr>
                <w:p w14:paraId="1EB571F1">
                  <w:pPr>
                    <w:pStyle w:val="134"/>
                    <w:rPr>
                      <w:rFonts w:ascii="Times New Roman" w:hAnsi="Times New Roman"/>
                    </w:rPr>
                  </w:pPr>
                  <w:r>
                    <w:rPr>
                      <w:rFonts w:ascii="Times New Roman" w:hAnsi="Times New Roman"/>
                    </w:rPr>
                    <w:t>mg/L</w:t>
                  </w:r>
                </w:p>
              </w:tc>
            </w:tr>
            <w:tr w14:paraId="6A0BA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2755FB22">
                  <w:pPr>
                    <w:pStyle w:val="134"/>
                    <w:rPr>
                      <w:rFonts w:ascii="Times New Roman" w:hAnsi="Times New Roman"/>
                    </w:rPr>
                  </w:pPr>
                  <w:r>
                    <w:rPr>
                      <w:rFonts w:ascii="Times New Roman" w:hAnsi="Times New Roman"/>
                    </w:rPr>
                    <w:t>6</w:t>
                  </w:r>
                </w:p>
              </w:tc>
              <w:tc>
                <w:tcPr>
                  <w:tcW w:w="1043" w:type="pct"/>
                  <w:vAlign w:val="center"/>
                </w:tcPr>
                <w:p w14:paraId="04D1A7EB">
                  <w:pPr>
                    <w:pStyle w:val="134"/>
                    <w:rPr>
                      <w:rFonts w:ascii="Times New Roman" w:hAnsi="Times New Roman"/>
                    </w:rPr>
                  </w:pPr>
                  <w:r>
                    <w:rPr>
                      <w:rFonts w:hint="eastAsia" w:ascii="Times New Roman" w:hAnsi="Times New Roman"/>
                    </w:rPr>
                    <w:t>总磷</w:t>
                  </w:r>
                </w:p>
              </w:tc>
              <w:tc>
                <w:tcPr>
                  <w:tcW w:w="1195" w:type="pct"/>
                  <w:vAlign w:val="center"/>
                </w:tcPr>
                <w:p w14:paraId="2097D8A6">
                  <w:pPr>
                    <w:pStyle w:val="134"/>
                    <w:rPr>
                      <w:rFonts w:ascii="Times New Roman" w:hAnsi="Times New Roman"/>
                    </w:rPr>
                  </w:pPr>
                  <w:r>
                    <w:rPr>
                      <w:rFonts w:ascii="Times New Roman" w:hAnsi="Times New Roman"/>
                    </w:rPr>
                    <w:t>≤</w:t>
                  </w:r>
                  <w:r>
                    <w:rPr>
                      <w:rFonts w:hint="eastAsia" w:ascii="Times New Roman" w:hAnsi="Times New Roman"/>
                    </w:rPr>
                    <w:t>120</w:t>
                  </w:r>
                </w:p>
              </w:tc>
              <w:tc>
                <w:tcPr>
                  <w:tcW w:w="1195" w:type="pct"/>
                  <w:tcBorders>
                    <w:top w:val="single" w:color="auto" w:sz="4" w:space="0"/>
                    <w:bottom w:val="single" w:color="auto" w:sz="4" w:space="0"/>
                  </w:tcBorders>
                  <w:shd w:val="clear" w:color="auto" w:fill="D8D8D8" w:themeFill="background1" w:themeFillShade="D9"/>
                  <w:vAlign w:val="center"/>
                </w:tcPr>
                <w:p w14:paraId="5B5082BA">
                  <w:pPr>
                    <w:pStyle w:val="134"/>
                    <w:rPr>
                      <w:rFonts w:ascii="Times New Roman" w:hAnsi="Times New Roman"/>
                    </w:rPr>
                  </w:pPr>
                  <w:r>
                    <w:rPr>
                      <w:rFonts w:ascii="Times New Roman" w:hAnsi="Times New Roman"/>
                    </w:rPr>
                    <w:t>≤</w:t>
                  </w:r>
                  <w:r>
                    <w:rPr>
                      <w:rFonts w:hint="eastAsia" w:ascii="Times New Roman" w:hAnsi="Times New Roman"/>
                    </w:rPr>
                    <w:t>35</w:t>
                  </w:r>
                </w:p>
              </w:tc>
              <w:tc>
                <w:tcPr>
                  <w:tcW w:w="1188" w:type="pct"/>
                  <w:vAlign w:val="center"/>
                </w:tcPr>
                <w:p w14:paraId="4D0CC0AE">
                  <w:pPr>
                    <w:pStyle w:val="134"/>
                    <w:rPr>
                      <w:rFonts w:ascii="Times New Roman" w:hAnsi="Times New Roman"/>
                    </w:rPr>
                  </w:pPr>
                  <w:r>
                    <w:rPr>
                      <w:rFonts w:ascii="Times New Roman" w:hAnsi="Times New Roman"/>
                    </w:rPr>
                    <w:t>mg/L</w:t>
                  </w:r>
                </w:p>
              </w:tc>
            </w:tr>
            <w:tr w14:paraId="5764E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515DA9CB">
                  <w:pPr>
                    <w:pStyle w:val="134"/>
                    <w:rPr>
                      <w:rFonts w:ascii="Times New Roman" w:hAnsi="Times New Roman"/>
                    </w:rPr>
                  </w:pPr>
                  <w:r>
                    <w:rPr>
                      <w:rFonts w:hint="eastAsia" w:ascii="Times New Roman" w:hAnsi="Times New Roman"/>
                    </w:rPr>
                    <w:t>7</w:t>
                  </w:r>
                </w:p>
              </w:tc>
              <w:tc>
                <w:tcPr>
                  <w:tcW w:w="1043" w:type="pct"/>
                  <w:vAlign w:val="center"/>
                </w:tcPr>
                <w:p w14:paraId="5194E5A5">
                  <w:pPr>
                    <w:pStyle w:val="134"/>
                    <w:rPr>
                      <w:rFonts w:ascii="Times New Roman" w:hAnsi="Times New Roman"/>
                    </w:rPr>
                  </w:pPr>
                  <w:r>
                    <w:rPr>
                      <w:rFonts w:hint="eastAsia" w:ascii="Times New Roman" w:hAnsi="Times New Roman"/>
                    </w:rPr>
                    <w:t>石油类</w:t>
                  </w:r>
                </w:p>
              </w:tc>
              <w:tc>
                <w:tcPr>
                  <w:tcW w:w="1195" w:type="pct"/>
                  <w:vAlign w:val="center"/>
                </w:tcPr>
                <w:p w14:paraId="1798C504">
                  <w:pPr>
                    <w:pStyle w:val="134"/>
                    <w:rPr>
                      <w:rFonts w:ascii="Times New Roman" w:hAnsi="Times New Roman"/>
                    </w:rPr>
                  </w:pPr>
                  <w:r>
                    <w:rPr>
                      <w:rFonts w:ascii="Times New Roman" w:hAnsi="Times New Roman"/>
                    </w:rPr>
                    <w:t>≤</w:t>
                  </w:r>
                  <w:r>
                    <w:rPr>
                      <w:rFonts w:hint="eastAsia" w:ascii="Times New Roman" w:hAnsi="Times New Roman"/>
                    </w:rPr>
                    <w:t>100</w:t>
                  </w:r>
                </w:p>
              </w:tc>
              <w:tc>
                <w:tcPr>
                  <w:tcW w:w="1195" w:type="pct"/>
                  <w:tcBorders>
                    <w:top w:val="single" w:color="auto" w:sz="4" w:space="0"/>
                    <w:bottom w:val="single" w:color="auto" w:sz="4" w:space="0"/>
                  </w:tcBorders>
                  <w:shd w:val="clear" w:color="auto" w:fill="D8D8D8" w:themeFill="background1" w:themeFillShade="D9"/>
                  <w:vAlign w:val="center"/>
                </w:tcPr>
                <w:p w14:paraId="1B94C82A">
                  <w:pPr>
                    <w:pStyle w:val="134"/>
                    <w:rPr>
                      <w:rFonts w:ascii="Times New Roman" w:hAnsi="Times New Roman"/>
                    </w:rPr>
                  </w:pPr>
                  <w:r>
                    <w:rPr>
                      <w:rFonts w:ascii="Times New Roman" w:hAnsi="Times New Roman"/>
                    </w:rPr>
                    <w:t>≤</w:t>
                  </w:r>
                  <w:r>
                    <w:rPr>
                      <w:rFonts w:hint="eastAsia" w:ascii="Times New Roman" w:hAnsi="Times New Roman"/>
                    </w:rPr>
                    <w:t>50</w:t>
                  </w:r>
                </w:p>
              </w:tc>
              <w:tc>
                <w:tcPr>
                  <w:tcW w:w="1188" w:type="pct"/>
                  <w:vAlign w:val="center"/>
                </w:tcPr>
                <w:p w14:paraId="74150DD4">
                  <w:pPr>
                    <w:pStyle w:val="134"/>
                    <w:rPr>
                      <w:rFonts w:ascii="Times New Roman" w:hAnsi="Times New Roman"/>
                    </w:rPr>
                  </w:pPr>
                  <w:r>
                    <w:rPr>
                      <w:rFonts w:ascii="Times New Roman" w:hAnsi="Times New Roman"/>
                    </w:rPr>
                    <w:t>mg/L</w:t>
                  </w:r>
                </w:p>
              </w:tc>
            </w:tr>
            <w:tr w14:paraId="0AE58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380" w:type="pct"/>
                  <w:vAlign w:val="center"/>
                </w:tcPr>
                <w:p w14:paraId="4B2A29D3">
                  <w:pPr>
                    <w:pStyle w:val="134"/>
                    <w:rPr>
                      <w:rFonts w:ascii="Times New Roman" w:hAnsi="Times New Roman"/>
                    </w:rPr>
                  </w:pPr>
                  <w:r>
                    <w:rPr>
                      <w:rFonts w:hint="eastAsia" w:ascii="Times New Roman" w:hAnsi="Times New Roman"/>
                    </w:rPr>
                    <w:t>8</w:t>
                  </w:r>
                </w:p>
              </w:tc>
              <w:tc>
                <w:tcPr>
                  <w:tcW w:w="1043" w:type="pct"/>
                  <w:vAlign w:val="center"/>
                </w:tcPr>
                <w:p w14:paraId="30C35AF9">
                  <w:pPr>
                    <w:pStyle w:val="134"/>
                    <w:rPr>
                      <w:rFonts w:ascii="Times New Roman" w:hAnsi="Times New Roman"/>
                    </w:rPr>
                  </w:pPr>
                  <w:r>
                    <w:rPr>
                      <w:rFonts w:hint="eastAsia" w:ascii="Times New Roman" w:hAnsi="Times New Roman"/>
                    </w:rPr>
                    <w:t>硫化物</w:t>
                  </w:r>
                </w:p>
              </w:tc>
              <w:tc>
                <w:tcPr>
                  <w:tcW w:w="1195" w:type="pct"/>
                  <w:vAlign w:val="center"/>
                </w:tcPr>
                <w:p w14:paraId="0E9A200A">
                  <w:pPr>
                    <w:pStyle w:val="134"/>
                    <w:rPr>
                      <w:rFonts w:ascii="Times New Roman" w:hAnsi="Times New Roman"/>
                    </w:rPr>
                  </w:pPr>
                  <w:r>
                    <w:rPr>
                      <w:rFonts w:hint="eastAsia" w:ascii="Times New Roman" w:hAnsi="Times New Roman"/>
                    </w:rPr>
                    <w:t>/</w:t>
                  </w:r>
                </w:p>
              </w:tc>
              <w:tc>
                <w:tcPr>
                  <w:tcW w:w="1195" w:type="pct"/>
                  <w:tcBorders>
                    <w:top w:val="single" w:color="auto" w:sz="4" w:space="0"/>
                    <w:bottom w:val="single" w:color="auto" w:sz="12" w:space="0"/>
                  </w:tcBorders>
                  <w:shd w:val="clear" w:color="auto" w:fill="D8D8D8" w:themeFill="background1" w:themeFillShade="D9"/>
                  <w:vAlign w:val="center"/>
                </w:tcPr>
                <w:p w14:paraId="324360AA">
                  <w:pPr>
                    <w:pStyle w:val="134"/>
                    <w:rPr>
                      <w:rFonts w:ascii="Times New Roman" w:hAnsi="Times New Roman"/>
                    </w:rPr>
                  </w:pPr>
                  <w:r>
                    <w:rPr>
                      <w:rFonts w:ascii="Times New Roman" w:hAnsi="Times New Roman"/>
                    </w:rPr>
                    <w:t>≤</w:t>
                  </w:r>
                  <w:r>
                    <w:rPr>
                      <w:rFonts w:hint="eastAsia" w:ascii="Times New Roman" w:hAnsi="Times New Roman"/>
                    </w:rPr>
                    <w:t>1</w:t>
                  </w:r>
                </w:p>
              </w:tc>
              <w:tc>
                <w:tcPr>
                  <w:tcW w:w="1188" w:type="pct"/>
                  <w:vAlign w:val="center"/>
                </w:tcPr>
                <w:p w14:paraId="5D965681">
                  <w:pPr>
                    <w:pStyle w:val="134"/>
                    <w:rPr>
                      <w:rFonts w:ascii="Times New Roman" w:hAnsi="Times New Roman"/>
                    </w:rPr>
                  </w:pPr>
                  <w:r>
                    <w:rPr>
                      <w:rFonts w:ascii="Times New Roman" w:hAnsi="Times New Roman"/>
                    </w:rPr>
                    <w:t>mg/L</w:t>
                  </w:r>
                </w:p>
              </w:tc>
            </w:tr>
          </w:tbl>
          <w:p w14:paraId="0D10E26B">
            <w:pPr>
              <w:spacing w:line="240" w:lineRule="auto"/>
              <w:ind w:firstLine="0" w:firstLineChars="0"/>
              <w:jc w:val="center"/>
              <w:rPr>
                <w:b/>
                <w:szCs w:val="20"/>
              </w:rPr>
            </w:pPr>
          </w:p>
          <w:p w14:paraId="7F37EAC5">
            <w:pPr>
              <w:pStyle w:val="8"/>
              <w:tabs>
                <w:tab w:val="left" w:pos="5400"/>
              </w:tabs>
              <w:spacing w:before="120"/>
              <w:rPr>
                <w:kern w:val="2"/>
                <w:szCs w:val="24"/>
                <w:lang w:val="en-US" w:eastAsia="zh-CN"/>
              </w:rPr>
            </w:pPr>
            <w:r>
              <w:rPr>
                <w:kern w:val="2"/>
                <w:szCs w:val="24"/>
                <w:lang w:val="en-US" w:eastAsia="zh-CN"/>
              </w:rPr>
              <w:t>3.4.3厂界噪声排放标准</w:t>
            </w:r>
          </w:p>
          <w:p w14:paraId="7D0AFB5C">
            <w:pPr>
              <w:pStyle w:val="117"/>
              <w:ind w:firstLine="480"/>
              <w:rPr>
                <w:snapToGrid w:val="0"/>
                <w:lang w:val="en-US" w:eastAsia="zh-CN"/>
              </w:rPr>
            </w:pPr>
            <w:r>
              <w:rPr>
                <w:snapToGrid w:val="0"/>
                <w:lang w:val="en-US" w:eastAsia="zh-CN"/>
              </w:rPr>
              <w:t>（1）施工期：项目施工期场界噪声执行《建筑施工噪声排放标准》（GB12523-2025）。</w:t>
            </w:r>
          </w:p>
          <w:p w14:paraId="036D5E20">
            <w:pPr>
              <w:pStyle w:val="117"/>
              <w:ind w:firstLine="480"/>
              <w:rPr>
                <w:snapToGrid w:val="0"/>
                <w:kern w:val="0"/>
                <w:lang w:val="en-US" w:eastAsia="zh-CN"/>
              </w:rPr>
            </w:pPr>
            <w:r>
              <w:rPr>
                <w:snapToGrid w:val="0"/>
                <w:kern w:val="0"/>
                <w:lang w:val="en-US" w:eastAsia="zh-CN"/>
              </w:rPr>
              <w:t>（2）运营期：项目厂界噪声执行《工业企业厂界环境噪声排放标准》（GB12348-2008）中3类标准。</w:t>
            </w:r>
          </w:p>
          <w:p w14:paraId="35563310">
            <w:pPr>
              <w:spacing w:line="240" w:lineRule="auto"/>
              <w:ind w:firstLine="0" w:firstLineChars="0"/>
              <w:jc w:val="center"/>
              <w:rPr>
                <w:b/>
                <w:szCs w:val="20"/>
              </w:rPr>
            </w:pPr>
            <w:bookmarkStart w:id="32" w:name="_Ref531789061"/>
            <w:r>
              <w:rPr>
                <w:b/>
                <w:szCs w:val="20"/>
              </w:rPr>
              <w:t>表</w:t>
            </w:r>
            <w:bookmarkEnd w:id="32"/>
            <w:r>
              <w:rPr>
                <w:rFonts w:hint="eastAsia"/>
                <w:b/>
                <w:szCs w:val="20"/>
              </w:rPr>
              <w:t>3.4-9</w:t>
            </w:r>
            <w:r>
              <w:rPr>
                <w:b/>
                <w:szCs w:val="20"/>
              </w:rPr>
              <w:t>建筑施工场界环境噪声排放限值单位：dB（A）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067"/>
              <w:gridCol w:w="4068"/>
            </w:tblGrid>
            <w:tr w14:paraId="65027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00" w:type="pct"/>
                  <w:vAlign w:val="center"/>
                </w:tcPr>
                <w:p w14:paraId="578CA2E5">
                  <w:pPr>
                    <w:tabs>
                      <w:tab w:val="left" w:pos="0"/>
                    </w:tabs>
                    <w:adjustRightInd w:val="0"/>
                    <w:snapToGrid w:val="0"/>
                    <w:spacing w:line="240" w:lineRule="auto"/>
                    <w:ind w:firstLine="0" w:firstLineChars="0"/>
                    <w:jc w:val="center"/>
                    <w:rPr>
                      <w:snapToGrid w:val="0"/>
                      <w:sz w:val="21"/>
                      <w:szCs w:val="21"/>
                    </w:rPr>
                  </w:pPr>
                  <w:r>
                    <w:rPr>
                      <w:snapToGrid w:val="0"/>
                      <w:sz w:val="21"/>
                      <w:szCs w:val="21"/>
                    </w:rPr>
                    <w:t>昼间</w:t>
                  </w:r>
                </w:p>
              </w:tc>
              <w:tc>
                <w:tcPr>
                  <w:tcW w:w="2500" w:type="pct"/>
                  <w:vAlign w:val="center"/>
                </w:tcPr>
                <w:p w14:paraId="0F6E93A4">
                  <w:pPr>
                    <w:tabs>
                      <w:tab w:val="left" w:pos="0"/>
                    </w:tabs>
                    <w:adjustRightInd w:val="0"/>
                    <w:snapToGrid w:val="0"/>
                    <w:spacing w:line="240" w:lineRule="auto"/>
                    <w:ind w:firstLine="0" w:firstLineChars="0"/>
                    <w:jc w:val="center"/>
                    <w:rPr>
                      <w:snapToGrid w:val="0"/>
                      <w:sz w:val="21"/>
                      <w:szCs w:val="21"/>
                    </w:rPr>
                  </w:pPr>
                  <w:r>
                    <w:rPr>
                      <w:snapToGrid w:val="0"/>
                      <w:sz w:val="21"/>
                      <w:szCs w:val="21"/>
                    </w:rPr>
                    <w:t>夜间</w:t>
                  </w:r>
                </w:p>
              </w:tc>
            </w:tr>
            <w:tr w14:paraId="49A83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00" w:type="pct"/>
                  <w:vAlign w:val="center"/>
                </w:tcPr>
                <w:p w14:paraId="4AAF1123">
                  <w:pPr>
                    <w:tabs>
                      <w:tab w:val="left" w:pos="0"/>
                    </w:tabs>
                    <w:adjustRightInd w:val="0"/>
                    <w:snapToGrid w:val="0"/>
                    <w:spacing w:line="240" w:lineRule="auto"/>
                    <w:ind w:firstLine="0" w:firstLineChars="0"/>
                    <w:jc w:val="center"/>
                    <w:rPr>
                      <w:snapToGrid w:val="0"/>
                      <w:sz w:val="21"/>
                      <w:szCs w:val="21"/>
                    </w:rPr>
                  </w:pPr>
                  <w:r>
                    <w:rPr>
                      <w:snapToGrid w:val="0"/>
                      <w:sz w:val="21"/>
                      <w:szCs w:val="21"/>
                    </w:rPr>
                    <w:t>70</w:t>
                  </w:r>
                </w:p>
              </w:tc>
              <w:tc>
                <w:tcPr>
                  <w:tcW w:w="2500" w:type="pct"/>
                  <w:vAlign w:val="center"/>
                </w:tcPr>
                <w:p w14:paraId="0B3C9416">
                  <w:pPr>
                    <w:tabs>
                      <w:tab w:val="left" w:pos="0"/>
                    </w:tabs>
                    <w:adjustRightInd w:val="0"/>
                    <w:snapToGrid w:val="0"/>
                    <w:spacing w:line="240" w:lineRule="auto"/>
                    <w:ind w:firstLine="0" w:firstLineChars="0"/>
                    <w:jc w:val="center"/>
                    <w:rPr>
                      <w:snapToGrid w:val="0"/>
                      <w:sz w:val="21"/>
                      <w:szCs w:val="21"/>
                    </w:rPr>
                  </w:pPr>
                  <w:r>
                    <w:rPr>
                      <w:snapToGrid w:val="0"/>
                      <w:sz w:val="21"/>
                      <w:szCs w:val="21"/>
                    </w:rPr>
                    <w:t>55</w:t>
                  </w:r>
                </w:p>
              </w:tc>
            </w:tr>
          </w:tbl>
          <w:p w14:paraId="57FCDE68">
            <w:pPr>
              <w:spacing w:line="240" w:lineRule="auto"/>
              <w:ind w:firstLine="0" w:firstLineChars="0"/>
              <w:jc w:val="center"/>
              <w:rPr>
                <w:b/>
                <w:szCs w:val="20"/>
              </w:rPr>
            </w:pPr>
            <w:bookmarkStart w:id="33" w:name="_Ref531789071"/>
            <w:r>
              <w:rPr>
                <w:b/>
                <w:szCs w:val="20"/>
              </w:rPr>
              <w:t>表</w:t>
            </w:r>
            <w:bookmarkEnd w:id="33"/>
            <w:r>
              <w:rPr>
                <w:rFonts w:hint="eastAsia"/>
                <w:b/>
                <w:szCs w:val="20"/>
              </w:rPr>
              <w:t>3.4-10</w:t>
            </w:r>
            <w:r>
              <w:rPr>
                <w:b/>
                <w:szCs w:val="20"/>
              </w:rPr>
              <w:t>工业企业厂界环境噪声排放标准单位：dB（A）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11"/>
              <w:gridCol w:w="2712"/>
              <w:gridCol w:w="2712"/>
            </w:tblGrid>
            <w:tr w14:paraId="3F465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66" w:type="pct"/>
                  <w:vAlign w:val="center"/>
                </w:tcPr>
                <w:p w14:paraId="1004550A">
                  <w:pPr>
                    <w:tabs>
                      <w:tab w:val="left" w:pos="0"/>
                    </w:tabs>
                    <w:adjustRightInd w:val="0"/>
                    <w:snapToGrid w:val="0"/>
                    <w:spacing w:line="240" w:lineRule="auto"/>
                    <w:ind w:firstLine="0" w:firstLineChars="0"/>
                    <w:jc w:val="center"/>
                    <w:rPr>
                      <w:snapToGrid w:val="0"/>
                      <w:sz w:val="21"/>
                      <w:szCs w:val="21"/>
                    </w:rPr>
                  </w:pPr>
                  <w:r>
                    <w:rPr>
                      <w:snapToGrid w:val="0"/>
                      <w:sz w:val="21"/>
                      <w:szCs w:val="21"/>
                    </w:rPr>
                    <w:t>厂界外声环境功能区类别</w:t>
                  </w:r>
                </w:p>
              </w:tc>
              <w:tc>
                <w:tcPr>
                  <w:tcW w:w="1667" w:type="pct"/>
                  <w:vAlign w:val="center"/>
                </w:tcPr>
                <w:p w14:paraId="35E8AF08">
                  <w:pPr>
                    <w:tabs>
                      <w:tab w:val="left" w:pos="0"/>
                    </w:tabs>
                    <w:adjustRightInd w:val="0"/>
                    <w:snapToGrid w:val="0"/>
                    <w:spacing w:line="240" w:lineRule="auto"/>
                    <w:ind w:firstLine="0" w:firstLineChars="0"/>
                    <w:jc w:val="center"/>
                    <w:rPr>
                      <w:snapToGrid w:val="0"/>
                      <w:sz w:val="21"/>
                      <w:szCs w:val="21"/>
                    </w:rPr>
                  </w:pPr>
                  <w:r>
                    <w:rPr>
                      <w:snapToGrid w:val="0"/>
                      <w:sz w:val="21"/>
                      <w:szCs w:val="21"/>
                    </w:rPr>
                    <w:t>昼间</w:t>
                  </w:r>
                </w:p>
              </w:tc>
              <w:tc>
                <w:tcPr>
                  <w:tcW w:w="1667" w:type="pct"/>
                  <w:vAlign w:val="center"/>
                </w:tcPr>
                <w:p w14:paraId="2036CF52">
                  <w:pPr>
                    <w:tabs>
                      <w:tab w:val="left" w:pos="0"/>
                    </w:tabs>
                    <w:adjustRightInd w:val="0"/>
                    <w:snapToGrid w:val="0"/>
                    <w:spacing w:line="240" w:lineRule="auto"/>
                    <w:ind w:firstLine="0" w:firstLineChars="0"/>
                    <w:jc w:val="center"/>
                    <w:rPr>
                      <w:snapToGrid w:val="0"/>
                      <w:sz w:val="21"/>
                      <w:szCs w:val="21"/>
                    </w:rPr>
                  </w:pPr>
                  <w:r>
                    <w:rPr>
                      <w:snapToGrid w:val="0"/>
                      <w:sz w:val="21"/>
                      <w:szCs w:val="21"/>
                    </w:rPr>
                    <w:t>夜间</w:t>
                  </w:r>
                </w:p>
              </w:tc>
            </w:tr>
            <w:tr w14:paraId="59E52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666" w:type="pct"/>
                  <w:vAlign w:val="center"/>
                </w:tcPr>
                <w:p w14:paraId="2A69AA34">
                  <w:pPr>
                    <w:pStyle w:val="135"/>
                    <w:adjustRightInd w:val="0"/>
                    <w:rPr>
                      <w:kern w:val="2"/>
                      <w:sz w:val="21"/>
                      <w:szCs w:val="21"/>
                      <w:lang w:val="en-US" w:eastAsia="zh-CN"/>
                    </w:rPr>
                  </w:pPr>
                  <w:r>
                    <w:rPr>
                      <w:kern w:val="2"/>
                      <w:sz w:val="21"/>
                      <w:szCs w:val="21"/>
                      <w:lang w:val="en-US" w:eastAsia="zh-CN"/>
                    </w:rPr>
                    <w:t>3</w:t>
                  </w:r>
                </w:p>
              </w:tc>
              <w:tc>
                <w:tcPr>
                  <w:tcW w:w="1667" w:type="pct"/>
                  <w:vAlign w:val="center"/>
                </w:tcPr>
                <w:p w14:paraId="0F306CCE">
                  <w:pPr>
                    <w:pStyle w:val="135"/>
                    <w:adjustRightInd w:val="0"/>
                    <w:rPr>
                      <w:kern w:val="2"/>
                      <w:sz w:val="21"/>
                      <w:szCs w:val="21"/>
                      <w:lang w:val="en-US" w:eastAsia="zh-CN"/>
                    </w:rPr>
                  </w:pPr>
                  <w:r>
                    <w:rPr>
                      <w:kern w:val="2"/>
                      <w:sz w:val="21"/>
                      <w:szCs w:val="21"/>
                      <w:lang w:val="en-US" w:eastAsia="zh-CN"/>
                    </w:rPr>
                    <w:t>65</w:t>
                  </w:r>
                </w:p>
              </w:tc>
              <w:tc>
                <w:tcPr>
                  <w:tcW w:w="1667" w:type="pct"/>
                  <w:vAlign w:val="center"/>
                </w:tcPr>
                <w:p w14:paraId="5711D7B7">
                  <w:pPr>
                    <w:pStyle w:val="135"/>
                    <w:adjustRightInd w:val="0"/>
                    <w:rPr>
                      <w:kern w:val="2"/>
                      <w:sz w:val="21"/>
                      <w:szCs w:val="21"/>
                      <w:lang w:val="en-US" w:eastAsia="zh-CN"/>
                    </w:rPr>
                  </w:pPr>
                  <w:r>
                    <w:rPr>
                      <w:kern w:val="2"/>
                      <w:sz w:val="21"/>
                      <w:szCs w:val="21"/>
                      <w:lang w:val="en-US" w:eastAsia="zh-CN"/>
                    </w:rPr>
                    <w:t>55</w:t>
                  </w:r>
                </w:p>
              </w:tc>
            </w:tr>
          </w:tbl>
          <w:p w14:paraId="03B27329">
            <w:pPr>
              <w:pStyle w:val="8"/>
              <w:tabs>
                <w:tab w:val="left" w:pos="5400"/>
              </w:tabs>
              <w:spacing w:before="120"/>
              <w:rPr>
                <w:kern w:val="2"/>
                <w:szCs w:val="24"/>
                <w:lang w:val="en-US" w:eastAsia="zh-CN"/>
              </w:rPr>
            </w:pPr>
            <w:r>
              <w:rPr>
                <w:kern w:val="2"/>
                <w:szCs w:val="24"/>
                <w:lang w:val="en-US" w:eastAsia="zh-CN"/>
              </w:rPr>
              <w:t>3.4.4固废排放标准</w:t>
            </w:r>
          </w:p>
          <w:p w14:paraId="0183A010">
            <w:pPr>
              <w:tabs>
                <w:tab w:val="left" w:pos="1080"/>
                <w:tab w:val="left" w:pos="5400"/>
              </w:tabs>
              <w:ind w:firstLine="480"/>
            </w:pPr>
            <w:r>
              <w:t>一般工业固废按《一般工业固体废物贮存和填埋污染控制标准》（GB18599-2020）的要求处置。危险固废按照《危险废物贮存污染控制标准》（GB18597-2023）的要求处置；危险固废外运处置执行《危险废物转移管理办法》。生活垃圾应按照《城市环境卫生设施规划规范</w:t>
            </w:r>
            <w:r>
              <w:rPr>
                <w:rFonts w:hint="eastAsia"/>
              </w:rPr>
              <w:t>标准</w:t>
            </w:r>
            <w:r>
              <w:t>》（GB</w:t>
            </w:r>
            <w:r>
              <w:rPr>
                <w:rFonts w:hint="eastAsia"/>
              </w:rPr>
              <w:t>/T</w:t>
            </w:r>
            <w:r>
              <w:t>50337-20</w:t>
            </w:r>
            <w:r>
              <w:rPr>
                <w:rFonts w:hint="eastAsia"/>
              </w:rPr>
              <w:t>18</w:t>
            </w:r>
            <w:r>
              <w:t>）中的要求进行综合利用的处置。</w:t>
            </w:r>
          </w:p>
        </w:tc>
      </w:tr>
      <w:tr w14:paraId="0F6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00321BF8">
            <w:pPr>
              <w:adjustRightInd w:val="0"/>
              <w:snapToGrid w:val="0"/>
              <w:ind w:firstLine="480"/>
              <w:jc w:val="center"/>
            </w:pPr>
            <w:r>
              <w:rPr>
                <w:rFonts w:hint="eastAsia" w:ascii="宋体" w:hAnsi="宋体" w:cs="宋体"/>
                <w:kern w:val="0"/>
                <w:szCs w:val="21"/>
              </w:rPr>
              <w:t>总总量控制指标</w:t>
            </w:r>
          </w:p>
        </w:tc>
        <w:tc>
          <w:tcPr>
            <w:tcW w:w="8831" w:type="dxa"/>
            <w:vAlign w:val="center"/>
          </w:tcPr>
          <w:p w14:paraId="7F0C1D3E">
            <w:pPr>
              <w:pStyle w:val="7"/>
              <w:tabs>
                <w:tab w:val="left" w:pos="5400"/>
              </w:tabs>
              <w:spacing w:before="120"/>
            </w:pPr>
            <w:r>
              <w:rPr>
                <w:rFonts w:hint="eastAsia"/>
              </w:rPr>
              <w:t>3.5总量控制指标</w:t>
            </w:r>
          </w:p>
          <w:p w14:paraId="1A219A7C">
            <w:pPr>
              <w:pStyle w:val="8"/>
              <w:tabs>
                <w:tab w:val="left" w:pos="5400"/>
              </w:tabs>
              <w:spacing w:before="120"/>
              <w:rPr>
                <w:kern w:val="2"/>
                <w:szCs w:val="24"/>
                <w:lang w:val="en-US" w:eastAsia="zh-CN"/>
              </w:rPr>
            </w:pPr>
            <w:r>
              <w:rPr>
                <w:kern w:val="2"/>
                <w:szCs w:val="24"/>
                <w:lang w:val="en-US" w:eastAsia="zh-CN"/>
              </w:rPr>
              <w:t>3.</w:t>
            </w:r>
            <w:r>
              <w:rPr>
                <w:rFonts w:hint="eastAsia"/>
                <w:kern w:val="2"/>
                <w:szCs w:val="24"/>
                <w:lang w:val="en-US" w:eastAsia="zh-CN"/>
              </w:rPr>
              <w:t>5</w:t>
            </w:r>
            <w:r>
              <w:rPr>
                <w:kern w:val="2"/>
                <w:szCs w:val="24"/>
                <w:lang w:val="en-US" w:eastAsia="zh-CN"/>
              </w:rPr>
              <w:t>.1总量控制因子</w:t>
            </w:r>
          </w:p>
          <w:p w14:paraId="4ADFC962">
            <w:pPr>
              <w:ind w:firstLine="480"/>
            </w:pPr>
            <w:r>
              <w:t>根据《福建省人民政府关于推进排污权有偿使用和交易工作的意见（试行）》（闽政[2014]24号）、《福建省环保厅关于贯彻落实&lt;推进排污权有偿使用和交易工作的意见（</w:t>
            </w:r>
            <w:bookmarkStart w:id="71" w:name="_GoBack"/>
            <w:r>
              <w:t>试行）&gt;的通知</w:t>
            </w:r>
            <w:bookmarkEnd w:id="71"/>
            <w:r>
              <w:t>》（闽环发[2014]9号）、《福建省环保厅关于环评审批中落实排污权交易工作要求的通知》（闽环保评[2014]43号）</w:t>
            </w:r>
            <w:r>
              <w:rPr>
                <w:rFonts w:hint="eastAsia"/>
              </w:rPr>
              <w:t>、《福州市生态环境局关于印发福州市大气污染联防控联治工作方案的通知》（榕环保综[2018]386号）</w:t>
            </w:r>
            <w:r>
              <w:t>等有关文件要求，需进行排放总量控制的污染物为COD、NH</w:t>
            </w:r>
            <w:r>
              <w:rPr>
                <w:vertAlign w:val="subscript"/>
              </w:rPr>
              <w:t>3</w:t>
            </w:r>
            <w:r>
              <w:t>-N、SO</w:t>
            </w:r>
            <w:r>
              <w:rPr>
                <w:vertAlign w:val="subscript"/>
              </w:rPr>
              <w:t>2</w:t>
            </w:r>
            <w:r>
              <w:t>、NO</w:t>
            </w:r>
            <w:r>
              <w:rPr>
                <w:vertAlign w:val="subscript"/>
              </w:rPr>
              <w:t>X</w:t>
            </w:r>
            <w:r>
              <w:t>、VOC</w:t>
            </w:r>
            <w:r>
              <w:rPr>
                <w:vertAlign w:val="subscript"/>
              </w:rPr>
              <w:t>S</w:t>
            </w:r>
            <w:r>
              <w:t>。</w:t>
            </w:r>
          </w:p>
          <w:p w14:paraId="1F3CEB28">
            <w:pPr>
              <w:pStyle w:val="8"/>
              <w:tabs>
                <w:tab w:val="left" w:pos="5400"/>
              </w:tabs>
              <w:spacing w:before="120"/>
              <w:rPr>
                <w:kern w:val="2"/>
                <w:szCs w:val="24"/>
                <w:lang w:val="en-US" w:eastAsia="zh-CN"/>
              </w:rPr>
            </w:pPr>
            <w:r>
              <w:rPr>
                <w:kern w:val="2"/>
                <w:szCs w:val="24"/>
                <w:lang w:val="en-US" w:eastAsia="zh-CN"/>
              </w:rPr>
              <w:t>3.</w:t>
            </w:r>
            <w:r>
              <w:rPr>
                <w:rFonts w:hint="eastAsia"/>
                <w:kern w:val="2"/>
                <w:szCs w:val="24"/>
                <w:lang w:val="en-US" w:eastAsia="zh-CN"/>
              </w:rPr>
              <w:t>5</w:t>
            </w:r>
            <w:r>
              <w:rPr>
                <w:kern w:val="2"/>
                <w:szCs w:val="24"/>
                <w:lang w:val="en-US" w:eastAsia="zh-CN"/>
              </w:rPr>
              <w:t>.2污染物总量控制指标</w:t>
            </w:r>
          </w:p>
          <w:p w14:paraId="0DDCF597">
            <w:pPr>
              <w:pStyle w:val="16"/>
              <w:spacing w:after="0"/>
              <w:ind w:firstLine="480"/>
              <w:rPr>
                <w:szCs w:val="22"/>
              </w:rPr>
            </w:pPr>
            <w:r>
              <w:rPr>
                <w:rFonts w:hint="eastAsia"/>
                <w:szCs w:val="22"/>
              </w:rPr>
              <w:t>扩建项目不产生</w:t>
            </w:r>
            <w:r>
              <w:rPr>
                <w:szCs w:val="22"/>
              </w:rPr>
              <w:t>SO</w:t>
            </w:r>
            <w:r>
              <w:rPr>
                <w:szCs w:val="22"/>
                <w:vertAlign w:val="subscript"/>
              </w:rPr>
              <w:t>2</w:t>
            </w:r>
            <w:r>
              <w:rPr>
                <w:szCs w:val="22"/>
              </w:rPr>
              <w:t>、NOx</w:t>
            </w:r>
            <w:r>
              <w:rPr>
                <w:rFonts w:hint="eastAsia"/>
                <w:szCs w:val="22"/>
              </w:rPr>
              <w:t>，</w:t>
            </w:r>
            <w:r>
              <w:rPr>
                <w:rFonts w:hint="eastAsia"/>
              </w:rPr>
              <w:t>扩建项目</w:t>
            </w:r>
            <w:r>
              <w:t>生活污水经预处理后与BDO/MA储罐废气水洗/碱洗废水、初期雨水、地面冲洗废水</w:t>
            </w:r>
            <w:r>
              <w:rPr>
                <w:rFonts w:hint="eastAsia"/>
              </w:rPr>
              <w:t>送至</w:t>
            </w:r>
            <w:r>
              <w:t>福州万景石化有限公司污水处理站低浓度废水处理段</w:t>
            </w:r>
            <w:r>
              <w:rPr>
                <w:rFonts w:hint="eastAsia"/>
              </w:rPr>
              <w:t>处理达标后，</w:t>
            </w:r>
            <w:r>
              <w:t>排入江阴污水处理厂处理，项目排放的COD、氨氮总量以江阴污水处理厂污水排放标准进行核算（江阴污水处理厂尾水处理执行《城镇污水处理厂污染物排放标准》（GB18918-2002）一级A标准（COD≤50mg/L，NH</w:t>
            </w:r>
            <w:r>
              <w:rPr>
                <w:vertAlign w:val="subscript"/>
              </w:rPr>
              <w:t>3</w:t>
            </w:r>
            <w:r>
              <w:t>-N≤5mg/L）。项目排放的COD、氨氮总量以《城镇污水处理厂污染物排放标准》（GB18918-2002）一级A标准（COD≤50mg/L，NH</w:t>
            </w:r>
            <w:r>
              <w:rPr>
                <w:vertAlign w:val="subscript"/>
              </w:rPr>
              <w:t>3</w:t>
            </w:r>
            <w:r>
              <w:t>-N≤5mg/L）进行核算。排入环境水体的最终生产废水排放量为：废水量29027.5t/a，</w:t>
            </w:r>
            <w:r>
              <w:rPr>
                <w:rFonts w:hint="eastAsia"/>
              </w:rPr>
              <w:t>COD为</w:t>
            </w:r>
            <w:r>
              <w:t>1.4</w:t>
            </w:r>
            <w:r>
              <w:rPr>
                <w:rFonts w:hint="eastAsia"/>
              </w:rPr>
              <w:t>5</w:t>
            </w:r>
            <w:r>
              <w:t>1</w:t>
            </w:r>
            <w:r>
              <w:rPr>
                <w:rFonts w:hint="eastAsia"/>
              </w:rPr>
              <w:t>t/a，氨氮为</w:t>
            </w:r>
            <w:r>
              <w:t>0.145</w:t>
            </w:r>
            <w:r>
              <w:rPr>
                <w:rFonts w:hint="eastAsia"/>
              </w:rPr>
              <w:t>t/a</w:t>
            </w:r>
            <w:r>
              <w:t>。</w:t>
            </w:r>
            <w:r>
              <w:rPr>
                <w:rFonts w:hint="eastAsia"/>
              </w:rPr>
              <w:t>详</w:t>
            </w:r>
            <w:r>
              <w:rPr>
                <w:rFonts w:hint="eastAsia"/>
                <w:szCs w:val="22"/>
              </w:rPr>
              <w:t>见表3.5-1～2。</w:t>
            </w:r>
          </w:p>
          <w:p w14:paraId="6EBA757C">
            <w:pPr>
              <w:pStyle w:val="68"/>
              <w:rPr>
                <w:kern w:val="2"/>
                <w:sz w:val="24"/>
                <w:szCs w:val="24"/>
                <w:lang w:val="en-US" w:eastAsia="zh-CN"/>
              </w:rPr>
            </w:pPr>
            <w:r>
              <w:rPr>
                <w:kern w:val="2"/>
                <w:sz w:val="24"/>
                <w:szCs w:val="24"/>
                <w:lang w:val="en-US" w:eastAsia="zh-CN"/>
              </w:rPr>
              <w:t>表</w:t>
            </w:r>
            <w:r>
              <w:rPr>
                <w:rFonts w:hint="eastAsia"/>
                <w:kern w:val="2"/>
                <w:sz w:val="24"/>
                <w:szCs w:val="24"/>
                <w:lang w:val="en-US" w:eastAsia="zh-CN"/>
              </w:rPr>
              <w:t>3.5-1扩建项目废水排放总量</w:t>
            </w:r>
          </w:p>
          <w:p w14:paraId="3451B3EA">
            <w:pPr>
              <w:ind w:firstLine="0" w:firstLineChars="0"/>
              <w:jc w:val="center"/>
            </w:pPr>
            <w:r>
              <w:rPr>
                <w:rFonts w:hint="eastAsia"/>
                <w:b/>
              </w:rPr>
              <w:t>***（略，涉及商业秘密）</w:t>
            </w:r>
          </w:p>
          <w:p w14:paraId="3B7A6371">
            <w:pPr>
              <w:pStyle w:val="68"/>
              <w:rPr>
                <w:kern w:val="2"/>
                <w:sz w:val="24"/>
                <w:szCs w:val="24"/>
                <w:lang w:val="en-US" w:eastAsia="zh-CN"/>
              </w:rPr>
            </w:pPr>
            <w:r>
              <w:rPr>
                <w:rFonts w:hint="eastAsia"/>
                <w:kern w:val="2"/>
                <w:sz w:val="24"/>
                <w:szCs w:val="24"/>
                <w:lang w:val="en-US" w:eastAsia="zh-CN"/>
              </w:rPr>
              <w:t>表3.5-2扩建前后项目废水总量</w:t>
            </w:r>
          </w:p>
          <w:p w14:paraId="1E5313BB">
            <w:pPr>
              <w:ind w:firstLine="0" w:firstLineChars="0"/>
              <w:jc w:val="center"/>
            </w:pPr>
            <w:r>
              <w:rPr>
                <w:rFonts w:hint="eastAsia"/>
                <w:b/>
              </w:rPr>
              <w:t>***（略，涉及商业秘密）</w:t>
            </w:r>
          </w:p>
          <w:p w14:paraId="2FBD8CA7">
            <w:pPr>
              <w:pStyle w:val="16"/>
              <w:spacing w:after="0"/>
              <w:ind w:firstLine="480"/>
            </w:pPr>
            <w:r>
              <w:rPr>
                <w:rFonts w:hint="eastAsia"/>
                <w:szCs w:val="22"/>
              </w:rPr>
              <w:t>根据福建省环保厅关于印发《福建省主要污染物排污权指标核定管理办法（试行）》</w:t>
            </w:r>
            <w:r>
              <w:rPr>
                <w:rFonts w:hint="eastAsia"/>
              </w:rPr>
              <w:t>的通知（闽环发[2014]12号）、《福建省环保厅关于进一步加快推进排污权有偿使用和交易工作的意见》（闽环发[2015]6号），</w:t>
            </w:r>
            <w:r>
              <w:t>COD、氨氮指标应自行向海峡股权交易中心购买</w:t>
            </w:r>
            <w:r>
              <w:rPr>
                <w:rFonts w:hint="eastAsia"/>
              </w:rPr>
              <w:t>。扩建项目</w:t>
            </w:r>
            <w:r>
              <w:t>自行交易的COD、氨氮排污权，不计入福州万景石化有限公司污水处理站</w:t>
            </w:r>
            <w:r>
              <w:rPr>
                <w:rFonts w:hint="eastAsia"/>
              </w:rPr>
              <w:t>污水处理设施</w:t>
            </w:r>
            <w:r>
              <w:t>。</w:t>
            </w:r>
            <w:r>
              <w:rPr>
                <w:rFonts w:hint="eastAsia"/>
              </w:rPr>
              <w:t>扩建项目排放总量为COD为</w:t>
            </w:r>
            <w:r>
              <w:t>1.451</w:t>
            </w:r>
            <w:r>
              <w:rPr>
                <w:rFonts w:hint="eastAsia"/>
              </w:rPr>
              <w:t>t/a，氨氮为</w:t>
            </w:r>
            <w:r>
              <w:t>0.145</w:t>
            </w:r>
            <w:r>
              <w:rPr>
                <w:rFonts w:hint="eastAsia"/>
              </w:rPr>
              <w:t>t/a。</w:t>
            </w:r>
          </w:p>
          <w:p w14:paraId="617BE9F5">
            <w:pPr>
              <w:pStyle w:val="16"/>
              <w:spacing w:after="0"/>
              <w:ind w:firstLine="480"/>
            </w:pPr>
            <w:r>
              <w:rPr>
                <w:rFonts w:hint="eastAsia"/>
              </w:rPr>
              <w:t>根据《福州市</w:t>
            </w:r>
            <w:r>
              <w:rPr>
                <w:rFonts w:hint="eastAsia"/>
                <w:lang w:eastAsia="zh-CN"/>
              </w:rPr>
              <w:t>生态环境局</w:t>
            </w:r>
            <w:r>
              <w:rPr>
                <w:rFonts w:hint="eastAsia"/>
              </w:rPr>
              <w:t>关于印发福州市大气污染联防联控联治工作方案的通知》（榕环保综[2018]386号），挥发性有机物排放实行区域内倍量替代，新、改扩建涉挥发性有机物排放项目，应从源头加强控制，使用低（无）挥发性有机物含量的原辅材料，加强废气收集、安装高效治理设施。扩建项目挥发性有机物（按非甲烷总烃计）排放量为0.4374t/a</w:t>
            </w:r>
            <w:r>
              <w:t>。</w:t>
            </w:r>
          </w:p>
          <w:p w14:paraId="2FDED347">
            <w:pPr>
              <w:spacing w:line="240" w:lineRule="auto"/>
              <w:ind w:firstLine="0" w:firstLineChars="0"/>
              <w:jc w:val="center"/>
              <w:rPr>
                <w:b/>
                <w:szCs w:val="20"/>
              </w:rPr>
            </w:pPr>
            <w:r>
              <w:rPr>
                <w:b/>
                <w:szCs w:val="20"/>
              </w:rPr>
              <w:t>表3.</w:t>
            </w:r>
            <w:r>
              <w:rPr>
                <w:rFonts w:hint="eastAsia"/>
                <w:b/>
                <w:szCs w:val="20"/>
              </w:rPr>
              <w:t>5-3扩建前后VOC</w:t>
            </w:r>
            <w:r>
              <w:rPr>
                <w:rFonts w:hint="eastAsia"/>
                <w:b/>
                <w:szCs w:val="20"/>
                <w:vertAlign w:val="subscript"/>
              </w:rPr>
              <w:t>S</w:t>
            </w:r>
            <w:r>
              <w:rPr>
                <w:b/>
                <w:szCs w:val="20"/>
              </w:rPr>
              <w:t>总量控制一览表</w:t>
            </w:r>
          </w:p>
          <w:p w14:paraId="07A4A579">
            <w:pPr>
              <w:ind w:firstLine="0" w:firstLineChars="0"/>
              <w:jc w:val="center"/>
            </w:pPr>
            <w:r>
              <w:rPr>
                <w:rFonts w:hint="eastAsia"/>
                <w:b/>
              </w:rPr>
              <w:t>***（略，涉及商业秘密）</w:t>
            </w:r>
          </w:p>
          <w:p w14:paraId="6F69E32C">
            <w:pPr>
              <w:pStyle w:val="2"/>
              <w:ind w:firstLine="480"/>
              <w:rPr>
                <w:lang w:val="en-US" w:eastAsia="zh-CN"/>
              </w:rPr>
            </w:pPr>
            <w:r>
              <w:rPr>
                <w:lang w:val="en-US" w:eastAsia="zh-CN"/>
              </w:rPr>
              <w:t>根据《福州市环保局关于印发福州市大气污染联防联控联治工作方案的通知》，</w:t>
            </w:r>
            <w:r>
              <w:rPr>
                <w:rFonts w:hint="eastAsia"/>
                <w:lang w:val="en-US" w:eastAsia="zh-CN"/>
              </w:rPr>
              <w:t>扩建项目</w:t>
            </w:r>
            <w:r>
              <w:rPr>
                <w:lang w:val="en-US" w:eastAsia="zh-CN"/>
              </w:rPr>
              <w:t>VOCs排放量</w:t>
            </w:r>
            <w:r>
              <w:rPr>
                <w:rFonts w:hint="eastAsia"/>
                <w:lang w:val="en-US" w:eastAsia="zh-CN"/>
              </w:rPr>
              <w:t>为</w:t>
            </w:r>
            <w:r>
              <w:rPr>
                <w:lang w:val="en-US" w:eastAsia="zh-CN"/>
              </w:rPr>
              <w:t>0.4374t/a</w:t>
            </w:r>
            <w:r>
              <w:rPr>
                <w:rFonts w:hint="eastAsia"/>
                <w:lang w:val="en-US" w:eastAsia="zh-CN"/>
              </w:rPr>
              <w:t>，</w:t>
            </w:r>
            <w:r>
              <w:rPr>
                <w:lang w:val="en-US" w:eastAsia="zh-CN"/>
              </w:rPr>
              <w:t>需进行区域削减替代。</w:t>
            </w:r>
          </w:p>
          <w:p w14:paraId="1846D68E">
            <w:pPr>
              <w:pStyle w:val="3"/>
              <w:ind w:firstLine="480"/>
            </w:pPr>
          </w:p>
        </w:tc>
      </w:tr>
    </w:tbl>
    <w:p w14:paraId="4C830E5D">
      <w:pPr>
        <w:ind w:firstLine="0" w:firstLineChars="0"/>
        <w:jc w:val="center"/>
        <w:outlineLvl w:val="0"/>
        <w:rPr>
          <w:rStyle w:val="65"/>
        </w:rPr>
        <w:sectPr>
          <w:footerReference r:id="rId29" w:type="default"/>
          <w:pgSz w:w="11905" w:h="16838"/>
          <w:pgMar w:top="1417" w:right="1417" w:bottom="1417" w:left="1417" w:header="851" w:footer="850" w:gutter="0"/>
          <w:cols w:space="720" w:num="1"/>
          <w:docGrid w:linePitch="312" w:charSpace="0"/>
        </w:sectPr>
      </w:pPr>
    </w:p>
    <w:p w14:paraId="4203B45C">
      <w:pPr>
        <w:ind w:firstLine="0" w:firstLineChars="0"/>
        <w:jc w:val="center"/>
        <w:outlineLvl w:val="0"/>
        <w:rPr>
          <w:rStyle w:val="65"/>
        </w:rPr>
      </w:pPr>
      <w:r>
        <w:rPr>
          <w:rStyle w:val="65"/>
        </w:rPr>
        <w:t>四、主要环境影响和保护措施</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2"/>
        <w:gridCol w:w="8815"/>
      </w:tblGrid>
      <w:tr w14:paraId="4814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0" w:hRule="atLeast"/>
          <w:jc w:val="center"/>
        </w:trPr>
        <w:tc>
          <w:tcPr>
            <w:tcW w:w="171" w:type="pct"/>
            <w:tcMar>
              <w:left w:w="28" w:type="dxa"/>
              <w:right w:w="28" w:type="dxa"/>
            </w:tcMar>
            <w:vAlign w:val="center"/>
          </w:tcPr>
          <w:p w14:paraId="7760D77E">
            <w:pPr>
              <w:pStyle w:val="71"/>
              <w:rPr>
                <w:kern w:val="2"/>
                <w:szCs w:val="24"/>
                <w:lang w:val="en-US" w:eastAsia="zh-CN"/>
              </w:rPr>
            </w:pPr>
            <w:r>
              <w:rPr>
                <w:kern w:val="2"/>
                <w:szCs w:val="24"/>
                <w:lang w:val="en-US" w:eastAsia="zh-CN"/>
              </w:rPr>
              <w:t>施工</w:t>
            </w:r>
          </w:p>
          <w:p w14:paraId="33FBBBA0">
            <w:pPr>
              <w:pStyle w:val="71"/>
              <w:rPr>
                <w:kern w:val="2"/>
                <w:szCs w:val="24"/>
                <w:lang w:val="en-US" w:eastAsia="zh-CN"/>
              </w:rPr>
            </w:pPr>
            <w:r>
              <w:rPr>
                <w:kern w:val="2"/>
                <w:szCs w:val="24"/>
                <w:lang w:val="en-US" w:eastAsia="zh-CN"/>
              </w:rPr>
              <w:t>期环</w:t>
            </w:r>
          </w:p>
          <w:p w14:paraId="52339A3E">
            <w:pPr>
              <w:pStyle w:val="71"/>
              <w:rPr>
                <w:kern w:val="2"/>
                <w:szCs w:val="24"/>
                <w:lang w:val="en-US" w:eastAsia="zh-CN"/>
              </w:rPr>
            </w:pPr>
            <w:r>
              <w:rPr>
                <w:kern w:val="2"/>
                <w:szCs w:val="24"/>
                <w:lang w:val="en-US" w:eastAsia="zh-CN"/>
              </w:rPr>
              <w:t>境保</w:t>
            </w:r>
          </w:p>
          <w:p w14:paraId="2AFA7C22">
            <w:pPr>
              <w:pStyle w:val="71"/>
              <w:rPr>
                <w:kern w:val="2"/>
                <w:szCs w:val="24"/>
                <w:lang w:val="en-US" w:eastAsia="zh-CN"/>
              </w:rPr>
            </w:pPr>
            <w:r>
              <w:rPr>
                <w:kern w:val="2"/>
                <w:szCs w:val="24"/>
                <w:lang w:val="en-US" w:eastAsia="zh-CN"/>
              </w:rPr>
              <w:t>护措</w:t>
            </w:r>
          </w:p>
          <w:p w14:paraId="28A3FCE8">
            <w:pPr>
              <w:pStyle w:val="71"/>
              <w:rPr>
                <w:kern w:val="2"/>
                <w:szCs w:val="24"/>
                <w:lang w:val="en-US" w:eastAsia="zh-CN"/>
              </w:rPr>
            </w:pPr>
            <w:r>
              <w:rPr>
                <w:kern w:val="2"/>
                <w:szCs w:val="24"/>
                <w:lang w:val="en-US" w:eastAsia="zh-CN"/>
              </w:rPr>
              <w:t>施</w:t>
            </w:r>
          </w:p>
        </w:tc>
        <w:tc>
          <w:tcPr>
            <w:tcW w:w="4829" w:type="pct"/>
            <w:vAlign w:val="center"/>
          </w:tcPr>
          <w:p w14:paraId="21BF5C2B">
            <w:pPr>
              <w:pStyle w:val="7"/>
              <w:tabs>
                <w:tab w:val="left" w:pos="5400"/>
              </w:tabs>
              <w:spacing w:before="120"/>
            </w:pPr>
            <w:r>
              <w:t>4.1施工期环境保护措施</w:t>
            </w:r>
          </w:p>
          <w:p w14:paraId="184A36F7">
            <w:pPr>
              <w:snapToGrid w:val="0"/>
              <w:ind w:firstLine="482"/>
              <w:rPr>
                <w:b/>
              </w:rPr>
            </w:pPr>
            <w:r>
              <w:rPr>
                <w:b/>
              </w:rPr>
              <w:t>（1）施工期大气污染防治对策措施</w:t>
            </w:r>
          </w:p>
          <w:p w14:paraId="586A81C1">
            <w:pPr>
              <w:snapToGrid w:val="0"/>
              <w:ind w:firstLine="480"/>
              <w:rPr>
                <w:szCs w:val="28"/>
              </w:rPr>
            </w:pPr>
            <w:r>
              <w:rPr>
                <w:szCs w:val="28"/>
              </w:rPr>
              <w:t>为减轻施工过程对环境的影响，建设单位应加强以下各项环保措施：</w:t>
            </w:r>
          </w:p>
          <w:p w14:paraId="7914CD29">
            <w:pPr>
              <w:snapToGrid w:val="0"/>
              <w:ind w:firstLine="480"/>
              <w:rPr>
                <w:szCs w:val="28"/>
              </w:rPr>
            </w:pPr>
            <w:r>
              <w:rPr>
                <w:rFonts w:hint="eastAsia" w:ascii="宋体" w:hAnsi="宋体" w:cs="宋体"/>
                <w:szCs w:val="28"/>
              </w:rPr>
              <w:t>①</w:t>
            </w:r>
            <w:r>
              <w:rPr>
                <w:szCs w:val="28"/>
              </w:rPr>
              <w:t>防尘、抑尘对策措施</w:t>
            </w:r>
          </w:p>
          <w:p w14:paraId="7A83F146">
            <w:pPr>
              <w:snapToGrid w:val="0"/>
              <w:ind w:firstLine="480"/>
              <w:rPr>
                <w:szCs w:val="28"/>
              </w:rPr>
            </w:pPr>
            <w:r>
              <w:rPr>
                <w:szCs w:val="28"/>
              </w:rPr>
              <w:t>a.合理安排施工作业，在大风天气避免进行水泥搅拌等容易产生扬尘的施工作业。</w:t>
            </w:r>
          </w:p>
          <w:p w14:paraId="0D3FC7BC">
            <w:pPr>
              <w:snapToGrid w:val="0"/>
              <w:ind w:firstLine="480"/>
              <w:rPr>
                <w:szCs w:val="28"/>
              </w:rPr>
            </w:pPr>
            <w:r>
              <w:rPr>
                <w:szCs w:val="28"/>
              </w:rPr>
              <w:t>b.施工运送建筑沙石料或固体弃土石时，装运车辆不得超载或装载太满，以防止土石料泄漏；在大风时，车辆应进行覆盖或喷淋处理，以免土砂在道路上洒落；对于无法及时清运的渣土要经常洒水；此外施工主干道必须采取沥青覆盖或临时砂石铺盖等硬化措施，并定时清扫和喷洒水，以减少汽车行驶扰动的扬尘；</w:t>
            </w:r>
          </w:p>
          <w:p w14:paraId="67FB3C82">
            <w:pPr>
              <w:snapToGrid w:val="0"/>
              <w:ind w:firstLine="480"/>
              <w:rPr>
                <w:szCs w:val="28"/>
              </w:rPr>
            </w:pPr>
            <w:r>
              <w:rPr>
                <w:szCs w:val="28"/>
              </w:rPr>
              <w:t>c.混凝土搅拌配制场所应选择在避风条件好的位置，并在其四周设置挡风墙等防风设施，建议采用商品混凝土。水泥、白灰应放在库内储存或严密遮盖。</w:t>
            </w:r>
          </w:p>
          <w:p w14:paraId="266BAE97">
            <w:pPr>
              <w:snapToGrid w:val="0"/>
              <w:ind w:firstLine="480"/>
              <w:rPr>
                <w:szCs w:val="28"/>
              </w:rPr>
            </w:pPr>
            <w:r>
              <w:rPr>
                <w:szCs w:val="28"/>
              </w:rPr>
              <w:t>d.施工期间，施工场地应设置高度1.8m以上的围挡，并视地方管理要求适当增加。围挡底端应设置防溢座，围挡之间以及围挡与防溢座之间无缝隙。对于特殊地点无法设置围挡、围栏及防溢座的，应设置警示牌。</w:t>
            </w:r>
          </w:p>
          <w:p w14:paraId="23D05CE6">
            <w:pPr>
              <w:snapToGrid w:val="0"/>
              <w:ind w:firstLine="480"/>
              <w:rPr>
                <w:szCs w:val="28"/>
              </w:rPr>
            </w:pPr>
            <w:r>
              <w:rPr>
                <w:szCs w:val="28"/>
              </w:rPr>
              <w:t>e.在废弃物的外运时，严格控制车辆的运载量，严禁超载运输，以便将施工造成的扬尘影响</w:t>
            </w:r>
            <w:r>
              <w:rPr>
                <w:rFonts w:hint="eastAsia"/>
                <w:szCs w:val="28"/>
              </w:rPr>
              <w:t>降</w:t>
            </w:r>
            <w:r>
              <w:rPr>
                <w:szCs w:val="28"/>
              </w:rPr>
              <w:t>到最低的限度。</w:t>
            </w:r>
          </w:p>
          <w:p w14:paraId="1B19FCFF">
            <w:pPr>
              <w:snapToGrid w:val="0"/>
              <w:ind w:firstLine="480"/>
              <w:rPr>
                <w:szCs w:val="28"/>
              </w:rPr>
            </w:pPr>
            <w:r>
              <w:rPr>
                <w:szCs w:val="28"/>
              </w:rPr>
              <w:t>f.施工过程中产生的弃土、弃料及其他建筑垃圾，应及时清运。若在工地内堆置超过一周的，则应采取下列措施之一，防止风蚀起尘及水蚀迁移：覆盖防尘布、防尘网；定期喷水压尘。</w:t>
            </w:r>
          </w:p>
          <w:p w14:paraId="63FEE56F">
            <w:pPr>
              <w:snapToGrid w:val="0"/>
              <w:ind w:firstLine="480"/>
              <w:rPr>
                <w:szCs w:val="28"/>
              </w:rPr>
            </w:pPr>
            <w:r>
              <w:rPr>
                <w:szCs w:val="28"/>
              </w:rPr>
              <w:t>g.施工期间，应在工地建筑结构脚手架外侧设置有效抑尘的密目防尘网（不低于2000目/100cm²）或防尘布。</w:t>
            </w:r>
          </w:p>
          <w:p w14:paraId="4F2744C2">
            <w:pPr>
              <w:snapToGrid w:val="0"/>
              <w:ind w:firstLine="480"/>
              <w:rPr>
                <w:szCs w:val="28"/>
              </w:rPr>
            </w:pPr>
            <w:r>
              <w:rPr>
                <w:szCs w:val="28"/>
              </w:rPr>
              <w:t>h.施工结束后必须及时清理和平整现场、清运残土和垃圾，并进行软硬覆盖。</w:t>
            </w:r>
          </w:p>
          <w:p w14:paraId="3D0111FB">
            <w:pPr>
              <w:snapToGrid w:val="0"/>
              <w:ind w:firstLine="480"/>
            </w:pPr>
            <w:r>
              <w:rPr>
                <w:rFonts w:hint="eastAsia" w:ascii="宋体" w:hAnsi="宋体" w:cs="宋体"/>
              </w:rPr>
              <w:t>②</w:t>
            </w:r>
            <w:r>
              <w:t>焊接烟尘控制措施</w:t>
            </w:r>
          </w:p>
          <w:p w14:paraId="2D662AF2">
            <w:pPr>
              <w:snapToGrid w:val="0"/>
              <w:ind w:firstLine="480"/>
            </w:pPr>
            <w:r>
              <w:t>a.焊接工人必须经过专门培训，持证上岗，保证焊接质量，避免因返工而增加焊</w:t>
            </w:r>
          </w:p>
          <w:p w14:paraId="2131D2EB">
            <w:pPr>
              <w:snapToGrid w:val="0"/>
              <w:ind w:firstLine="0" w:firstLineChars="0"/>
            </w:pPr>
            <w:r>
              <w:t>接工作量，连带产生不必要的焊接烟尘。</w:t>
            </w:r>
          </w:p>
          <w:p w14:paraId="5A09192F">
            <w:pPr>
              <w:snapToGrid w:val="0"/>
              <w:ind w:firstLine="480"/>
              <w:rPr>
                <w:szCs w:val="28"/>
              </w:rPr>
            </w:pPr>
            <w:r>
              <w:rPr>
                <w:szCs w:val="28"/>
              </w:rPr>
              <w:t>b.焊接现场必须保持良好的通风条件，以保持焊接现场的良好环境空气质量。</w:t>
            </w:r>
          </w:p>
          <w:p w14:paraId="0834C25C">
            <w:pPr>
              <w:snapToGrid w:val="0"/>
              <w:ind w:firstLine="480"/>
              <w:rPr>
                <w:szCs w:val="28"/>
              </w:rPr>
            </w:pPr>
            <w:r>
              <w:rPr>
                <w:rFonts w:hint="eastAsia" w:ascii="宋体" w:hAnsi="宋体" w:cs="宋体"/>
                <w:szCs w:val="28"/>
              </w:rPr>
              <w:t>③</w:t>
            </w:r>
            <w:r>
              <w:rPr>
                <w:szCs w:val="28"/>
              </w:rPr>
              <w:t>施工机械、施工车辆燃油尾气控制措施</w:t>
            </w:r>
          </w:p>
          <w:p w14:paraId="355AF34C">
            <w:pPr>
              <w:snapToGrid w:val="0"/>
              <w:ind w:firstLine="480"/>
              <w:rPr>
                <w:szCs w:val="28"/>
              </w:rPr>
            </w:pPr>
            <w:r>
              <w:rPr>
                <w:szCs w:val="28"/>
              </w:rPr>
              <w:t>建设单位应加强监督管理，要求施工单位使用性能优良的施工机械和施工车辆，进入施工现场的车辆性能必须符合《轻型汽车污染物排放限值及测量方法（中国第五阶段）》（GB18352.6-2016）、《重型车用汽油发动机与汽车排气污染物排放限值及测量方法（中国III、IV阶段）》（GB14762-2008）、《车用压燃式、气体燃料点燃式发动机与汽车排气污染物排放限值及测量方法（中国</w:t>
            </w:r>
            <w:r>
              <w:rPr>
                <w:rFonts w:hint="eastAsia" w:ascii="宋体" w:hAnsi="宋体" w:cs="宋体"/>
                <w:szCs w:val="28"/>
              </w:rPr>
              <w:t>Ⅲ</w:t>
            </w:r>
            <w:r>
              <w:rPr>
                <w:szCs w:val="28"/>
              </w:rPr>
              <w:t>、</w:t>
            </w:r>
            <w:r>
              <w:rPr>
                <w:rFonts w:hint="eastAsia" w:ascii="宋体" w:hAnsi="宋体" w:cs="宋体"/>
                <w:szCs w:val="28"/>
              </w:rPr>
              <w:t>Ⅳ</w:t>
            </w:r>
            <w:r>
              <w:rPr>
                <w:szCs w:val="28"/>
              </w:rPr>
              <w:t>、</w:t>
            </w:r>
            <w:r>
              <w:rPr>
                <w:rFonts w:hint="eastAsia" w:ascii="宋体" w:hAnsi="宋体" w:cs="宋体"/>
                <w:szCs w:val="28"/>
              </w:rPr>
              <w:t>Ⅴ</w:t>
            </w:r>
            <w:r>
              <w:rPr>
                <w:szCs w:val="28"/>
              </w:rPr>
              <w:t>阶段）》（GB17691-2005）、《重型柴油车、气体燃料车排气污染物车载测量方法及技术要求》（HJ857-2017）的要求，禁止使用不符合上述性能的施工车辆。</w:t>
            </w:r>
          </w:p>
          <w:p w14:paraId="2E133898">
            <w:pPr>
              <w:snapToGrid w:val="0"/>
              <w:ind w:firstLine="482"/>
              <w:rPr>
                <w:b/>
              </w:rPr>
            </w:pPr>
            <w:r>
              <w:rPr>
                <w:b/>
              </w:rPr>
              <w:t>（2）施工期水污染防治对策措施</w:t>
            </w:r>
          </w:p>
          <w:p w14:paraId="73F2DEB9">
            <w:pPr>
              <w:snapToGrid w:val="0"/>
              <w:ind w:firstLine="480"/>
            </w:pPr>
            <w:r>
              <w:t>项目施工期废水主要为施工人员生活污水、施工机械和车辆清洗废水、土建施工泥浆水和试车期间设备及管道清洗试压废水，应采取以下的废水防治对策及措施。</w:t>
            </w:r>
          </w:p>
          <w:p w14:paraId="6D3C8D65">
            <w:pPr>
              <w:snapToGrid w:val="0"/>
              <w:ind w:firstLine="480"/>
            </w:pPr>
            <w:r>
              <w:rPr>
                <w:rFonts w:hint="eastAsia" w:ascii="宋体" w:hAnsi="宋体" w:cs="宋体"/>
              </w:rPr>
              <w:t>①</w:t>
            </w:r>
            <w:r>
              <w:t>施工人员生活污水</w:t>
            </w:r>
          </w:p>
          <w:p w14:paraId="079718FC">
            <w:pPr>
              <w:snapToGrid w:val="0"/>
              <w:ind w:firstLine="480"/>
            </w:pPr>
            <w:r>
              <w:t>施工人员生活污水</w:t>
            </w:r>
            <w:r>
              <w:rPr>
                <w:rFonts w:hint="eastAsia"/>
              </w:rPr>
              <w:t>依</w:t>
            </w:r>
            <w:r>
              <w:t>托现有工程化粪池处理后送</w:t>
            </w:r>
            <w:r>
              <w:rPr>
                <w:rFonts w:hint="eastAsia"/>
              </w:rPr>
              <w:t>至</w:t>
            </w:r>
            <w:r>
              <w:t>江阴污水处理厂进一步处理，禁止生活污水直接排入附近水体。</w:t>
            </w:r>
          </w:p>
          <w:p w14:paraId="0536A5B3">
            <w:pPr>
              <w:snapToGrid w:val="0"/>
              <w:ind w:firstLine="480"/>
            </w:pPr>
            <w:r>
              <w:rPr>
                <w:rFonts w:hint="eastAsia" w:ascii="宋体" w:hAnsi="宋体" w:cs="宋体"/>
              </w:rPr>
              <w:t>②</w:t>
            </w:r>
            <w:r>
              <w:t>施工机械和车辆清洗废水</w:t>
            </w:r>
          </w:p>
          <w:p w14:paraId="0EBF0496">
            <w:pPr>
              <w:snapToGrid w:val="0"/>
              <w:ind w:firstLine="480"/>
            </w:pPr>
            <w:r>
              <w:t>a.减少清洗废水量措施：加强施工机械的清洗管理，设置汽车机械临时保养站（含停车场），运输车辆和机械设备冲洗在保养站内进行，主要机械</w:t>
            </w:r>
            <w:r>
              <w:rPr>
                <w:rFonts w:hint="eastAsia"/>
              </w:rPr>
              <w:t>定期清理</w:t>
            </w:r>
            <w:r>
              <w:t>。</w:t>
            </w:r>
          </w:p>
          <w:p w14:paraId="408EC025">
            <w:pPr>
              <w:snapToGrid w:val="0"/>
              <w:ind w:firstLine="480"/>
            </w:pPr>
            <w:r>
              <w:t>b.清洗废水处理措施：施工机械清洗废水主要含有泥土等悬浮物质（SS）、石油类等，现场应设置简易的隔油沉淀池，施工机械清洗废水经隔油沉淀后回用。</w:t>
            </w:r>
          </w:p>
          <w:p w14:paraId="69F676BD">
            <w:pPr>
              <w:snapToGrid w:val="0"/>
              <w:ind w:firstLine="480"/>
            </w:pPr>
            <w:r>
              <w:rPr>
                <w:rFonts w:hint="eastAsia" w:ascii="宋体" w:hAnsi="宋体" w:cs="宋体"/>
              </w:rPr>
              <w:t>③</w:t>
            </w:r>
            <w:r>
              <w:t>土建施工泥浆水</w:t>
            </w:r>
          </w:p>
          <w:p w14:paraId="7A977521">
            <w:pPr>
              <w:snapToGrid w:val="0"/>
              <w:ind w:firstLine="480"/>
            </w:pPr>
            <w:r>
              <w:t>a.建筑施工模板应尽量采用密封性能较好的钢制模板，模板之间的缝隙应进行密封处理，以减少施工泥浆水的产生量。</w:t>
            </w:r>
          </w:p>
          <w:p w14:paraId="645C6517">
            <w:pPr>
              <w:snapToGrid w:val="0"/>
              <w:ind w:firstLine="480"/>
            </w:pPr>
            <w:r>
              <w:t>b.施工场地周边应设置截水沟与简易的泥浆水收集池，使之自然渗透过滤，避免泥浆水直接流入周边水体。</w:t>
            </w:r>
          </w:p>
          <w:p w14:paraId="6178A616">
            <w:pPr>
              <w:snapToGrid w:val="0"/>
              <w:ind w:firstLine="480"/>
            </w:pPr>
            <w:r>
              <w:t>建议施工期施工生产废水和雨污水收集经沉淀处理后，设置集水池进行储存，尽量再回用于洒水抑尘、汽车及设备清洗水等环节。</w:t>
            </w:r>
          </w:p>
          <w:p w14:paraId="6BA7C450">
            <w:pPr>
              <w:snapToGrid w:val="0"/>
              <w:ind w:firstLine="480"/>
            </w:pPr>
            <w:r>
              <w:rPr>
                <w:rFonts w:hint="eastAsia" w:ascii="宋体" w:hAnsi="宋体" w:cs="宋体"/>
              </w:rPr>
              <w:t>④</w:t>
            </w:r>
            <w:r>
              <w:t>试车期间设备及管道清洗试压废水</w:t>
            </w:r>
          </w:p>
          <w:p w14:paraId="558A7CC5">
            <w:pPr>
              <w:snapToGrid w:val="0"/>
              <w:ind w:firstLine="480"/>
            </w:pPr>
            <w:r>
              <w:t>在设备及管道安装完成后，需要对设备及管道进行清洗试压。设备及管道清洗试压废水即为设备及管道的清扫和试压阶段排放的废水，废水中含少量的铁锈等悬浮物，应通过沉降后由排水系统达标排放。</w:t>
            </w:r>
          </w:p>
          <w:p w14:paraId="4BA27038">
            <w:pPr>
              <w:snapToGrid w:val="0"/>
              <w:ind w:firstLine="482"/>
              <w:rPr>
                <w:b/>
              </w:rPr>
            </w:pPr>
            <w:r>
              <w:rPr>
                <w:b/>
              </w:rPr>
              <w:t>（3）施工噪声防治对策措施</w:t>
            </w:r>
          </w:p>
          <w:p w14:paraId="65FCE3CB">
            <w:pPr>
              <w:snapToGrid w:val="0"/>
              <w:ind w:firstLine="480"/>
            </w:pPr>
            <w:r>
              <w:t>项目施工现场距离周边居民区较远，与周边居民区的距离超过2000m，在施工期采取以下有效的噪声污染防治措施，进一步降低施工现场噪声对敏感点的影响。</w:t>
            </w:r>
          </w:p>
          <w:p w14:paraId="15D0E60F">
            <w:pPr>
              <w:snapToGrid w:val="0"/>
              <w:ind w:firstLine="480"/>
            </w:pPr>
            <w:r>
              <w:rPr>
                <w:rFonts w:hint="eastAsia" w:ascii="宋体" w:hAnsi="宋体" w:cs="宋体"/>
              </w:rPr>
              <w:t>①</w:t>
            </w:r>
            <w:r>
              <w:t>噪声源的控制：施工机械应尽量选用低噪声设备；高噪声设备合理布置；振动大的撞击设备，如振捣棒、打桩机等应配备减振装置；加强设备的维护和保养；运输车辆经过附近村庄时，应尽可能减少鸣号，同时尽量减少运输车辆夜间作业时间。</w:t>
            </w:r>
          </w:p>
          <w:p w14:paraId="51132353">
            <w:pPr>
              <w:snapToGrid w:val="0"/>
              <w:ind w:firstLine="480"/>
            </w:pPr>
            <w:r>
              <w:rPr>
                <w:rFonts w:hint="eastAsia" w:ascii="宋体" w:hAnsi="宋体" w:cs="宋体"/>
              </w:rPr>
              <w:t>②</w:t>
            </w:r>
            <w:r>
              <w:t>传播途径控制：在混凝土搅拌机、起重机、挖掘机等声级大的噪声源周围尽可能用多孔吸声材料建立隔声屏障；在施工场地边界、产生噪声设备相对集中的地方建立临时性声障。</w:t>
            </w:r>
          </w:p>
          <w:p w14:paraId="6802BA87">
            <w:pPr>
              <w:snapToGrid w:val="0"/>
              <w:ind w:firstLine="480"/>
            </w:pPr>
            <w:r>
              <w:rPr>
                <w:rFonts w:hint="eastAsia" w:ascii="宋体" w:hAnsi="宋体" w:cs="宋体"/>
              </w:rPr>
              <w:t>③</w:t>
            </w:r>
            <w:r>
              <w:t>施工期间要求施工队伍文明施工，加强管理，严格控制施工时间，除施工工艺特殊需要外，避免昼夜连续施工，施工时间应控制在8：00~12：00，14：00~22：00；因施工工艺特殊需要必须进行夜间施工的，必须到</w:t>
            </w:r>
            <w:r>
              <w:rPr>
                <w:rFonts w:hint="eastAsia"/>
                <w:lang w:eastAsia="zh-CN"/>
              </w:rPr>
              <w:t>生态环境部</w:t>
            </w:r>
            <w:r>
              <w:t>门办理相关的手续，并以公告的形式告知周边村民夜间施工的理由、施工日期、施工时间的长短。装置开车时工艺管道吹汽作业，应事先以公告的形式告知周边村民。</w:t>
            </w:r>
          </w:p>
          <w:p w14:paraId="5549521D">
            <w:pPr>
              <w:snapToGrid w:val="0"/>
              <w:ind w:firstLine="482"/>
              <w:rPr>
                <w:b/>
              </w:rPr>
            </w:pPr>
            <w:r>
              <w:rPr>
                <w:b/>
              </w:rPr>
              <w:t>（4）施工期固体废物处置措施</w:t>
            </w:r>
          </w:p>
          <w:p w14:paraId="7202C527">
            <w:pPr>
              <w:snapToGrid w:val="0"/>
              <w:ind w:firstLine="480"/>
              <w:rPr>
                <w:szCs w:val="28"/>
              </w:rPr>
            </w:pPr>
            <w:r>
              <w:rPr>
                <w:szCs w:val="28"/>
              </w:rPr>
              <w:t>项目施工期产生的固体废物主要为施工人员生活垃圾和施工作业固体废物。施工作业固体废物主要为建筑模板、建筑材料下脚料、断残钢筋头、破钢管、包装袋、废旧设备零件以及建筑碎片、碎砖头、水泥块、石子、沙子等建筑材料废弃物和少量机械修配擦油布等。建设单位应加强管理，采取以下的对策措施：</w:t>
            </w:r>
          </w:p>
          <w:p w14:paraId="50FEEC72">
            <w:pPr>
              <w:snapToGrid w:val="0"/>
              <w:ind w:firstLine="480"/>
              <w:rPr>
                <w:szCs w:val="28"/>
              </w:rPr>
            </w:pPr>
            <w:r>
              <w:rPr>
                <w:rFonts w:hint="eastAsia" w:ascii="宋体" w:hAnsi="宋体" w:cs="宋体"/>
                <w:szCs w:val="28"/>
              </w:rPr>
              <w:t>①</w:t>
            </w:r>
            <w:r>
              <w:rPr>
                <w:szCs w:val="28"/>
              </w:rPr>
              <w:t>应在施工场地尤其是施工营地的周边设置一些</w:t>
            </w:r>
            <w:r>
              <w:rPr>
                <w:rFonts w:hint="eastAsia"/>
                <w:szCs w:val="28"/>
              </w:rPr>
              <w:t>垃圾桶</w:t>
            </w:r>
            <w:r>
              <w:rPr>
                <w:szCs w:val="28"/>
              </w:rPr>
              <w:t>收集施工人员的生活垃圾，并指定人员负责及时收集，定期清运至附近生活垃圾处理场进行处理。</w:t>
            </w:r>
          </w:p>
          <w:p w14:paraId="556ED789">
            <w:pPr>
              <w:ind w:firstLine="480"/>
            </w:pPr>
            <w:r>
              <w:rPr>
                <w:rFonts w:hint="eastAsia" w:ascii="宋体" w:hAnsi="宋体" w:cs="宋体"/>
              </w:rPr>
              <w:t>②</w:t>
            </w:r>
            <w:r>
              <w:t>建筑模板、建筑材料下脚料、断残钢筋头、破钢管、包装袋、废旧设备零件等应回收综合利用，建筑碎片、碎砖头、水泥块、石子、沙子等建筑材料废弃物可作为铺路材料或按指定地点进行填方造地而得到妥善处置。</w:t>
            </w:r>
          </w:p>
          <w:p w14:paraId="5693F2E3">
            <w:pPr>
              <w:ind w:firstLine="480"/>
            </w:pPr>
            <w:r>
              <w:rPr>
                <w:rFonts w:hint="eastAsia" w:ascii="宋体" w:hAnsi="宋体" w:cs="宋体"/>
              </w:rPr>
              <w:t>③</w:t>
            </w:r>
            <w:r>
              <w:t>施工期的弃土及建筑垃圾应有专人负责协调管理。施工前应按规定到有关部门办理处置批文，按处置批文规定的地点处置建筑垃圾，不得随意堆置在耕地、林地、河道等地。对规定的处置场的四周进行防护，同时做好排水防护，避免产生水土流失。</w:t>
            </w:r>
          </w:p>
          <w:p w14:paraId="70B688DE">
            <w:pPr>
              <w:snapToGrid w:val="0"/>
              <w:ind w:firstLine="480"/>
            </w:pPr>
            <w:r>
              <w:rPr>
                <w:rFonts w:hint="eastAsia" w:ascii="宋体" w:hAnsi="宋体" w:cs="宋体"/>
              </w:rPr>
              <w:t>④</w:t>
            </w:r>
            <w:r>
              <w:t>施工过程产生的废矿物油及含油废物等应集中收集，委托有资质单位接收处理处置，不得随意丢弃。</w:t>
            </w:r>
          </w:p>
          <w:p w14:paraId="14F39CC4">
            <w:pPr>
              <w:snapToGrid w:val="0"/>
              <w:ind w:firstLine="480"/>
            </w:pPr>
            <w:r>
              <w:t>根据《国家危险废物名录》（2025年</w:t>
            </w:r>
            <w:r>
              <w:rPr>
                <w:rFonts w:hint="eastAsia"/>
              </w:rPr>
              <w:t>版</w:t>
            </w:r>
            <w:r>
              <w:t>），施工过程废弃的含油抹布、劳保用品可混入生活垃圾，送往生活垃圾处理场进行处理。</w:t>
            </w:r>
          </w:p>
          <w:p w14:paraId="10840365">
            <w:pPr>
              <w:snapToGrid w:val="0"/>
              <w:ind w:firstLine="482"/>
              <w:rPr>
                <w:b/>
              </w:rPr>
            </w:pPr>
            <w:r>
              <w:rPr>
                <w:rFonts w:hint="eastAsia"/>
                <w:b/>
              </w:rPr>
              <w:t>（5）施工期环境风险管理</w:t>
            </w:r>
          </w:p>
          <w:p w14:paraId="1BC835D3">
            <w:pPr>
              <w:snapToGrid w:val="0"/>
              <w:ind w:firstLine="480"/>
            </w:pPr>
            <w:r>
              <w:rPr>
                <w:rFonts w:hint="eastAsia" w:ascii="宋体" w:hAnsi="宋体" w:cs="宋体"/>
                <w:szCs w:val="28"/>
              </w:rPr>
              <w:t>①</w:t>
            </w:r>
            <w:r>
              <w:rPr>
                <w:rFonts w:hint="eastAsia"/>
              </w:rPr>
              <w:t>建立可靠的安全管理网络，从施工方案的制定到施工的展开，直至工程结束都应置于安全管理网络的有效管理和监督之下，安全管理网络要确定各级管理人员和部门职责，明确到人。</w:t>
            </w:r>
          </w:p>
          <w:p w14:paraId="59C12702">
            <w:pPr>
              <w:snapToGrid w:val="0"/>
              <w:ind w:firstLine="480"/>
            </w:pPr>
            <w:r>
              <w:rPr>
                <w:rFonts w:hint="eastAsia" w:ascii="宋体" w:hAnsi="宋体" w:cs="宋体"/>
              </w:rPr>
              <w:t>②</w:t>
            </w:r>
            <w:r>
              <w:rPr>
                <w:rFonts w:hint="eastAsia"/>
              </w:rPr>
              <w:t>施工过程中针对扩建施工的特点及在施工中暴露出来的问题，及时地加以完善和补充。要监理施工方案审查制度，对大型设备、重点部位、特殊作业的施工方案、防火安全措施的落实情况进行审核、核实，还应制定“区域安全责任制”，按装置划分为几个区域，指派专人负责。</w:t>
            </w:r>
          </w:p>
          <w:p w14:paraId="11F9BD73">
            <w:pPr>
              <w:snapToGrid w:val="0"/>
              <w:ind w:firstLine="480"/>
            </w:pPr>
            <w:r>
              <w:rPr>
                <w:rFonts w:hint="eastAsia"/>
              </w:rPr>
              <w:t>③提高施工人员的安全意识，在施工过程中租到“令行禁止”，杜绝随意行为。</w:t>
            </w:r>
          </w:p>
          <w:p w14:paraId="0B0A4850">
            <w:pPr>
              <w:snapToGrid w:val="0"/>
              <w:ind w:firstLine="480"/>
            </w:pPr>
            <w:r>
              <w:rPr>
                <w:rFonts w:hint="eastAsia"/>
              </w:rPr>
              <w:t>④对施工中所涉及的动火作业、临时用电作业、高处作业、起重作业等环节进行规范管理，并实行重点监督；对施工项目技术交底，明确安全技术要求，提供安全施工条件。作业前，双方应首先组织有关人员进行风险分析，辨别作业活动中的风险，制定相应的控制和预防措施。</w:t>
            </w:r>
          </w:p>
          <w:p w14:paraId="32130627">
            <w:pPr>
              <w:snapToGrid w:val="0"/>
              <w:ind w:firstLine="480"/>
            </w:pPr>
            <w:r>
              <w:rPr>
                <w:rFonts w:hint="eastAsia"/>
              </w:rPr>
              <w:t>⑤作业用机动车辆进入罐区，应配带阻火器，并按规定路线行驶。施工危险区域要设置醒目的警示标志。</w:t>
            </w:r>
          </w:p>
        </w:tc>
      </w:tr>
      <w:tr w14:paraId="15E5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21" w:hRule="atLeast"/>
          <w:jc w:val="center"/>
        </w:trPr>
        <w:tc>
          <w:tcPr>
            <w:tcW w:w="171" w:type="pct"/>
            <w:tcMar>
              <w:left w:w="28" w:type="dxa"/>
              <w:right w:w="28" w:type="dxa"/>
            </w:tcMar>
            <w:vAlign w:val="center"/>
          </w:tcPr>
          <w:p w14:paraId="4B990241">
            <w:pPr>
              <w:pStyle w:val="71"/>
              <w:rPr>
                <w:kern w:val="2"/>
                <w:szCs w:val="24"/>
                <w:lang w:val="en-US" w:eastAsia="zh-CN"/>
              </w:rPr>
            </w:pPr>
            <w:r>
              <w:rPr>
                <w:kern w:val="2"/>
                <w:szCs w:val="24"/>
                <w:lang w:val="en-US" w:eastAsia="zh-CN"/>
              </w:rPr>
              <w:t>运营</w:t>
            </w:r>
          </w:p>
          <w:p w14:paraId="5CFF62A9">
            <w:pPr>
              <w:pStyle w:val="71"/>
              <w:rPr>
                <w:kern w:val="2"/>
                <w:szCs w:val="24"/>
                <w:lang w:val="en-US" w:eastAsia="zh-CN"/>
              </w:rPr>
            </w:pPr>
            <w:r>
              <w:rPr>
                <w:kern w:val="2"/>
                <w:szCs w:val="24"/>
                <w:lang w:val="en-US" w:eastAsia="zh-CN"/>
              </w:rPr>
              <w:t>期环</w:t>
            </w:r>
          </w:p>
          <w:p w14:paraId="626348E2">
            <w:pPr>
              <w:pStyle w:val="71"/>
              <w:rPr>
                <w:kern w:val="2"/>
                <w:szCs w:val="24"/>
                <w:lang w:val="en-US" w:eastAsia="zh-CN"/>
              </w:rPr>
            </w:pPr>
            <w:r>
              <w:rPr>
                <w:kern w:val="2"/>
                <w:szCs w:val="24"/>
                <w:lang w:val="en-US" w:eastAsia="zh-CN"/>
              </w:rPr>
              <w:t>境影</w:t>
            </w:r>
          </w:p>
          <w:p w14:paraId="6152E27C">
            <w:pPr>
              <w:pStyle w:val="71"/>
              <w:rPr>
                <w:kern w:val="2"/>
                <w:szCs w:val="24"/>
                <w:lang w:val="en-US" w:eastAsia="zh-CN"/>
              </w:rPr>
            </w:pPr>
            <w:r>
              <w:rPr>
                <w:kern w:val="2"/>
                <w:szCs w:val="24"/>
                <w:lang w:val="en-US" w:eastAsia="zh-CN"/>
              </w:rPr>
              <w:t>响和</w:t>
            </w:r>
          </w:p>
          <w:p w14:paraId="78982EE8">
            <w:pPr>
              <w:pStyle w:val="71"/>
              <w:rPr>
                <w:kern w:val="2"/>
                <w:szCs w:val="24"/>
                <w:lang w:val="en-US" w:eastAsia="zh-CN"/>
              </w:rPr>
            </w:pPr>
            <w:r>
              <w:rPr>
                <w:kern w:val="2"/>
                <w:szCs w:val="24"/>
                <w:lang w:val="en-US" w:eastAsia="zh-CN"/>
              </w:rPr>
              <w:t>保护</w:t>
            </w:r>
          </w:p>
          <w:p w14:paraId="79F77A1E">
            <w:pPr>
              <w:pStyle w:val="71"/>
              <w:rPr>
                <w:kern w:val="2"/>
                <w:szCs w:val="24"/>
                <w:lang w:val="en-US" w:eastAsia="zh-CN"/>
              </w:rPr>
            </w:pPr>
            <w:r>
              <w:rPr>
                <w:kern w:val="2"/>
                <w:szCs w:val="24"/>
                <w:lang w:val="en-US" w:eastAsia="zh-CN"/>
              </w:rPr>
              <w:t>措施</w:t>
            </w:r>
          </w:p>
        </w:tc>
        <w:tc>
          <w:tcPr>
            <w:tcW w:w="4829" w:type="pct"/>
            <w:vAlign w:val="center"/>
          </w:tcPr>
          <w:p w14:paraId="793735BD">
            <w:pPr>
              <w:pStyle w:val="7"/>
              <w:tabs>
                <w:tab w:val="left" w:pos="5400"/>
              </w:tabs>
              <w:spacing w:before="120"/>
            </w:pPr>
            <w:r>
              <w:t>4.2运营期大气环境影响和保护措施</w:t>
            </w:r>
          </w:p>
          <w:p w14:paraId="0A7956E2">
            <w:pPr>
              <w:pStyle w:val="8"/>
              <w:tabs>
                <w:tab w:val="left" w:pos="5400"/>
              </w:tabs>
              <w:spacing w:before="120"/>
              <w:rPr>
                <w:kern w:val="2"/>
                <w:szCs w:val="24"/>
                <w:lang w:val="en-US" w:eastAsia="zh-CN"/>
              </w:rPr>
            </w:pPr>
            <w:r>
              <w:rPr>
                <w:kern w:val="2"/>
                <w:szCs w:val="24"/>
                <w:lang w:val="en-US" w:eastAsia="zh-CN"/>
              </w:rPr>
              <w:t>4.2.1</w:t>
            </w:r>
            <w:r>
              <w:rPr>
                <w:lang w:val="en-US" w:eastAsia="zh-CN"/>
              </w:rPr>
              <w:t>废气污染源强分析</w:t>
            </w:r>
          </w:p>
          <w:p w14:paraId="73C1E24D">
            <w:pPr>
              <w:snapToGrid w:val="0"/>
              <w:ind w:firstLine="480"/>
            </w:pPr>
            <w:r>
              <w:t>（</w:t>
            </w:r>
            <w:r>
              <w:rPr>
                <w:rFonts w:hint="eastAsia"/>
              </w:rPr>
              <w:t>1</w:t>
            </w:r>
            <w:r>
              <w:t>）</w:t>
            </w:r>
            <w:r>
              <w:rPr>
                <w:rFonts w:hint="eastAsia"/>
              </w:rPr>
              <w:t>危险废物贮存库</w:t>
            </w:r>
            <w:r>
              <w:t>废气</w:t>
            </w:r>
          </w:p>
          <w:p w14:paraId="38A7B9CB">
            <w:pPr>
              <w:pStyle w:val="2"/>
              <w:ind w:firstLine="480"/>
              <w:rPr>
                <w:lang w:val="en-US" w:eastAsia="zh-CN"/>
              </w:rPr>
            </w:pPr>
            <w:r>
              <w:rPr>
                <w:rFonts w:hint="eastAsia"/>
                <w:lang w:val="en-US" w:eastAsia="zh-CN"/>
              </w:rPr>
              <w:t>码头罐区设置危险废物贮存库，面积均为256.55m²，采用15000m³的引风机，主要储存的危废均为废活性炭、废硅胶、废机油。</w:t>
            </w:r>
            <w:r>
              <w:rPr>
                <w:lang w:val="en-US" w:eastAsia="zh-CN"/>
              </w:rPr>
              <w:t>本环评参考《环境影响评价实用技术指南》提供的数据对有机废气进行核算，有机物挥发排污系数按物料量</w:t>
            </w:r>
            <w:r>
              <w:rPr>
                <w:rFonts w:hint="eastAsia"/>
                <w:lang w:val="en-US" w:eastAsia="zh-CN"/>
              </w:rPr>
              <w:t>的</w:t>
            </w:r>
            <w:r>
              <w:rPr>
                <w:lang w:val="en-US" w:eastAsia="zh-CN"/>
              </w:rPr>
              <w:t>0.1‰-0.4‰，非甲烷总烃取最大值0.4‰</w:t>
            </w:r>
            <w:r>
              <w:rPr>
                <w:rFonts w:hint="eastAsia"/>
                <w:lang w:val="en-US" w:eastAsia="zh-CN"/>
              </w:rPr>
              <w:t>，项目拟暂存</w:t>
            </w:r>
            <w:r>
              <w:t>的各类含有非甲烷总烃的危险废物年</w:t>
            </w:r>
            <w:r>
              <w:rPr>
                <w:rFonts w:hint="eastAsia"/>
                <w:lang w:eastAsia="zh-CN"/>
              </w:rPr>
              <w:t>最大</w:t>
            </w:r>
            <w:r>
              <w:t>收集量为</w:t>
            </w:r>
            <w:r>
              <w:rPr>
                <w:rFonts w:hint="eastAsia"/>
                <w:lang w:eastAsia="zh-CN"/>
              </w:rPr>
              <w:t>5t/a，</w:t>
            </w:r>
            <w:r>
              <w:rPr>
                <w:rFonts w:hint="eastAsia"/>
                <w:lang w:val="en-US" w:eastAsia="zh-CN"/>
              </w:rPr>
              <w:t>因此危险废物贮存库的废气排放情况，则</w:t>
            </w:r>
            <w:r>
              <w:rPr>
                <w:lang w:val="en-US" w:eastAsia="zh-CN"/>
              </w:rPr>
              <w:t>非甲烷总烃</w:t>
            </w:r>
            <w:r>
              <w:rPr>
                <w:rFonts w:hint="eastAsia"/>
                <w:lang w:val="en-US" w:eastAsia="zh-CN"/>
              </w:rPr>
              <w:t>的产生量为</w:t>
            </w:r>
            <w:r>
              <w:rPr>
                <w:lang w:val="en-US" w:eastAsia="zh-CN"/>
              </w:rPr>
              <w:t>0.00</w:t>
            </w:r>
            <w:r>
              <w:rPr>
                <w:rFonts w:hint="eastAsia"/>
                <w:lang w:val="en-US" w:eastAsia="zh-CN"/>
              </w:rPr>
              <w:t>2t/a。</w:t>
            </w:r>
          </w:p>
          <w:p w14:paraId="74B108A3">
            <w:pPr>
              <w:snapToGrid w:val="0"/>
              <w:ind w:firstLine="480"/>
            </w:pPr>
            <w:r>
              <w:t>（</w:t>
            </w:r>
            <w:r>
              <w:rPr>
                <w:rFonts w:hint="eastAsia"/>
              </w:rPr>
              <w:t>2</w:t>
            </w:r>
            <w:r>
              <w:t>）储罐呼吸废气</w:t>
            </w:r>
          </w:p>
          <w:p w14:paraId="5B92BD09">
            <w:pPr>
              <w:snapToGrid w:val="0"/>
              <w:ind w:firstLine="480"/>
            </w:pPr>
            <w:r>
              <w:t>1）计算公式</w:t>
            </w:r>
          </w:p>
          <w:p w14:paraId="671C4055">
            <w:pPr>
              <w:ind w:firstLine="482"/>
              <w:rPr>
                <w:b/>
                <w:bCs/>
              </w:rPr>
            </w:pPr>
            <w:r>
              <w:rPr>
                <w:b/>
                <w:bCs/>
              </w:rPr>
              <w:t>A、内浮顶</w:t>
            </w:r>
          </w:p>
          <w:p w14:paraId="1E850645">
            <w:pPr>
              <w:ind w:firstLine="480"/>
              <w:jc w:val="left"/>
            </w:pPr>
            <w:r>
              <w:t>营运期气体排放增加量主要有化工品储罐储存过程中的物料损失和装卸过程（装车、装船）过程中的物料损失。损失量计算采用《石化行业VOCs污染源排查工作指南》</w:t>
            </w:r>
            <w:r>
              <w:rPr>
                <w:rFonts w:hint="eastAsia"/>
              </w:rPr>
              <w:t>（环办〔2015〕104号）</w:t>
            </w:r>
            <w:r>
              <w:t>（以下简称指南）中推荐的公式。</w:t>
            </w:r>
          </w:p>
          <w:p w14:paraId="70D6ED72">
            <w:pPr>
              <w:ind w:firstLine="480"/>
              <w:jc w:val="left"/>
            </w:pPr>
            <w:r>
              <w:t>扩建项目内浮顶储罐，参考《指南》中的公式，浮顶罐VOC</w:t>
            </w:r>
            <w:r>
              <w:rPr>
                <w:vertAlign w:val="subscript"/>
              </w:rPr>
              <w:t>S</w:t>
            </w:r>
            <w:r>
              <w:t>总损耗如下：</w:t>
            </w:r>
          </w:p>
          <w:p w14:paraId="31E0A9A8">
            <w:pPr>
              <w:ind w:firstLine="480"/>
              <w:jc w:val="center"/>
            </w:pPr>
            <w:r>
              <w:t>LT=LR+LWD+LF+LD</w:t>
            </w:r>
          </w:p>
          <w:p w14:paraId="16AE914F">
            <w:pPr>
              <w:ind w:firstLine="1200" w:firstLineChars="500"/>
              <w:jc w:val="left"/>
            </w:pPr>
            <w:r>
              <w:t>式中：</w:t>
            </w:r>
          </w:p>
          <w:p w14:paraId="1A5EB425">
            <w:pPr>
              <w:ind w:firstLine="1680" w:firstLineChars="700"/>
              <w:jc w:val="left"/>
            </w:pPr>
            <w:r>
              <w:t>LT：总损耗，lb/a；</w:t>
            </w:r>
          </w:p>
          <w:p w14:paraId="67D4C9CB">
            <w:pPr>
              <w:ind w:firstLine="1680" w:firstLineChars="700"/>
              <w:jc w:val="left"/>
            </w:pPr>
            <w:r>
              <w:t>LR：边缘密封损耗，lb/a；</w:t>
            </w:r>
          </w:p>
          <w:p w14:paraId="4617B65F">
            <w:pPr>
              <w:ind w:firstLine="1680" w:firstLineChars="700"/>
              <w:jc w:val="left"/>
            </w:pPr>
            <w:r>
              <w:t>LWD：排放损耗，lb/a；</w:t>
            </w:r>
          </w:p>
          <w:p w14:paraId="5AF4A964">
            <w:pPr>
              <w:ind w:firstLine="1680" w:firstLineChars="700"/>
              <w:jc w:val="left"/>
            </w:pPr>
            <w:r>
              <w:t>LF：浮盘附件损耗，lb/a；</w:t>
            </w:r>
          </w:p>
          <w:p w14:paraId="430088D1">
            <w:pPr>
              <w:ind w:firstLine="1680" w:firstLineChars="700"/>
              <w:jc w:val="left"/>
            </w:pPr>
            <w:r>
              <w:t>LD：浮盘缝隙损耗（只限螺栓连接式的浮盘或浮顶），lb/a。</w:t>
            </w:r>
          </w:p>
          <w:p w14:paraId="2B6662BF">
            <w:pPr>
              <w:ind w:firstLine="480"/>
              <w:jc w:val="left"/>
            </w:pPr>
            <w:r>
              <w:rPr>
                <w:rFonts w:hint="eastAsia" w:ascii="宋体" w:hAnsi="宋体" w:cs="宋体"/>
              </w:rPr>
              <w:t>①</w:t>
            </w:r>
            <w:r>
              <w:t>边缘密封损耗</w:t>
            </w:r>
          </w:p>
          <w:p w14:paraId="4407C88C">
            <w:pPr>
              <w:ind w:firstLine="480"/>
              <w:jc w:val="left"/>
            </w:pPr>
            <w:r>
              <w:t>浮顶罐的边缘密封损耗可由下列公式估算得出：</w:t>
            </w:r>
          </w:p>
          <w:p w14:paraId="6AD9AF24">
            <w:pPr>
              <w:ind w:firstLine="480"/>
              <w:jc w:val="center"/>
            </w:pPr>
            <w:r>
              <w:t>LR=（KRa+KRbVn）DP</w:t>
            </w:r>
            <w:r>
              <w:rPr>
                <w:b/>
                <w:i/>
              </w:rPr>
              <w:t>*</w:t>
            </w:r>
            <w:r>
              <w:t>MVKC</w:t>
            </w:r>
          </w:p>
          <w:p w14:paraId="5FDF1579">
            <w:pPr>
              <w:ind w:firstLine="1200" w:firstLineChars="500"/>
              <w:jc w:val="left"/>
            </w:pPr>
            <w:r>
              <w:t>式中：</w:t>
            </w:r>
          </w:p>
          <w:p w14:paraId="14E710A5">
            <w:pPr>
              <w:ind w:firstLine="1680" w:firstLineChars="700"/>
              <w:jc w:val="left"/>
            </w:pPr>
            <w:r>
              <w:t>LR：边缘密封损耗，lb/a；</w:t>
            </w:r>
          </w:p>
          <w:p w14:paraId="1095F540">
            <w:pPr>
              <w:ind w:firstLine="1680" w:firstLineChars="700"/>
              <w:jc w:val="left"/>
            </w:pPr>
            <w:r>
              <w:t>KRa：零风速边缘密封损耗因子，lb-mol/ft·a；</w:t>
            </w:r>
          </w:p>
          <w:p w14:paraId="2C40FF11">
            <w:pPr>
              <w:ind w:firstLine="1680" w:firstLineChars="700"/>
              <w:jc w:val="left"/>
            </w:pPr>
            <w:r>
              <w:t>KR：有风时边缘密封损耗因子，lb-mol/（mph）n·ft·a；</w:t>
            </w:r>
          </w:p>
          <w:p w14:paraId="1CAB3FB7">
            <w:pPr>
              <w:ind w:firstLine="1680" w:firstLineChars="700"/>
              <w:jc w:val="left"/>
            </w:pPr>
            <w:r>
              <w:t>v罐点平均环境风速，mph；</w:t>
            </w:r>
          </w:p>
          <w:p w14:paraId="05C0BC32">
            <w:pPr>
              <w:ind w:firstLine="1680" w:firstLineChars="700"/>
              <w:jc w:val="left"/>
            </w:pPr>
            <w:r>
              <w:t>n密封相关风速指数，无量纲量；</w:t>
            </w:r>
          </w:p>
          <w:p w14:paraId="15624C1C">
            <w:pPr>
              <w:ind w:firstLine="1680" w:firstLineChars="700"/>
              <w:jc w:val="left"/>
            </w:pPr>
            <w:r>
              <w:t>P*蒸汽压函数，无量纲量。</w:t>
            </w:r>
          </w:p>
          <w:p w14:paraId="2F5C2DC1">
            <w:pPr>
              <w:ind w:firstLine="480"/>
              <w:jc w:val="left"/>
            </w:pPr>
            <w:r>
              <w:rPr>
                <w:rFonts w:hint="eastAsia" w:ascii="宋体" w:hAnsi="宋体" w:cs="宋体"/>
              </w:rPr>
              <w:t>②</w:t>
            </w:r>
            <w:r>
              <w:t>挂壁损耗</w:t>
            </w:r>
          </w:p>
          <w:p w14:paraId="2CB624B1">
            <w:pPr>
              <w:ind w:firstLine="480"/>
              <w:jc w:val="left"/>
            </w:pPr>
            <w:r>
              <w:t>浮顶罐的罐壁排放损耗可由公式估算得出：</w:t>
            </w:r>
          </w:p>
          <w:p w14:paraId="06896E1C">
            <w:pPr>
              <w:ind w:firstLine="480"/>
              <w:jc w:val="center"/>
            </w:pPr>
            <w:r>
              <w:t>LWD=（0.943）QCSWL/D[1+NCFC/D]</w:t>
            </w:r>
          </w:p>
          <w:p w14:paraId="1386D76F">
            <w:pPr>
              <w:ind w:firstLine="1200" w:firstLineChars="500"/>
              <w:jc w:val="left"/>
            </w:pPr>
            <w:r>
              <w:t>式中：</w:t>
            </w:r>
          </w:p>
          <w:p w14:paraId="08CA5E22">
            <w:pPr>
              <w:ind w:firstLine="1680" w:firstLineChars="700"/>
              <w:jc w:val="left"/>
            </w:pPr>
            <w:r>
              <w:t>LWD：挂壁损耗，lb/a；</w:t>
            </w:r>
          </w:p>
          <w:p w14:paraId="42075F50">
            <w:pPr>
              <w:ind w:firstLine="1680" w:firstLineChars="700"/>
              <w:jc w:val="left"/>
            </w:pPr>
            <w:r>
              <w:t>Q：年周转量，bbl/a；</w:t>
            </w:r>
          </w:p>
          <w:p w14:paraId="2D281BD3">
            <w:pPr>
              <w:ind w:firstLine="1680" w:firstLineChars="700"/>
              <w:jc w:val="left"/>
            </w:pPr>
            <w:r>
              <w:t>CS：罐体油垢因子；54</w:t>
            </w:r>
          </w:p>
          <w:p w14:paraId="3E43D6E0">
            <w:pPr>
              <w:ind w:firstLine="1680" w:firstLineChars="700"/>
              <w:jc w:val="left"/>
            </w:pPr>
            <w:r>
              <w:t>WL：有机液体密度，lb/gal；</w:t>
            </w:r>
          </w:p>
          <w:p w14:paraId="33ED1F5C">
            <w:pPr>
              <w:ind w:firstLine="1680" w:firstLineChars="700"/>
              <w:jc w:val="left"/>
            </w:pPr>
            <w:r>
              <w:t>D：罐体直径，ft0.943：常数，1000ft</w:t>
            </w:r>
            <w:r>
              <w:rPr>
                <w:vertAlign w:val="superscript"/>
              </w:rPr>
              <w:t>3</w:t>
            </w:r>
            <w:r>
              <w:t>·gal/bbl</w:t>
            </w:r>
            <w:r>
              <w:rPr>
                <w:vertAlign w:val="superscript"/>
              </w:rPr>
              <w:t>2</w:t>
            </w:r>
            <w:r>
              <w:t>；</w:t>
            </w:r>
          </w:p>
          <w:p w14:paraId="016066B4">
            <w:pPr>
              <w:ind w:firstLine="1680" w:firstLineChars="700"/>
              <w:jc w:val="left"/>
            </w:pPr>
            <w:r>
              <w:t>NC：固定顶支撑柱数量（对于自支撑固定浮顶或外浮顶罐：NC=0。），无量纲量；</w:t>
            </w:r>
          </w:p>
          <w:p w14:paraId="7A2AFCD8">
            <w:pPr>
              <w:ind w:firstLine="1680" w:firstLineChars="700"/>
              <w:jc w:val="left"/>
            </w:pPr>
            <w:r>
              <w:t>FC：有效柱直径，取值1.0。</w:t>
            </w:r>
          </w:p>
          <w:p w14:paraId="36B36FFF">
            <w:pPr>
              <w:ind w:firstLine="480"/>
              <w:jc w:val="left"/>
            </w:pPr>
            <w:r>
              <w:rPr>
                <w:rFonts w:hint="eastAsia" w:ascii="宋体" w:hAnsi="宋体" w:cs="宋体"/>
              </w:rPr>
              <w:t>③</w:t>
            </w:r>
            <w:r>
              <w:t>浮盘附件损耗</w:t>
            </w:r>
          </w:p>
          <w:p w14:paraId="10357BF7">
            <w:pPr>
              <w:ind w:firstLine="480"/>
              <w:jc w:val="left"/>
            </w:pPr>
            <w:r>
              <w:t>浮顶罐的浮盘附件损耗可由下面的公式估算得出：</w:t>
            </w:r>
          </w:p>
          <w:p w14:paraId="4BD84015">
            <w:pPr>
              <w:ind w:firstLine="480"/>
              <w:jc w:val="center"/>
            </w:pPr>
            <w:r>
              <w:t>LF=FFP</w:t>
            </w:r>
            <w:r>
              <w:rPr>
                <w:b/>
                <w:i/>
              </w:rPr>
              <w:t>*</w:t>
            </w:r>
            <w:r>
              <w:t>MVKC（4.3-4）</w:t>
            </w:r>
          </w:p>
          <w:p w14:paraId="0226007B">
            <w:pPr>
              <w:ind w:firstLine="1440" w:firstLineChars="600"/>
              <w:jc w:val="left"/>
            </w:pPr>
            <w:r>
              <w:t>式中：</w:t>
            </w:r>
          </w:p>
          <w:p w14:paraId="5C14203A">
            <w:pPr>
              <w:ind w:firstLine="1680" w:firstLineChars="700"/>
              <w:jc w:val="left"/>
            </w:pPr>
            <w:r>
              <w:t>LF：浮盘附件损耗，lb/a；</w:t>
            </w:r>
          </w:p>
          <w:p w14:paraId="3F420C62">
            <w:pPr>
              <w:ind w:firstLine="1680" w:firstLineChars="700"/>
              <w:jc w:val="left"/>
            </w:pPr>
            <w:r>
              <w:t>FF：总浮盘附件损耗因子，lb-mol/a；</w:t>
            </w:r>
          </w:p>
          <w:p w14:paraId="1321EFCE">
            <w:pPr>
              <w:ind w:firstLine="1680" w:firstLineChars="700"/>
              <w:jc w:val="left"/>
            </w:pPr>
            <w:r>
              <w:t>FF=[（NF1KF1）+（NF2KF2）+...+（NFnKFn）]（4.3-5）</w:t>
            </w:r>
          </w:p>
          <w:p w14:paraId="12036755">
            <w:pPr>
              <w:ind w:firstLine="1680" w:firstLineChars="700"/>
              <w:jc w:val="left"/>
            </w:pPr>
            <w:r>
              <w:t>式中：</w:t>
            </w:r>
          </w:p>
          <w:p w14:paraId="531430ED">
            <w:pPr>
              <w:ind w:firstLine="1680" w:firstLineChars="700"/>
              <w:jc w:val="left"/>
            </w:pPr>
            <w:r>
              <w:t>NFi：特定规格的浮盘附件数，无量纲量；</w:t>
            </w:r>
          </w:p>
          <w:p w14:paraId="21FED891">
            <w:pPr>
              <w:ind w:firstLine="1680" w:firstLineChars="700"/>
              <w:jc w:val="left"/>
            </w:pPr>
            <w:r>
              <w:t>KFi：特定规格的附件损耗因子，lb-mol/a；</w:t>
            </w:r>
          </w:p>
          <w:p w14:paraId="001CE6EA">
            <w:pPr>
              <w:ind w:firstLine="1680" w:firstLineChars="700"/>
              <w:jc w:val="left"/>
            </w:pPr>
            <w:r>
              <w:t>nf：不同种类的附件总数，无量纲量。</w:t>
            </w:r>
          </w:p>
          <w:p w14:paraId="0B64A4B3">
            <w:pPr>
              <w:ind w:firstLine="480"/>
              <w:jc w:val="left"/>
            </w:pPr>
            <w:r>
              <w:rPr>
                <w:rFonts w:hint="eastAsia" w:ascii="宋体" w:hAnsi="宋体" w:cs="宋体"/>
              </w:rPr>
              <w:t>④</w:t>
            </w:r>
            <w:r>
              <w:t>浮盘缝隙损耗</w:t>
            </w:r>
          </w:p>
          <w:p w14:paraId="5972A2FF">
            <w:pPr>
              <w:ind w:firstLine="480"/>
              <w:jc w:val="left"/>
            </w:pPr>
            <w:r>
              <w:rPr>
                <w:rFonts w:hint="eastAsia"/>
              </w:rPr>
              <w:t>扩建项目</w:t>
            </w:r>
            <w:r>
              <w:t>浮盘经焊接的内浮顶罐和外浮顶罐都没有盘缝损耗</w:t>
            </w:r>
            <w:r>
              <w:rPr>
                <w:rFonts w:hint="eastAsia"/>
              </w:rPr>
              <w:t>，</w:t>
            </w:r>
            <w:r>
              <w:t>浮盘缝隙损耗</w:t>
            </w:r>
            <w:r>
              <w:rPr>
                <w:rFonts w:hint="eastAsia"/>
              </w:rPr>
              <w:t>为0。</w:t>
            </w:r>
          </w:p>
          <w:p w14:paraId="46F2B2C1">
            <w:pPr>
              <w:ind w:firstLine="482"/>
              <w:rPr>
                <w:b/>
                <w:bCs/>
              </w:rPr>
            </w:pPr>
            <w:r>
              <w:rPr>
                <w:b/>
                <w:bCs/>
              </w:rPr>
              <w:t>B、固定顶罐</w:t>
            </w:r>
          </w:p>
          <w:p w14:paraId="408296E0">
            <w:pPr>
              <w:ind w:firstLine="480"/>
            </w:pPr>
            <w:r>
              <w:t>扩建项目在</w:t>
            </w:r>
            <w:r>
              <w:rPr>
                <w:rFonts w:hint="eastAsia"/>
                <w:szCs w:val="21"/>
              </w:rPr>
              <w:t>苯胺罐组</w:t>
            </w:r>
            <w:r>
              <w:t>为固定顶罐，参考《指南》中的公式，固定顶罐VOC</w:t>
            </w:r>
            <w:r>
              <w:rPr>
                <w:vertAlign w:val="subscript"/>
              </w:rPr>
              <w:t>S</w:t>
            </w:r>
            <w:r>
              <w:t>总损耗如下：</w:t>
            </w:r>
          </w:p>
          <w:p w14:paraId="58117789">
            <w:pPr>
              <w:ind w:firstLine="480"/>
              <w:jc w:val="center"/>
            </w:pPr>
            <w:bookmarkStart w:id="34" w:name="_Ref413912918"/>
            <w:r>
              <w:object>
                <v:shape id="_x0000_i1026" o:spt="75" type="#_x0000_t75" style="height:21.4pt;width:93.4pt;" o:ole="t" filled="f" o:preferrelative="t" stroked="f" coordsize="21600,21600">
                  <v:path/>
                  <v:fill on="f" focussize="0,0"/>
                  <v:stroke on="f" joinstyle="miter"/>
                  <v:imagedata r:id="rId61" o:title=""/>
                  <o:lock v:ext="edit" aspectratio="t"/>
                  <w10:wrap type="none"/>
                  <w10:anchorlock/>
                </v:shape>
                <o:OLEObject Type="Embed" ProgID="Equation.DSMT4" ShapeID="_x0000_i1026" DrawAspect="Content" ObjectID="_1468075726" r:id="rId60">
                  <o:LockedField>false</o:LockedField>
                </o:OLEObject>
              </w:object>
            </w:r>
          </w:p>
          <w:bookmarkEnd w:id="34"/>
          <w:p w14:paraId="29112794">
            <w:pPr>
              <w:ind w:firstLine="480"/>
            </w:pPr>
            <w:r>
              <w:t>式中：</w:t>
            </w:r>
          </w:p>
          <w:p w14:paraId="09B258BF">
            <w:pPr>
              <w:ind w:firstLine="480"/>
            </w:pPr>
            <w:r>
              <w:t>E</w:t>
            </w:r>
            <w:r>
              <w:rPr>
                <w:vertAlign w:val="subscript"/>
              </w:rPr>
              <w:t>固</w:t>
            </w:r>
            <w:r>
              <w:tab/>
            </w:r>
            <w:r>
              <w:t>：固定顶罐总损失，磅/年；</w:t>
            </w:r>
          </w:p>
          <w:p w14:paraId="3F74F4D4">
            <w:pPr>
              <w:ind w:firstLine="480"/>
            </w:pPr>
            <w:r>
              <w:t>E</w:t>
            </w:r>
            <w:r>
              <w:rPr>
                <w:vertAlign w:val="subscript"/>
              </w:rPr>
              <w:t>S</w:t>
            </w:r>
            <w:r>
              <w:t>：静置损失，磅/年；</w:t>
            </w:r>
          </w:p>
          <w:p w14:paraId="4A6E8745">
            <w:pPr>
              <w:ind w:firstLine="480"/>
            </w:pPr>
            <w:r>
              <w:t>E</w:t>
            </w:r>
            <w:r>
              <w:rPr>
                <w:vertAlign w:val="subscript"/>
              </w:rPr>
              <w:t>W</w:t>
            </w:r>
            <w:r>
              <w:t>：工作损失，磅/年。</w:t>
            </w:r>
          </w:p>
          <w:p w14:paraId="08C77673">
            <w:pPr>
              <w:ind w:firstLine="480"/>
              <w:rPr>
                <w:bCs/>
                <w:i/>
                <w:iCs/>
              </w:rPr>
            </w:pPr>
            <w:r>
              <w:rPr>
                <w:rFonts w:hint="eastAsia" w:ascii="宋体" w:hAnsi="宋体" w:cs="宋体"/>
                <w:bCs/>
              </w:rPr>
              <w:t>①</w:t>
            </w:r>
            <w:r>
              <w:rPr>
                <w:bCs/>
              </w:rPr>
              <w:t>静置损失，E</w:t>
            </w:r>
            <w:r>
              <w:rPr>
                <w:bCs/>
                <w:vertAlign w:val="subscript"/>
              </w:rPr>
              <w:t>S</w:t>
            </w:r>
            <w:r>
              <w:rPr>
                <w:bCs/>
              </w:rPr>
              <w:t>。</w:t>
            </w:r>
          </w:p>
          <w:p w14:paraId="2FCF6BF5">
            <w:pPr>
              <w:ind w:firstLine="480"/>
              <w:jc w:val="center"/>
            </w:pPr>
            <w:r>
              <w:object>
                <v:shape id="_x0000_i1027" o:spt="75" type="#_x0000_t75" style="height:21.4pt;width:134.75pt;" o:ole="t" filled="f" o:preferrelative="t" stroked="f" coordsize="21600,21600">
                  <v:path/>
                  <v:fill on="f" focussize="0,0"/>
                  <v:stroke on="f" joinstyle="miter"/>
                  <v:imagedata r:id="rId63" o:title=""/>
                  <o:lock v:ext="edit" aspectratio="t"/>
                  <w10:wrap type="none"/>
                  <w10:anchorlock/>
                </v:shape>
                <o:OLEObject Type="Embed" ProgID="Equation.DSMT4" ShapeID="_x0000_i1027" DrawAspect="Content" ObjectID="_1468075727" r:id="rId62">
                  <o:LockedField>false</o:LockedField>
                </o:OLEObject>
              </w:object>
            </w:r>
          </w:p>
          <w:p w14:paraId="7CB10A12">
            <w:pPr>
              <w:ind w:firstLine="480"/>
            </w:pPr>
            <w:r>
              <w:t>式中：</w:t>
            </w:r>
          </w:p>
          <w:p w14:paraId="2A173F7C">
            <w:pPr>
              <w:ind w:firstLine="480"/>
            </w:pPr>
            <w:r>
              <w:t>E</w:t>
            </w:r>
            <w:r>
              <w:rPr>
                <w:vertAlign w:val="subscript"/>
              </w:rPr>
              <w:t>S</w:t>
            </w:r>
            <w:r>
              <w:t>：静置损失（地下卧式罐的E</w:t>
            </w:r>
            <w:r>
              <w:rPr>
                <w:vertAlign w:val="subscript"/>
              </w:rPr>
              <w:t>S</w:t>
            </w:r>
            <w:r>
              <w:t>取0），磅/年；</w:t>
            </w:r>
          </w:p>
          <w:p w14:paraId="0B6A1E43">
            <w:pPr>
              <w:ind w:firstLine="480"/>
            </w:pPr>
            <w:r>
              <w:t>V</w:t>
            </w:r>
            <w:r>
              <w:rPr>
                <w:vertAlign w:val="subscript"/>
              </w:rPr>
              <w:t>V</w:t>
            </w:r>
            <w:r>
              <w:t>：气相空间容积，立方英尺；</w:t>
            </w:r>
          </w:p>
          <w:p w14:paraId="14EA62D9">
            <w:pPr>
              <w:ind w:firstLine="480"/>
            </w:pPr>
            <w:r>
              <w:t>W</w:t>
            </w:r>
            <w:r>
              <w:rPr>
                <w:vertAlign w:val="subscript"/>
              </w:rPr>
              <w:t>V</w:t>
            </w:r>
            <w:r>
              <w:t>：储藏气相密度，磅/立方英尺；</w:t>
            </w:r>
          </w:p>
          <w:p w14:paraId="7F0986A9">
            <w:pPr>
              <w:ind w:firstLine="480"/>
            </w:pPr>
            <w:r>
              <w:t>K</w:t>
            </w:r>
            <w:r>
              <w:rPr>
                <w:vertAlign w:val="subscript"/>
              </w:rPr>
              <w:t>E</w:t>
            </w:r>
            <w:r>
              <w:t>：气相空间膨胀因子；</w:t>
            </w:r>
          </w:p>
          <w:p w14:paraId="05CC2F4F">
            <w:pPr>
              <w:ind w:firstLine="480"/>
            </w:pPr>
            <w:r>
              <w:t>K</w:t>
            </w:r>
            <w:r>
              <w:rPr>
                <w:vertAlign w:val="subscript"/>
              </w:rPr>
              <w:t>S</w:t>
            </w:r>
            <w:r>
              <w:t>：排放蒸气饱和因子，无量纲量。</w:t>
            </w:r>
          </w:p>
          <w:p w14:paraId="402CAFBD">
            <w:pPr>
              <w:ind w:firstLine="480"/>
            </w:pPr>
            <w:r>
              <w:t>立式罐气相空间容积V</w:t>
            </w:r>
            <w:r>
              <w:rPr>
                <w:vertAlign w:val="subscript"/>
              </w:rPr>
              <w:t>V</w:t>
            </w:r>
            <w:r>
              <w:t>：</w:t>
            </w:r>
          </w:p>
          <w:p w14:paraId="4BA3931C">
            <w:pPr>
              <w:ind w:firstLine="480"/>
              <w:jc w:val="center"/>
            </w:pPr>
            <w:r>
              <w:object>
                <v:shape id="_x0000_i1028" o:spt="75" type="#_x0000_t75" style="height:45.6pt;width:115.5pt;" o:ole="t" filled="f" o:preferrelative="t" stroked="f" coordsize="21600,21600">
                  <v:path/>
                  <v:fill on="f" focussize="0,0"/>
                  <v:stroke on="f" joinstyle="miter"/>
                  <v:imagedata r:id="rId65" o:title=""/>
                  <o:lock v:ext="edit" aspectratio="t"/>
                  <w10:wrap type="none"/>
                  <w10:anchorlock/>
                </v:shape>
                <o:OLEObject Type="Embed" ProgID="Equation.DSMT4" ShapeID="_x0000_i1028" DrawAspect="Content" ObjectID="_1468075728" r:id="rId64">
                  <o:LockedField>false</o:LockedField>
                </o:OLEObject>
              </w:object>
            </w:r>
          </w:p>
          <w:p w14:paraId="3FF6A992">
            <w:pPr>
              <w:ind w:firstLine="480"/>
            </w:pPr>
            <w:r>
              <w:t>式中：</w:t>
            </w:r>
          </w:p>
          <w:p w14:paraId="4B298A63">
            <w:pPr>
              <w:ind w:firstLine="480"/>
            </w:pPr>
            <w:r>
              <w:t>V</w:t>
            </w:r>
            <w:r>
              <w:rPr>
                <w:vertAlign w:val="subscript"/>
              </w:rPr>
              <w:t>V</w:t>
            </w:r>
            <w:r>
              <w:t>：气相空间容积，立方英尺；</w:t>
            </w:r>
          </w:p>
          <w:p w14:paraId="1C038D79">
            <w:pPr>
              <w:ind w:firstLine="480"/>
            </w:pPr>
            <w:r>
              <w:t>D：罐径，英尺；</w:t>
            </w:r>
          </w:p>
          <w:p w14:paraId="43BC2E2D">
            <w:pPr>
              <w:ind w:firstLine="480"/>
            </w:pPr>
            <w:r>
              <w:t>H</w:t>
            </w:r>
            <w:r>
              <w:rPr>
                <w:vertAlign w:val="subscript"/>
              </w:rPr>
              <w:t>VO</w:t>
            </w:r>
            <w:r>
              <w:t>：气相空间高度，英尺。</w:t>
            </w:r>
          </w:p>
          <w:p w14:paraId="55BCE4A0">
            <w:pPr>
              <w:adjustRightInd w:val="0"/>
              <w:snapToGrid w:val="0"/>
              <w:ind w:firstLine="480"/>
              <w:rPr>
                <w:bCs/>
              </w:rPr>
            </w:pPr>
            <w:r>
              <w:rPr>
                <w:rFonts w:hint="eastAsia" w:ascii="宋体" w:hAnsi="宋体" w:cs="宋体"/>
                <w:bCs/>
              </w:rPr>
              <w:t>②</w:t>
            </w:r>
            <w:r>
              <w:rPr>
                <w:bCs/>
              </w:rPr>
              <w:t>工作损失，E</w:t>
            </w:r>
            <w:r>
              <w:rPr>
                <w:bCs/>
                <w:vertAlign w:val="subscript"/>
              </w:rPr>
              <w:t>W</w:t>
            </w:r>
            <w:r>
              <w:rPr>
                <w:bCs/>
              </w:rPr>
              <w:t>。</w:t>
            </w:r>
          </w:p>
          <w:p w14:paraId="0D49B4C2">
            <w:pPr>
              <w:adjustRightInd w:val="0"/>
              <w:snapToGrid w:val="0"/>
              <w:ind w:firstLine="480"/>
              <w:jc w:val="center"/>
            </w:pPr>
            <w:r>
              <w:object>
                <v:shape id="_x0000_i1029" o:spt="75" type="#_x0000_t75" style="height:45.6pt;width:193.9pt;" o:ole="t" filled="f" o:preferrelative="t" stroked="f" coordsize="21600,21600">
                  <v:path/>
                  <v:fill on="f" focussize="0,0"/>
                  <v:stroke on="f" joinstyle="miter"/>
                  <v:imagedata r:id="rId67" o:title=""/>
                  <o:lock v:ext="edit" aspectratio="t"/>
                  <w10:wrap type="none"/>
                  <w10:anchorlock/>
                </v:shape>
                <o:OLEObject Type="Embed" ProgID="Equation.DSMT4" ShapeID="_x0000_i1029" DrawAspect="Content" ObjectID="_1468075729" r:id="rId66">
                  <o:LockedField>false</o:LockedField>
                </o:OLEObject>
              </w:object>
            </w:r>
            <w:r>
              <w:tab/>
            </w:r>
          </w:p>
          <w:p w14:paraId="40E03638">
            <w:pPr>
              <w:adjustRightInd w:val="0"/>
              <w:snapToGrid w:val="0"/>
              <w:ind w:firstLine="480"/>
            </w:pPr>
            <w:r>
              <w:t>式中：</w:t>
            </w:r>
          </w:p>
          <w:p w14:paraId="5AD0163E">
            <w:pPr>
              <w:adjustRightInd w:val="0"/>
              <w:snapToGrid w:val="0"/>
              <w:ind w:firstLine="480"/>
            </w:pPr>
            <w:r>
              <w:t>E</w:t>
            </w:r>
            <w:r>
              <w:rPr>
                <w:vertAlign w:val="subscript"/>
              </w:rPr>
              <w:t>W</w:t>
            </w:r>
            <w:r>
              <w:t>：工作损失，磅/年；</w:t>
            </w:r>
          </w:p>
          <w:p w14:paraId="08C52FA7">
            <w:pPr>
              <w:adjustRightInd w:val="0"/>
              <w:snapToGrid w:val="0"/>
              <w:ind w:firstLine="480"/>
            </w:pPr>
            <w:r>
              <w:t>M</w:t>
            </w:r>
            <w:r>
              <w:rPr>
                <w:vertAlign w:val="subscript"/>
              </w:rPr>
              <w:t>V</w:t>
            </w:r>
            <w:r>
              <w:t>：气相分子量，磅/磅-摩尔；</w:t>
            </w:r>
          </w:p>
          <w:p w14:paraId="2DABE1D7">
            <w:pPr>
              <w:adjustRightInd w:val="0"/>
              <w:snapToGrid w:val="0"/>
              <w:ind w:firstLine="480"/>
            </w:pPr>
            <w:r>
              <w:t>T</w:t>
            </w:r>
            <w:r>
              <w:rPr>
                <w:vertAlign w:val="subscript"/>
              </w:rPr>
              <w:t>LA</w:t>
            </w:r>
            <w:r>
              <w:tab/>
            </w:r>
            <w:r>
              <w:t>：日平均液体表面温度，兰氏度；</w:t>
            </w:r>
          </w:p>
          <w:p w14:paraId="270DCBFE">
            <w:pPr>
              <w:adjustRightInd w:val="0"/>
              <w:snapToGrid w:val="0"/>
              <w:ind w:firstLine="480"/>
            </w:pPr>
            <w:r>
              <w:t>P</w:t>
            </w:r>
            <w:r>
              <w:rPr>
                <w:vertAlign w:val="subscript"/>
              </w:rPr>
              <w:t>VA</w:t>
            </w:r>
            <w:r>
              <w:t>：真实蒸气压，磅/平方英寸（绝压）；</w:t>
            </w:r>
          </w:p>
          <w:p w14:paraId="78B3404C">
            <w:pPr>
              <w:adjustRightInd w:val="0"/>
              <w:snapToGrid w:val="0"/>
              <w:ind w:firstLine="480"/>
            </w:pPr>
            <w:r>
              <w:t>Q：年周转量，桶/年；</w:t>
            </w:r>
          </w:p>
          <w:p w14:paraId="4478A2D1">
            <w:pPr>
              <w:adjustRightInd w:val="0"/>
              <w:snapToGrid w:val="0"/>
              <w:ind w:firstLine="480"/>
            </w:pPr>
            <w:r>
              <w:t>K</w:t>
            </w:r>
            <w:r>
              <w:rPr>
                <w:vertAlign w:val="subscript"/>
              </w:rPr>
              <w:t>P</w:t>
            </w:r>
            <w:r>
              <w:t>：工作损失产品因子，无量纲量；对于原油K</w:t>
            </w:r>
            <w:r>
              <w:rPr>
                <w:vertAlign w:val="subscript"/>
              </w:rPr>
              <w:t>P</w:t>
            </w:r>
            <w:r>
              <w:t>=0.75；对于其它有机液体K</w:t>
            </w:r>
            <w:r>
              <w:rPr>
                <w:vertAlign w:val="subscript"/>
              </w:rPr>
              <w:t>P</w:t>
            </w:r>
            <w:r>
              <w:t>=1；</w:t>
            </w:r>
          </w:p>
          <w:p w14:paraId="19D0529A">
            <w:pPr>
              <w:adjustRightInd w:val="0"/>
              <w:snapToGrid w:val="0"/>
              <w:ind w:firstLine="480"/>
            </w:pPr>
            <w:r>
              <w:t>K</w:t>
            </w:r>
            <w:r>
              <w:rPr>
                <w:vertAlign w:val="subscript"/>
              </w:rPr>
              <w:t>N</w:t>
            </w:r>
            <w:r>
              <w:t>：工作排放周转（饱和）因子，无量纲量；当周转数＞36，K</w:t>
            </w:r>
            <w:r>
              <w:rPr>
                <w:vertAlign w:val="subscript"/>
              </w:rPr>
              <w:t>N</w:t>
            </w:r>
            <w:r>
              <w:t>=（180+N）/6N；当周转数≤36，K</w:t>
            </w:r>
            <w:r>
              <w:rPr>
                <w:vertAlign w:val="subscript"/>
              </w:rPr>
              <w:t>N</w:t>
            </w:r>
            <w:r>
              <w:t>=1；</w:t>
            </w:r>
          </w:p>
          <w:p w14:paraId="6EFD2716">
            <w:pPr>
              <w:adjustRightInd w:val="0"/>
              <w:snapToGrid w:val="0"/>
              <w:ind w:firstLine="480"/>
            </w:pPr>
            <w:r>
              <w:t>K</w:t>
            </w:r>
            <w:r>
              <w:rPr>
                <w:vertAlign w:val="subscript"/>
              </w:rPr>
              <w:t>B</w:t>
            </w:r>
            <w:r>
              <w:rPr>
                <w:vertAlign w:val="subscript"/>
              </w:rPr>
              <w:tab/>
            </w:r>
            <w:r>
              <w:t>呼吸阀工作校正因子。</w:t>
            </w:r>
          </w:p>
          <w:p w14:paraId="7717BCA9">
            <w:pPr>
              <w:adjustRightInd w:val="0"/>
              <w:snapToGrid w:val="0"/>
              <w:ind w:firstLine="480"/>
              <w:jc w:val="left"/>
            </w:pPr>
            <w:r>
              <w:t>当</w:t>
            </w:r>
          </w:p>
          <w:p w14:paraId="0578E994">
            <w:pPr>
              <w:adjustRightInd w:val="0"/>
              <w:snapToGrid w:val="0"/>
              <w:ind w:firstLine="480"/>
              <w:jc w:val="center"/>
            </w:pPr>
            <w:r>
              <w:object>
                <v:shape id="_x0000_i1030" o:spt="75" type="#_x0000_t75" style="height:47.75pt;width:129.05pt;" o:ole="t" filled="f" o:preferrelative="t" stroked="f" coordsize="21600,21600">
                  <v:path/>
                  <v:fill on="f" focussize="0,0"/>
                  <v:stroke on="f" joinstyle="miter"/>
                  <v:imagedata r:id="rId69" o:title=""/>
                  <o:lock v:ext="edit" aspectratio="t"/>
                  <w10:wrap type="none"/>
                  <w10:anchorlock/>
                </v:shape>
                <o:OLEObject Type="Embed" ProgID="Equation.DSMT4" ShapeID="_x0000_i1030" DrawAspect="Content" ObjectID="_1468075730" r:id="rId68">
                  <o:LockedField>false</o:LockedField>
                </o:OLEObject>
              </w:object>
            </w:r>
          </w:p>
          <w:p w14:paraId="590898F0">
            <w:pPr>
              <w:adjustRightInd w:val="0"/>
              <w:snapToGrid w:val="0"/>
              <w:ind w:firstLine="480"/>
              <w:jc w:val="left"/>
            </w:pPr>
            <w:r>
              <w:t>时，</w:t>
            </w:r>
          </w:p>
          <w:p w14:paraId="7E81BCE4">
            <w:pPr>
              <w:adjustRightInd w:val="0"/>
              <w:snapToGrid w:val="0"/>
              <w:ind w:firstLine="480"/>
              <w:jc w:val="center"/>
            </w:pPr>
            <w:r>
              <w:object>
                <v:shape id="_x0000_i1031" o:spt="75" type="#_x0000_t75" style="height:72.7pt;width:119.05pt;" o:ole="t" filled="f" o:preferrelative="t" stroked="f" coordsize="21600,21600">
                  <v:path/>
                  <v:fill on="f" focussize="0,0"/>
                  <v:stroke on="f" joinstyle="miter"/>
                  <v:imagedata r:id="rId71" o:title=""/>
                  <o:lock v:ext="edit" aspectratio="t"/>
                  <w10:wrap type="none"/>
                  <w10:anchorlock/>
                </v:shape>
                <o:OLEObject Type="Embed" ProgID="Equation.DSMT4" ShapeID="_x0000_i1031" DrawAspect="Content" ObjectID="_1468075731" r:id="rId70">
                  <o:LockedField>false</o:LockedField>
                </o:OLEObject>
              </w:object>
            </w:r>
            <w:r>
              <w:tab/>
            </w:r>
          </w:p>
          <w:p w14:paraId="2048764A">
            <w:pPr>
              <w:adjustRightInd w:val="0"/>
              <w:snapToGrid w:val="0"/>
              <w:ind w:firstLine="480"/>
            </w:pPr>
            <w:r>
              <w:t>式中：</w:t>
            </w:r>
          </w:p>
          <w:p w14:paraId="1440ADC3">
            <w:pPr>
              <w:adjustRightInd w:val="0"/>
              <w:snapToGrid w:val="0"/>
              <w:ind w:firstLine="480"/>
            </w:pPr>
            <w:r>
              <w:t>K</w:t>
            </w:r>
            <w:r>
              <w:rPr>
                <w:vertAlign w:val="subscript"/>
              </w:rPr>
              <w:t>B</w:t>
            </w:r>
            <w:r>
              <w:t>：呼吸阀校正因子，无量纲量；</w:t>
            </w:r>
          </w:p>
          <w:p w14:paraId="2D13D421">
            <w:pPr>
              <w:adjustRightInd w:val="0"/>
              <w:snapToGrid w:val="0"/>
              <w:ind w:firstLine="480"/>
            </w:pPr>
            <w:r>
              <w:t>P</w:t>
            </w:r>
            <w:r>
              <w:rPr>
                <w:vertAlign w:val="subscript"/>
              </w:rPr>
              <w:t>I</w:t>
            </w:r>
            <w:r>
              <w:t>：正常工况条件下气相空间压力，磅/平方英寸（表压）；</w:t>
            </w:r>
          </w:p>
          <w:p w14:paraId="34FDBE34">
            <w:pPr>
              <w:adjustRightInd w:val="0"/>
              <w:snapToGrid w:val="0"/>
              <w:ind w:firstLine="480"/>
            </w:pPr>
            <w:r>
              <w:t>P</w:t>
            </w:r>
            <w:r>
              <w:rPr>
                <w:vertAlign w:val="subscript"/>
              </w:rPr>
              <w:t>I</w:t>
            </w:r>
            <w:r>
              <w:t>：是一个实际压力（表压），如果处在大气压下（不是真空或处在稳定压力下），P</w:t>
            </w:r>
            <w:r>
              <w:rPr>
                <w:vertAlign w:val="subscript"/>
              </w:rPr>
              <w:t>I</w:t>
            </w:r>
            <w:r>
              <w:t>为0；</w:t>
            </w:r>
          </w:p>
          <w:p w14:paraId="2DB0492A">
            <w:pPr>
              <w:adjustRightInd w:val="0"/>
              <w:snapToGrid w:val="0"/>
              <w:ind w:firstLine="480"/>
            </w:pPr>
            <w:r>
              <w:t>P</w:t>
            </w:r>
            <w:r>
              <w:rPr>
                <w:vertAlign w:val="subscript"/>
              </w:rPr>
              <w:t>A</w:t>
            </w:r>
            <w:r>
              <w:t>：大气压，磅/平方英寸（绝压）；</w:t>
            </w:r>
          </w:p>
          <w:p w14:paraId="2BDAF839">
            <w:pPr>
              <w:adjustRightInd w:val="0"/>
              <w:snapToGrid w:val="0"/>
              <w:ind w:firstLine="480"/>
            </w:pPr>
            <w:r>
              <w:t>K</w:t>
            </w:r>
            <w:r>
              <w:rPr>
                <w:vertAlign w:val="subscript"/>
              </w:rPr>
              <w:t>N</w:t>
            </w:r>
            <w:r>
              <w:t>：工作排放周转（饱和）因子，无量纲量；</w:t>
            </w:r>
          </w:p>
          <w:p w14:paraId="6A66D7E9">
            <w:pPr>
              <w:adjustRightInd w:val="0"/>
              <w:snapToGrid w:val="0"/>
              <w:ind w:firstLine="480"/>
            </w:pPr>
            <w:r>
              <w:t>PVA</w:t>
            </w:r>
            <w:r>
              <w:tab/>
            </w:r>
            <w:r>
              <w:t>：日平均液面温度下的蒸气压，磅/平方英寸（绝压）；</w:t>
            </w:r>
          </w:p>
          <w:p w14:paraId="71562147">
            <w:pPr>
              <w:adjustRightInd w:val="0"/>
              <w:snapToGrid w:val="0"/>
              <w:ind w:firstLine="480"/>
            </w:pPr>
            <w:r>
              <w:t>P</w:t>
            </w:r>
            <w:r>
              <w:rPr>
                <w:vertAlign w:val="subscript"/>
              </w:rPr>
              <w:t>BP</w:t>
            </w:r>
            <w:r>
              <w:rPr>
                <w:vertAlign w:val="subscript"/>
              </w:rPr>
              <w:tab/>
            </w:r>
            <w:r>
              <w:t>：呼吸阀压力设定，磅/平方英寸（表压）。</w:t>
            </w:r>
          </w:p>
          <w:p w14:paraId="381D90E7">
            <w:pPr>
              <w:adjustRightInd w:val="0"/>
              <w:snapToGrid w:val="0"/>
              <w:ind w:firstLine="480"/>
            </w:pPr>
            <w:r>
              <w:rPr>
                <w:rFonts w:hint="eastAsia"/>
              </w:rPr>
              <w:t>③</w:t>
            </w:r>
            <w:r>
              <w:t>计算结果</w:t>
            </w:r>
          </w:p>
          <w:p w14:paraId="180FC2B3">
            <w:pPr>
              <w:ind w:firstLine="480"/>
            </w:pPr>
            <w:r>
              <w:t>根据</w:t>
            </w:r>
            <w:r>
              <w:rPr>
                <w:lang w:val="en-GB"/>
              </w:rPr>
              <w:t>《挥发性有机物无组织排放控制标准》（GB37822-2019）中</w:t>
            </w:r>
            <w:r>
              <w:t>5.2.2.2</w:t>
            </w:r>
            <w:r>
              <w:rPr>
                <w:lang w:val="en-GB"/>
              </w:rPr>
              <w:t>要求“储存真实蒸汽压≥</w:t>
            </w:r>
            <w:r>
              <w:t>27.6kPa但＜76.6kpa且储罐容积≥75m³的挥发性有机液体的储罐，以及储存真实蒸汽压</w:t>
            </w:r>
            <w:r>
              <w:rPr>
                <w:lang w:val="en-GB"/>
              </w:rPr>
              <w:t>≥</w:t>
            </w:r>
            <w:r>
              <w:t>5.2kPa但＜27.6kpa且储罐容积≥150m³的挥发性有机液体的储罐，应符合下a）采用浮顶罐，b）</w:t>
            </w:r>
            <w:r>
              <w:rPr>
                <w:lang w:val="en-GB"/>
              </w:rPr>
              <w:t>采用固定顶罐，排放的废气应收集处理并满足相关行业标准，或者处理效率不低于</w:t>
            </w:r>
            <w:r>
              <w:t>90%</w:t>
            </w:r>
            <w:r>
              <w:rPr>
                <w:lang w:val="en-GB"/>
              </w:rPr>
              <w:t>”。</w:t>
            </w:r>
            <w:r>
              <w:t>废气计算结果见表</w:t>
            </w:r>
            <w:r>
              <w:rPr>
                <w:rFonts w:hint="eastAsia"/>
              </w:rPr>
              <w:t>4.2-1</w:t>
            </w:r>
            <w:r>
              <w:t>~4.</w:t>
            </w:r>
            <w:r>
              <w:rPr>
                <w:rFonts w:hint="eastAsia"/>
              </w:rPr>
              <w:t>2-2</w:t>
            </w:r>
            <w:r>
              <w:t>。</w:t>
            </w:r>
          </w:p>
          <w:p w14:paraId="0774C958">
            <w:pPr>
              <w:snapToGrid w:val="0"/>
              <w:ind w:firstLine="480"/>
            </w:pPr>
            <w:r>
              <w:rPr>
                <w:rFonts w:hint="eastAsia"/>
              </w:rPr>
              <w:t>2</w:t>
            </w:r>
            <w:r>
              <w:t>）</w:t>
            </w:r>
            <w:r>
              <w:rPr>
                <w:rFonts w:hint="eastAsia"/>
              </w:rPr>
              <w:t>装卸</w:t>
            </w:r>
            <w:r>
              <w:t>废气</w:t>
            </w:r>
          </w:p>
          <w:p w14:paraId="5C849F72">
            <w:pPr>
              <w:ind w:firstLine="480"/>
            </w:pPr>
            <w:r>
              <w:t>根据《指南》中推荐的公式，</w:t>
            </w:r>
            <w:r>
              <w:rPr>
                <w:rFonts w:hint="eastAsia"/>
              </w:rPr>
              <w:t>船舶装载汽油和原油以外的产品时，装载损耗排放因子L</w:t>
            </w:r>
            <w:r>
              <w:rPr>
                <w:rFonts w:hint="eastAsia"/>
                <w:vertAlign w:val="subscript"/>
              </w:rPr>
              <w:t>L</w:t>
            </w:r>
            <w:r>
              <w:rPr>
                <w:rFonts w:hint="eastAsia"/>
              </w:rPr>
              <w:t>可利用公路、铁路装载石油制品过程的计算公式进行估算，</w:t>
            </w:r>
            <w:r>
              <w:t>有机液体装</w:t>
            </w:r>
            <w:r>
              <w:rPr>
                <w:rFonts w:hint="eastAsia"/>
              </w:rPr>
              <w:t>载</w:t>
            </w:r>
            <w:r>
              <w:t>挥发损失量的计算公式如下：</w:t>
            </w:r>
          </w:p>
          <w:p w14:paraId="65BA8A9A">
            <w:pPr>
              <w:ind w:firstLine="480"/>
              <w:jc w:val="center"/>
            </w:pPr>
            <w:r>
              <w:drawing>
                <wp:inline distT="0" distB="0" distL="0" distR="0">
                  <wp:extent cx="2011680" cy="701040"/>
                  <wp:effectExtent l="0" t="0" r="7620" b="3810"/>
                  <wp:docPr id="21"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011680" cy="701040"/>
                          </a:xfrm>
                          <a:prstGeom prst="rect">
                            <a:avLst/>
                          </a:prstGeom>
                          <a:noFill/>
                          <a:ln>
                            <a:noFill/>
                          </a:ln>
                        </pic:spPr>
                      </pic:pic>
                    </a:graphicData>
                  </a:graphic>
                </wp:inline>
              </w:drawing>
            </w:r>
          </w:p>
          <w:p w14:paraId="48B3BFCD">
            <w:pPr>
              <w:ind w:firstLine="480"/>
              <w:jc w:val="center"/>
            </w:pPr>
            <w:r>
              <w:drawing>
                <wp:inline distT="0" distB="0" distL="0" distR="0">
                  <wp:extent cx="853440" cy="457200"/>
                  <wp:effectExtent l="0" t="0" r="3810" b="0"/>
                  <wp:docPr id="22"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853440" cy="457200"/>
                          </a:xfrm>
                          <a:prstGeom prst="rect">
                            <a:avLst/>
                          </a:prstGeom>
                          <a:noFill/>
                          <a:ln>
                            <a:noFill/>
                          </a:ln>
                        </pic:spPr>
                      </pic:pic>
                    </a:graphicData>
                  </a:graphic>
                </wp:inline>
              </w:drawing>
            </w:r>
          </w:p>
          <w:p w14:paraId="3D17DE89">
            <w:pPr>
              <w:ind w:firstLine="480"/>
            </w:pPr>
            <w:r>
              <w:t>E装卸：装载过程VOCs年排放量，吨/年；</w:t>
            </w:r>
          </w:p>
          <w:p w14:paraId="0F199304">
            <w:pPr>
              <w:ind w:firstLine="480"/>
            </w:pPr>
            <w:r>
              <w:t>Q：物料年周转量，立方米/年；</w:t>
            </w:r>
          </w:p>
          <w:p w14:paraId="0A46E493">
            <w:pPr>
              <w:ind w:firstLine="480"/>
            </w:pPr>
            <w:r>
              <w:t>LL：装载损失排放因子，千克/立方米；</w:t>
            </w:r>
          </w:p>
          <w:p w14:paraId="0929F925">
            <w:pPr>
              <w:ind w:firstLine="480"/>
            </w:pPr>
            <w:r>
              <w:t>η总：总控制效率，%；</w:t>
            </w:r>
          </w:p>
          <w:p w14:paraId="3C4FD0E7">
            <w:pPr>
              <w:ind w:firstLine="480"/>
            </w:pPr>
            <w:r>
              <w:t>S：饱和因子，代表排出的挥发性有机物接近饱和的程度，扩建项目挥发性有机液体装车采用底部装载方式</w:t>
            </w:r>
            <w:r>
              <w:rPr>
                <w:rFonts w:hint="eastAsia"/>
              </w:rPr>
              <w:t>，公路、铁路装载</w:t>
            </w:r>
            <w:r>
              <w:t>底部/液下装载取</w:t>
            </w:r>
            <w:r>
              <w:rPr>
                <w:rFonts w:hint="eastAsia"/>
              </w:rPr>
              <w:t>值饱和因子取值为0.6，水运轮船液下装载（国际）饱和因子取值为0.2，详见表4.2-1</w:t>
            </w:r>
            <w:r>
              <w:t>；</w:t>
            </w:r>
          </w:p>
          <w:p w14:paraId="2B105D71">
            <w:pPr>
              <w:ind w:firstLine="480"/>
            </w:pPr>
            <w:r>
              <w:t>C</w:t>
            </w:r>
            <w:r>
              <w:rPr>
                <w:vertAlign w:val="subscript"/>
              </w:rPr>
              <w:t>0</w:t>
            </w:r>
            <w:r>
              <w:t>：装载罐车气、液相处于平衡状态，将挥发性物料视为理想气体下的密度，千克/立方米；</w:t>
            </w:r>
          </w:p>
          <w:p w14:paraId="74170BF0">
            <w:pPr>
              <w:ind w:firstLine="480"/>
            </w:pPr>
            <w:r>
              <w:t>T：实际装载温度，摄氏度；</w:t>
            </w:r>
          </w:p>
          <w:p w14:paraId="11788002">
            <w:pPr>
              <w:ind w:firstLine="480"/>
            </w:pPr>
            <w:r>
              <w:t>P</w:t>
            </w:r>
            <w:r>
              <w:rPr>
                <w:vertAlign w:val="subscript"/>
              </w:rPr>
              <w:t>T</w:t>
            </w:r>
            <w:r>
              <w:t>：温度T时装载物料的真实蒸气压，千帕；</w:t>
            </w:r>
          </w:p>
          <w:p w14:paraId="290841CE">
            <w:pPr>
              <w:ind w:firstLine="480"/>
            </w:pPr>
            <w:r>
              <w:t>M：油气的分子量，克/摩尔；</w:t>
            </w:r>
          </w:p>
          <w:p w14:paraId="014A7235">
            <w:pPr>
              <w:pStyle w:val="175"/>
              <w:spacing w:line="360" w:lineRule="auto"/>
              <w:ind w:firstLine="480"/>
              <w:rPr>
                <w:rFonts w:ascii="Times New Roman"/>
                <w:szCs w:val="24"/>
                <w:lang w:val="en-US" w:eastAsia="zh-CN"/>
              </w:rPr>
            </w:pPr>
            <w:r>
              <w:rPr>
                <w:rFonts w:ascii="Times New Roman"/>
                <w:szCs w:val="24"/>
                <w:lang w:val="en-US" w:eastAsia="zh-CN"/>
              </w:rPr>
              <w:t>R：理想气体常数，8.314焦耳/（摩尔·摄氏度）。</w:t>
            </w:r>
          </w:p>
          <w:p w14:paraId="657B2E49">
            <w:pPr>
              <w:spacing w:line="240" w:lineRule="auto"/>
              <w:ind w:firstLine="0" w:firstLineChars="0"/>
              <w:jc w:val="center"/>
              <w:rPr>
                <w:b/>
                <w:szCs w:val="20"/>
              </w:rPr>
            </w:pPr>
            <w:r>
              <w:rPr>
                <w:rFonts w:hint="eastAsia"/>
                <w:b/>
                <w:szCs w:val="20"/>
              </w:rPr>
              <w:t>表4.2-1公路、铁路装载损耗计算中饱和因子</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14"/>
              <w:gridCol w:w="2915"/>
              <w:gridCol w:w="2915"/>
            </w:tblGrid>
            <w:tr w14:paraId="0DA63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9" w:type="dxa"/>
                  <w:gridSpan w:val="2"/>
                  <w:vAlign w:val="center"/>
                </w:tcPr>
                <w:p w14:paraId="3317788A">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操作方式</w:t>
                  </w:r>
                </w:p>
              </w:tc>
              <w:tc>
                <w:tcPr>
                  <w:tcW w:w="2915" w:type="dxa"/>
                  <w:vAlign w:val="center"/>
                </w:tcPr>
                <w:p w14:paraId="560C8F94">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饱和因子s</w:t>
                  </w:r>
                </w:p>
              </w:tc>
            </w:tr>
            <w:tr w14:paraId="5AD80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vMerge w:val="restart"/>
                  <w:vAlign w:val="center"/>
                </w:tcPr>
                <w:p w14:paraId="782904DE">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底部/液下装载</w:t>
                  </w:r>
                </w:p>
              </w:tc>
              <w:tc>
                <w:tcPr>
                  <w:tcW w:w="2915" w:type="dxa"/>
                  <w:vAlign w:val="center"/>
                </w:tcPr>
                <w:p w14:paraId="26B8CAEA">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新罐车或清洗后的罐车</w:t>
                  </w:r>
                </w:p>
              </w:tc>
              <w:tc>
                <w:tcPr>
                  <w:tcW w:w="2915" w:type="dxa"/>
                  <w:vAlign w:val="center"/>
                </w:tcPr>
                <w:p w14:paraId="33EC0FFF">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0.5</w:t>
                  </w:r>
                </w:p>
              </w:tc>
            </w:tr>
            <w:tr w14:paraId="17D34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vMerge w:val="continue"/>
                  <w:vAlign w:val="center"/>
                </w:tcPr>
                <w:p w14:paraId="1FDCB73C">
                  <w:pPr>
                    <w:widowControl/>
                    <w:adjustRightInd w:val="0"/>
                    <w:snapToGrid w:val="0"/>
                    <w:spacing w:line="240" w:lineRule="auto"/>
                    <w:ind w:firstLine="0" w:firstLineChars="0"/>
                    <w:jc w:val="center"/>
                    <w:rPr>
                      <w:rFonts w:ascii="宋体" w:hAnsi="宋体" w:cs="宋体"/>
                      <w:kern w:val="0"/>
                      <w:sz w:val="21"/>
                      <w:szCs w:val="21"/>
                    </w:rPr>
                  </w:pPr>
                </w:p>
              </w:tc>
              <w:tc>
                <w:tcPr>
                  <w:tcW w:w="2915" w:type="dxa"/>
                  <w:vAlign w:val="center"/>
                </w:tcPr>
                <w:p w14:paraId="20B8C6ED">
                  <w:pPr>
                    <w:widowControl/>
                    <w:adjustRightInd w:val="0"/>
                    <w:snapToGrid w:val="0"/>
                    <w:spacing w:line="240" w:lineRule="auto"/>
                    <w:ind w:firstLine="0" w:firstLineChars="0"/>
                    <w:jc w:val="center"/>
                    <w:rPr>
                      <w:rFonts w:ascii="宋体" w:hAnsi="宋体" w:cs="宋体"/>
                      <w:b/>
                      <w:kern w:val="0"/>
                      <w:sz w:val="21"/>
                      <w:szCs w:val="21"/>
                    </w:rPr>
                  </w:pPr>
                  <w:r>
                    <w:rPr>
                      <w:rFonts w:hint="eastAsia" w:ascii="宋体" w:hAnsi="宋体" w:cs="宋体"/>
                      <w:b/>
                      <w:kern w:val="0"/>
                      <w:sz w:val="21"/>
                      <w:szCs w:val="21"/>
                    </w:rPr>
                    <w:t>正常工况（普通）的罐车</w:t>
                  </w:r>
                </w:p>
              </w:tc>
              <w:tc>
                <w:tcPr>
                  <w:tcW w:w="2915" w:type="dxa"/>
                  <w:vAlign w:val="center"/>
                </w:tcPr>
                <w:p w14:paraId="712BDC92">
                  <w:pPr>
                    <w:widowControl/>
                    <w:adjustRightInd w:val="0"/>
                    <w:snapToGrid w:val="0"/>
                    <w:spacing w:line="240" w:lineRule="auto"/>
                    <w:ind w:firstLine="0" w:firstLineChars="0"/>
                    <w:jc w:val="center"/>
                    <w:textAlignment w:val="center"/>
                    <w:rPr>
                      <w:b/>
                      <w:kern w:val="0"/>
                      <w:sz w:val="21"/>
                      <w:szCs w:val="21"/>
                      <w:lang w:bidi="ar"/>
                    </w:rPr>
                  </w:pPr>
                  <w:r>
                    <w:rPr>
                      <w:rFonts w:hint="eastAsia"/>
                      <w:b/>
                      <w:kern w:val="0"/>
                      <w:sz w:val="21"/>
                      <w:szCs w:val="21"/>
                      <w:lang w:bidi="ar"/>
                    </w:rPr>
                    <w:t>0.6</w:t>
                  </w:r>
                </w:p>
              </w:tc>
            </w:tr>
            <w:tr w14:paraId="210DC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vMerge w:val="continue"/>
                  <w:vAlign w:val="center"/>
                </w:tcPr>
                <w:p w14:paraId="187C5152">
                  <w:pPr>
                    <w:widowControl/>
                    <w:adjustRightInd w:val="0"/>
                    <w:snapToGrid w:val="0"/>
                    <w:spacing w:line="240" w:lineRule="auto"/>
                    <w:ind w:firstLine="0" w:firstLineChars="0"/>
                    <w:jc w:val="center"/>
                    <w:rPr>
                      <w:rFonts w:ascii="宋体" w:hAnsi="宋体" w:cs="宋体"/>
                      <w:kern w:val="0"/>
                      <w:sz w:val="21"/>
                      <w:szCs w:val="21"/>
                    </w:rPr>
                  </w:pPr>
                </w:p>
              </w:tc>
              <w:tc>
                <w:tcPr>
                  <w:tcW w:w="2915" w:type="dxa"/>
                  <w:vAlign w:val="center"/>
                </w:tcPr>
                <w:p w14:paraId="2B65FD52">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上次卸车采用油气平衡装置</w:t>
                  </w:r>
                </w:p>
              </w:tc>
              <w:tc>
                <w:tcPr>
                  <w:tcW w:w="2915" w:type="dxa"/>
                  <w:vAlign w:val="center"/>
                </w:tcPr>
                <w:p w14:paraId="1077DFA2">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1.0</w:t>
                  </w:r>
                </w:p>
              </w:tc>
            </w:tr>
          </w:tbl>
          <w:p w14:paraId="48EECC46">
            <w:pPr>
              <w:spacing w:line="240" w:lineRule="auto"/>
              <w:ind w:firstLine="0" w:firstLineChars="0"/>
              <w:jc w:val="center"/>
              <w:rPr>
                <w:b/>
                <w:szCs w:val="20"/>
              </w:rPr>
            </w:pPr>
            <w:r>
              <w:rPr>
                <w:rFonts w:hint="eastAsia"/>
                <w:b/>
                <w:szCs w:val="20"/>
              </w:rPr>
              <w:t>表4.2-2船舶装载汽油和原油以外的油品时饱和因子s</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14"/>
              <w:gridCol w:w="2915"/>
              <w:gridCol w:w="2915"/>
            </w:tblGrid>
            <w:tr w14:paraId="10233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vAlign w:val="center"/>
                </w:tcPr>
                <w:p w14:paraId="280FA9D8">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交通方式</w:t>
                  </w:r>
                </w:p>
              </w:tc>
              <w:tc>
                <w:tcPr>
                  <w:tcW w:w="2915" w:type="dxa"/>
                  <w:vAlign w:val="center"/>
                </w:tcPr>
                <w:p w14:paraId="3A6D188B">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操作方式</w:t>
                  </w:r>
                </w:p>
              </w:tc>
              <w:tc>
                <w:tcPr>
                  <w:tcW w:w="2915" w:type="dxa"/>
                  <w:vAlign w:val="center"/>
                </w:tcPr>
                <w:p w14:paraId="45C59A24">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饱和因子s</w:t>
                  </w:r>
                </w:p>
              </w:tc>
            </w:tr>
            <w:tr w14:paraId="538AD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vMerge w:val="restart"/>
                  <w:vAlign w:val="center"/>
                </w:tcPr>
                <w:p w14:paraId="26F599F5">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水运</w:t>
                  </w:r>
                </w:p>
              </w:tc>
              <w:tc>
                <w:tcPr>
                  <w:tcW w:w="2915" w:type="dxa"/>
                  <w:vAlign w:val="center"/>
                </w:tcPr>
                <w:p w14:paraId="16B4E43F">
                  <w:pPr>
                    <w:widowControl/>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轮船液下装载（国际）</w:t>
                  </w:r>
                </w:p>
              </w:tc>
              <w:tc>
                <w:tcPr>
                  <w:tcW w:w="2915" w:type="dxa"/>
                  <w:vAlign w:val="center"/>
                </w:tcPr>
                <w:p w14:paraId="28D78D7C">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0.2</w:t>
                  </w:r>
                </w:p>
              </w:tc>
            </w:tr>
            <w:tr w14:paraId="46957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vMerge w:val="continue"/>
                  <w:vAlign w:val="center"/>
                </w:tcPr>
                <w:p w14:paraId="0A8AF36C">
                  <w:pPr>
                    <w:widowControl/>
                    <w:adjustRightInd w:val="0"/>
                    <w:snapToGrid w:val="0"/>
                    <w:spacing w:line="240" w:lineRule="auto"/>
                    <w:ind w:firstLine="0" w:firstLineChars="0"/>
                    <w:jc w:val="center"/>
                    <w:rPr>
                      <w:rFonts w:ascii="宋体" w:hAnsi="宋体" w:cs="宋体"/>
                      <w:kern w:val="0"/>
                      <w:sz w:val="21"/>
                      <w:szCs w:val="21"/>
                    </w:rPr>
                  </w:pPr>
                </w:p>
              </w:tc>
              <w:tc>
                <w:tcPr>
                  <w:tcW w:w="2915" w:type="dxa"/>
                  <w:vAlign w:val="center"/>
                </w:tcPr>
                <w:p w14:paraId="7F2FE941">
                  <w:pPr>
                    <w:widowControl/>
                    <w:adjustRightInd w:val="0"/>
                    <w:snapToGrid w:val="0"/>
                    <w:spacing w:line="240" w:lineRule="auto"/>
                    <w:ind w:firstLine="0" w:firstLineChars="0"/>
                    <w:jc w:val="center"/>
                    <w:rPr>
                      <w:rFonts w:ascii="宋体" w:hAnsi="宋体" w:cs="宋体"/>
                      <w:b/>
                      <w:kern w:val="0"/>
                      <w:sz w:val="21"/>
                      <w:szCs w:val="21"/>
                    </w:rPr>
                  </w:pPr>
                  <w:r>
                    <w:rPr>
                      <w:rFonts w:hint="eastAsia" w:ascii="宋体" w:hAnsi="宋体" w:cs="宋体"/>
                      <w:b/>
                      <w:kern w:val="0"/>
                      <w:sz w:val="21"/>
                      <w:szCs w:val="21"/>
                    </w:rPr>
                    <w:t>驳船液下装载（国内）</w:t>
                  </w:r>
                </w:p>
              </w:tc>
              <w:tc>
                <w:tcPr>
                  <w:tcW w:w="2915" w:type="dxa"/>
                  <w:vAlign w:val="center"/>
                </w:tcPr>
                <w:p w14:paraId="10BA3D39">
                  <w:pPr>
                    <w:widowControl/>
                    <w:adjustRightInd w:val="0"/>
                    <w:snapToGrid w:val="0"/>
                    <w:spacing w:line="240" w:lineRule="auto"/>
                    <w:ind w:firstLine="0" w:firstLineChars="0"/>
                    <w:jc w:val="center"/>
                    <w:textAlignment w:val="center"/>
                    <w:rPr>
                      <w:b/>
                      <w:kern w:val="0"/>
                      <w:sz w:val="21"/>
                      <w:szCs w:val="21"/>
                      <w:lang w:bidi="ar"/>
                    </w:rPr>
                  </w:pPr>
                  <w:r>
                    <w:rPr>
                      <w:rFonts w:hint="eastAsia"/>
                      <w:b/>
                      <w:kern w:val="0"/>
                      <w:sz w:val="21"/>
                      <w:szCs w:val="21"/>
                      <w:lang w:bidi="ar"/>
                    </w:rPr>
                    <w:t>0.5</w:t>
                  </w:r>
                </w:p>
              </w:tc>
            </w:tr>
          </w:tbl>
          <w:p w14:paraId="7C7F3594">
            <w:pPr>
              <w:pStyle w:val="117"/>
              <w:ind w:firstLine="480"/>
              <w:rPr>
                <w:lang w:val="en-US" w:eastAsia="zh-CN"/>
              </w:rPr>
            </w:pPr>
          </w:p>
          <w:p w14:paraId="07EA7A25">
            <w:pPr>
              <w:pStyle w:val="117"/>
              <w:ind w:firstLine="480"/>
              <w:rPr>
                <w:lang w:val="en-US" w:eastAsia="zh-CN"/>
              </w:rPr>
            </w:pPr>
            <w:r>
              <w:rPr>
                <w:rFonts w:hint="eastAsia"/>
                <w:lang w:val="en-US" w:eastAsia="zh-CN"/>
              </w:rPr>
              <w:t>4</w:t>
            </w:r>
            <w:r>
              <w:rPr>
                <w:lang w:val="en-US" w:eastAsia="zh-CN"/>
              </w:rPr>
              <w:t>）无组织源强核算：</w:t>
            </w:r>
          </w:p>
          <w:p w14:paraId="5CA03DD4">
            <w:pPr>
              <w:pStyle w:val="117"/>
              <w:ind w:firstLine="480"/>
              <w:rPr>
                <w:lang w:val="en-US" w:eastAsia="zh-CN"/>
              </w:rPr>
            </w:pPr>
            <w:r>
              <w:rPr>
                <w:lang w:val="en-US" w:eastAsia="zh-CN"/>
              </w:rPr>
              <w:t>参照《排污许可证申请与核发技术规范石化工业》（HJ853-2017）中设备与管线组件密封点泄漏挥发性有机物年许可排放量按如下公式计算：</w:t>
            </w:r>
          </w:p>
          <w:p w14:paraId="3AC97245">
            <w:pPr>
              <w:pStyle w:val="117"/>
              <w:ind w:firstLine="480"/>
              <w:jc w:val="center"/>
              <w:rPr>
                <w:lang w:val="en-US" w:eastAsia="zh-CN"/>
              </w:rPr>
            </w:pPr>
            <w:r>
              <w:pict>
                <v:shape id="_x0000_i1032" o:spt="75" type="#_x0000_t75" style="height:47.05pt;width:221.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56&quot;/&gt;&lt;w:displayHorizontalDrawingGridEvery w:val=&quot;2&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2NhYWFiODY0ZWJkNjZjMzJiNDZhOThmMzExMmIyYWUifQ==&quot;/&gt;&lt;/w:docVars&gt;&lt;wsp:rsids&gt;&lt;wsp:rsidRoot wsp:val=&quot;6B1219DD&quot;/&gt;&lt;wsp:rsid wsp:val=&quot;00000F39&quot;/&gt;&lt;wsp:rsid wsp:val=&quot;00000F47&quot;/&gt;&lt;wsp:rsid wsp:val=&quot;0000127F&quot;/&gt;&lt;wsp:rsid wsp:val=&quot;00001800&quot;/&gt;&lt;wsp:rsid wsp:val=&quot;00001BF3&quot;/&gt;&lt;wsp:rsid wsp:val=&quot;000025F3&quot;/&gt;&lt;wsp:rsid wsp:val=&quot;00002FE7&quot;/&gt;&lt;wsp:rsid wsp:val=&quot;0000377B&quot;/&gt;&lt;wsp:rsid wsp:val=&quot;000051BA&quot;/&gt;&lt;wsp:rsid wsp:val=&quot;0000706D&quot;/&gt;&lt;wsp:rsid wsp:val=&quot;0000743D&quot;/&gt;&lt;wsp:rsid wsp:val=&quot;000100B6&quot;/&gt;&lt;wsp:rsid wsp:val=&quot;00010F2D&quot;/&gt;&lt;wsp:rsid wsp:val=&quot;00010F8F&quot;/&gt;&lt;wsp:rsid wsp:val=&quot;00011AE8&quot;/&gt;&lt;wsp:rsid wsp:val=&quot;00011DC5&quot;/&gt;&lt;wsp:rsid wsp:val=&quot;00012341&quot;/&gt;&lt;wsp:rsid wsp:val=&quot;0001348A&quot;/&gt;&lt;wsp:rsid wsp:val=&quot;000136FD&quot;/&gt;&lt;wsp:rsid wsp:val=&quot;0001478A&quot;/&gt;&lt;wsp:rsid wsp:val=&quot;0001596D&quot;/&gt;&lt;wsp:rsid wsp:val=&quot;00015EC1&quot;/&gt;&lt;wsp:rsid wsp:val=&quot;00016068&quot;/&gt;&lt;wsp:rsid wsp:val=&quot;00016BC3&quot;/&gt;&lt;wsp:rsid wsp:val=&quot;00016C72&quot;/&gt;&lt;wsp:rsid wsp:val=&quot;00016C7A&quot;/&gt;&lt;wsp:rsid wsp:val=&quot;00017F76&quot;/&gt;&lt;wsp:rsid wsp:val=&quot;000216B0&quot;/&gt;&lt;wsp:rsid wsp:val=&quot;0002217F&quot;/&gt;&lt;wsp:rsid wsp:val=&quot;00022187&quot;/&gt;&lt;wsp:rsid wsp:val=&quot;00024366&quot;/&gt;&lt;wsp:rsid wsp:val=&quot;00024B66&quot;/&gt;&lt;wsp:rsid wsp:val=&quot;00027310&quot;/&gt;&lt;wsp:rsid wsp:val=&quot;00030626&quot;/&gt;&lt;wsp:rsid wsp:val=&quot;00030627&quot;/&gt;&lt;wsp:rsid wsp:val=&quot;0003068D&quot;/&gt;&lt;wsp:rsid wsp:val=&quot;00030762&quot;/&gt;&lt;wsp:rsid wsp:val=&quot;00032329&quot;/&gt;&lt;wsp:rsid wsp:val=&quot;00032C3F&quot;/&gt;&lt;wsp:rsid wsp:val=&quot;0003523B&quot;/&gt;&lt;wsp:rsid wsp:val=&quot;00035A23&quot;/&gt;&lt;wsp:rsid wsp:val=&quot;00040942&quot;/&gt;&lt;wsp:rsid wsp:val=&quot;00042241&quot;/&gt;&lt;wsp:rsid wsp:val=&quot;00042653&quot;/&gt;&lt;wsp:rsid wsp:val=&quot;0004329B&quot;/&gt;&lt;wsp:rsid wsp:val=&quot;00044B57&quot;/&gt;&lt;wsp:rsid wsp:val=&quot;00045AC3&quot;/&gt;&lt;wsp:rsid wsp:val=&quot;00047906&quot;/&gt;&lt;wsp:rsid wsp:val=&quot;00050B3E&quot;/&gt;&lt;wsp:rsid wsp:val=&quot;00051084&quot;/&gt;&lt;wsp:rsid wsp:val=&quot;000511A5&quot;/&gt;&lt;wsp:rsid wsp:val=&quot;00051C37&quot;/&gt;&lt;wsp:rsid wsp:val=&quot;000539C5&quot;/&gt;&lt;wsp:rsid wsp:val=&quot;00054A5F&quot;/&gt;&lt;wsp:rsid wsp:val=&quot;00056E41&quot;/&gt;&lt;wsp:rsid wsp:val=&quot;00056F67&quot;/&gt;&lt;wsp:rsid wsp:val=&quot;000575CE&quot;/&gt;&lt;wsp:rsid wsp:val=&quot;000616F8&quot;/&gt;&lt;wsp:rsid wsp:val=&quot;00062A6C&quot;/&gt;&lt;wsp:rsid wsp:val=&quot;0006353D&quot;/&gt;&lt;wsp:rsid wsp:val=&quot;000638E1&quot;/&gt;&lt;wsp:rsid wsp:val=&quot;00064F00&quot;/&gt;&lt;wsp:rsid wsp:val=&quot;00065837&quot;/&gt;&lt;wsp:rsid wsp:val=&quot;00066574&quot;/&gt;&lt;wsp:rsid wsp:val=&quot;00071638&quot;/&gt;&lt;wsp:rsid wsp:val=&quot;00071DD2&quot;/&gt;&lt;wsp:rsid wsp:val=&quot;00072386&quot;/&gt;&lt;wsp:rsid wsp:val=&quot;00072391&quot;/&gt;&lt;wsp:rsid wsp:val=&quot;000745B8&quot;/&gt;&lt;wsp:rsid wsp:val=&quot;00076580&quot;/&gt;&lt;wsp:rsid wsp:val=&quot;000769B3&quot;/&gt;&lt;wsp:rsid wsp:val=&quot;00077500&quot;/&gt;&lt;wsp:rsid wsp:val=&quot;0008112A&quot;/&gt;&lt;wsp:rsid wsp:val=&quot;00083918&quot;/&gt;&lt;wsp:rsid wsp:val=&quot;00084B90&quot;/&gt;&lt;wsp:rsid wsp:val=&quot;00084DF3&quot;/&gt;&lt;wsp:rsid wsp:val=&quot;000857CD&quot;/&gt;&lt;wsp:rsid wsp:val=&quot;00086756&quot;/&gt;&lt;wsp:rsid wsp:val=&quot;00086EE9&quot;/&gt;&lt;wsp:rsid wsp:val=&quot;000876A5&quot;/&gt;&lt;wsp:rsid wsp:val=&quot;00087EB2&quot;/&gt;&lt;wsp:rsid wsp:val=&quot;000922A1&quot;/&gt;&lt;wsp:rsid wsp:val=&quot;00093386&quot;/&gt;&lt;wsp:rsid wsp:val=&quot;000946E0&quot;/&gt;&lt;wsp:rsid wsp:val=&quot;00094FC1&quot;/&gt;&lt;wsp:rsid wsp:val=&quot;0009534B&quot;/&gt;&lt;wsp:rsid wsp:val=&quot;000957EB&quot;/&gt;&lt;wsp:rsid wsp:val=&quot;00095850&quot;/&gt;&lt;wsp:rsid wsp:val=&quot;00096347&quot;/&gt;&lt;wsp:rsid wsp:val=&quot;000A07D8&quot;/&gt;&lt;wsp:rsid wsp:val=&quot;000A13BF&quot;/&gt;&lt;wsp:rsid wsp:val=&quot;000A14C3&quot;/&gt;&lt;wsp:rsid wsp:val=&quot;000A26F6&quot;/&gt;&lt;wsp:rsid wsp:val=&quot;000A2A8E&quot;/&gt;&lt;wsp:rsid wsp:val=&quot;000A3860&quot;/&gt;&lt;wsp:rsid wsp:val=&quot;000A465D&quot;/&gt;&lt;wsp:rsid wsp:val=&quot;000A59E1&quot;/&gt;&lt;wsp:rsid wsp:val=&quot;000A5A2C&quot;/&gt;&lt;wsp:rsid wsp:val=&quot;000A66A1&quot;/&gt;&lt;wsp:rsid wsp:val=&quot;000B1D5F&quot;/&gt;&lt;wsp:rsid wsp:val=&quot;000B2B69&quot;/&gt;&lt;wsp:rsid wsp:val=&quot;000B307C&quot;/&gt;&lt;wsp:rsid wsp:val=&quot;000B3156&quot;/&gt;&lt;wsp:rsid wsp:val=&quot;000B4F29&quot;/&gt;&lt;wsp:rsid wsp:val=&quot;000B4F3F&quot;/&gt;&lt;wsp:rsid wsp:val=&quot;000B6459&quot;/&gt;&lt;wsp:rsid wsp:val=&quot;000C13C6&quot;/&gt;&lt;wsp:rsid wsp:val=&quot;000C2D26&quot;/&gt;&lt;wsp:rsid wsp:val=&quot;000C3BDA&quot;/&gt;&lt;wsp:rsid wsp:val=&quot;000C3C1C&quot;/&gt;&lt;wsp:rsid wsp:val=&quot;000C480C&quot;/&gt;&lt;wsp:rsid wsp:val=&quot;000C4A79&quot;/&gt;&lt;wsp:rsid wsp:val=&quot;000C4B29&quot;/&gt;&lt;wsp:rsid wsp:val=&quot;000C56F2&quot;/&gt;&lt;wsp:rsid wsp:val=&quot;000C5E18&quot;/&gt;&lt;wsp:rsid wsp:val=&quot;000C6B16&quot;/&gt;&lt;wsp:rsid wsp:val=&quot;000C72E3&quot;/&gt;&lt;wsp:rsid wsp:val=&quot;000D0A58&quot;/&gt;&lt;wsp:rsid wsp:val=&quot;000D0E44&quot;/&gt;&lt;wsp:rsid wsp:val=&quot;000D264B&quot;/&gt;&lt;wsp:rsid wsp:val=&quot;000D2C65&quot;/&gt;&lt;wsp:rsid wsp:val=&quot;000D3675&quot;/&gt;&lt;wsp:rsid wsp:val=&quot;000D3F39&quot;/&gt;&lt;wsp:rsid wsp:val=&quot;000D4ED2&quot;/&gt;&lt;wsp:rsid wsp:val=&quot;000D505D&quot;/&gt;&lt;wsp:rsid wsp:val=&quot;000D5258&quot;/&gt;&lt;wsp:rsid wsp:val=&quot;000D5468&quot;/&gt;&lt;wsp:rsid wsp:val=&quot;000D6C64&quot;/&gt;&lt;wsp:rsid wsp:val=&quot;000D6C7C&quot;/&gt;&lt;wsp:rsid wsp:val=&quot;000D7067&quot;/&gt;&lt;wsp:rsid wsp:val=&quot;000E04A1&quot;/&gt;&lt;wsp:rsid wsp:val=&quot;000E093B&quot;/&gt;&lt;wsp:rsid wsp:val=&quot;000E1EC3&quot;/&gt;&lt;wsp:rsid wsp:val=&quot;000E26C4&quot;/&gt;&lt;wsp:rsid wsp:val=&quot;000E2D6A&quot;/&gt;&lt;wsp:rsid wsp:val=&quot;000E4403&quot;/&gt;&lt;wsp:rsid wsp:val=&quot;000E4F2D&quot;/&gt;&lt;wsp:rsid wsp:val=&quot;000E54AF&quot;/&gt;&lt;wsp:rsid wsp:val=&quot;000E5572&quot;/&gt;&lt;wsp:rsid wsp:val=&quot;000E5EF2&quot;/&gt;&lt;wsp:rsid wsp:val=&quot;000E64CF&quot;/&gt;&lt;wsp:rsid wsp:val=&quot;000E6BBC&quot;/&gt;&lt;wsp:rsid wsp:val=&quot;000F0095&quot;/&gt;&lt;wsp:rsid wsp:val=&quot;000F08D8&quot;/&gt;&lt;wsp:rsid wsp:val=&quot;000F0985&quot;/&gt;&lt;wsp:rsid wsp:val=&quot;000F0D90&quot;/&gt;&lt;wsp:rsid wsp:val=&quot;000F2808&quot;/&gt;&lt;wsp:rsid wsp:val=&quot;000F2B05&quot;/&gt;&lt;wsp:rsid wsp:val=&quot;000F2C4F&quot;/&gt;&lt;wsp:rsid wsp:val=&quot;000F3732&quot;/&gt;&lt;wsp:rsid wsp:val=&quot;000F4BF6&quot;/&gt;&lt;wsp:rsid wsp:val=&quot;000F6413&quot;/&gt;&lt;wsp:rsid wsp:val=&quot;000F6B61&quot;/&gt;&lt;wsp:rsid wsp:val=&quot;000F6C7E&quot;/&gt;&lt;wsp:rsid wsp:val=&quot;000F70FB&quot;/&gt;&lt;wsp:rsid wsp:val=&quot;000F7864&quot;/&gt;&lt;wsp:rsid wsp:val=&quot;000F7EB5&quot;/&gt;&lt;wsp:rsid wsp:val=&quot;00100FBB&quot;/&gt;&lt;wsp:rsid wsp:val=&quot;00101122&quot;/&gt;&lt;wsp:rsid wsp:val=&quot;00101368&quot;/&gt;&lt;wsp:rsid wsp:val=&quot;001019A5&quot;/&gt;&lt;wsp:rsid wsp:val=&quot;00102539&quot;/&gt;&lt;wsp:rsid wsp:val=&quot;00104F23&quot;/&gt;&lt;wsp:rsid wsp:val=&quot;00105A84&quot;/&gt;&lt;wsp:rsid wsp:val=&quot;001065DF&quot;/&gt;&lt;wsp:rsid wsp:val=&quot;001072F6&quot;/&gt;&lt;wsp:rsid wsp:val=&quot;0010743F&quot;/&gt;&lt;wsp:rsid wsp:val=&quot;001114CA&quot;/&gt;&lt;wsp:rsid wsp:val=&quot;00111B0D&quot;/&gt;&lt;wsp:rsid wsp:val=&quot;00111BB3&quot;/&gt;&lt;wsp:rsid wsp:val=&quot;00111E51&quot;/&gt;&lt;wsp:rsid wsp:val=&quot;001128A1&quot;/&gt;&lt;wsp:rsid wsp:val=&quot;00113487&quot;/&gt;&lt;wsp:rsid wsp:val=&quot;001137A8&quot;/&gt;&lt;wsp:rsid wsp:val=&quot;00114C7F&quot;/&gt;&lt;wsp:rsid wsp:val=&quot;00114F16&quot;/&gt;&lt;wsp:rsid wsp:val=&quot;001151B1&quot;/&gt;&lt;wsp:rsid wsp:val=&quot;00115EF9&quot;/&gt;&lt;wsp:rsid wsp:val=&quot;001168E9&quot;/&gt;&lt;wsp:rsid wsp:val=&quot;00116C32&quot;/&gt;&lt;wsp:rsid wsp:val=&quot;001202D3&quot;/&gt;&lt;wsp:rsid wsp:val=&quot;001209EB&quot;/&gt;&lt;wsp:rsid wsp:val=&quot;0012122D&quot;/&gt;&lt;wsp:rsid wsp:val=&quot;00121753&quot;/&gt;&lt;wsp:rsid wsp:val=&quot;00122A2A&quot;/&gt;&lt;wsp:rsid wsp:val=&quot;00122A89&quot;/&gt;&lt;wsp:rsid wsp:val=&quot;0012508D&quot;/&gt;&lt;wsp:rsid wsp:val=&quot;00125242&quot;/&gt;&lt;wsp:rsid wsp:val=&quot;00126D62&quot;/&gt;&lt;wsp:rsid wsp:val=&quot;00127070&quot;/&gt;&lt;wsp:rsid wsp:val=&quot;00131AD1&quot;/&gt;&lt;wsp:rsid wsp:val=&quot;00133D8A&quot;/&gt;&lt;wsp:rsid wsp:val=&quot;00134040&quot;/&gt;&lt;wsp:rsid wsp:val=&quot;0013519C&quot;/&gt;&lt;wsp:rsid wsp:val=&quot;00135596&quot;/&gt;&lt;wsp:rsid wsp:val=&quot;00135728&quot;/&gt;&lt;wsp:rsid wsp:val=&quot;00136C65&quot;/&gt;&lt;wsp:rsid wsp:val=&quot;0014003C&quot;/&gt;&lt;wsp:rsid wsp:val=&quot;00140E63&quot;/&gt;&lt;wsp:rsid wsp:val=&quot;001413AC&quot;/&gt;&lt;wsp:rsid wsp:val=&quot;0014285F&quot;/&gt;&lt;wsp:rsid wsp:val=&quot;00146795&quot;/&gt;&lt;wsp:rsid wsp:val=&quot;00146E9D&quot;/&gt;&lt;wsp:rsid wsp:val=&quot;00147B4E&quot;/&gt;&lt;wsp:rsid wsp:val=&quot;00151391&quot;/&gt;&lt;wsp:rsid wsp:val=&quot;00151948&quot;/&gt;&lt;wsp:rsid wsp:val=&quot;00152CFB&quot;/&gt;&lt;wsp:rsid wsp:val=&quot;00153244&quot;/&gt;&lt;wsp:rsid wsp:val=&quot;001533C3&quot;/&gt;&lt;wsp:rsid wsp:val=&quot;00153FCF&quot;/&gt;&lt;wsp:rsid wsp:val=&quot;0015417E&quot;/&gt;&lt;wsp:rsid wsp:val=&quot;00154CAE&quot;/&gt;&lt;wsp:rsid wsp:val=&quot;0015575C&quot;/&gt;&lt;wsp:rsid wsp:val=&quot;00155832&quot;/&gt;&lt;wsp:rsid wsp:val=&quot;00156097&quot;/&gt;&lt;wsp:rsid wsp:val=&quot;00157743&quot;/&gt;&lt;wsp:rsid wsp:val=&quot;00160241&quot;/&gt;&lt;wsp:rsid wsp:val=&quot;00160465&quot;/&gt;&lt;wsp:rsid wsp:val=&quot;001606F3&quot;/&gt;&lt;wsp:rsid wsp:val=&quot;00161E3D&quot;/&gt;&lt;wsp:rsid wsp:val=&quot;00163CF9&quot;/&gt;&lt;wsp:rsid wsp:val=&quot;0016404F&quot;/&gt;&lt;wsp:rsid wsp:val=&quot;001651A2&quot;/&gt;&lt;wsp:rsid wsp:val=&quot;00167278&quot;/&gt;&lt;wsp:rsid wsp:val=&quot;00167335&quot;/&gt;&lt;wsp:rsid wsp:val=&quot;0016757D&quot;/&gt;&lt;wsp:rsid wsp:val=&quot;00170077&quot;/&gt;&lt;wsp:rsid wsp:val=&quot;0017106F&quot;/&gt;&lt;wsp:rsid wsp:val=&quot;00171931&quot;/&gt;&lt;wsp:rsid wsp:val=&quot;00171C26&quot;/&gt;&lt;wsp:rsid wsp:val=&quot;0017525E&quot;/&gt;&lt;wsp:rsid wsp:val=&quot;00176943&quot;/&gt;&lt;wsp:rsid wsp:val=&quot;00176BD8&quot;/&gt;&lt;wsp:rsid wsp:val=&quot;00177FCC&quot;/&gt;&lt;wsp:rsid wsp:val=&quot;0018113F&quot;/&gt;&lt;wsp:rsid wsp:val=&quot;00181C70&quot;/&gt;&lt;wsp:rsid wsp:val=&quot;001828AC&quot;/&gt;&lt;wsp:rsid wsp:val=&quot;00182A9F&quot;/&gt;&lt;wsp:rsid wsp:val=&quot;00183942&quot;/&gt;&lt;wsp:rsid wsp:val=&quot;00183B2C&quot;/&gt;&lt;wsp:rsid wsp:val=&quot;00185904&quot;/&gt;&lt;wsp:rsid wsp:val=&quot;00186FB6&quot;/&gt;&lt;wsp:rsid wsp:val=&quot;001879AB&quot;/&gt;&lt;wsp:rsid wsp:val=&quot;0019050F&quot;/&gt;&lt;wsp:rsid wsp:val=&quot;00191041&quot;/&gt;&lt;wsp:rsid wsp:val=&quot;0019272A&quot;/&gt;&lt;wsp:rsid wsp:val=&quot;001930E4&quot;/&gt;&lt;wsp:rsid wsp:val=&quot;0019346F&quot;/&gt;&lt;wsp:rsid wsp:val=&quot;00193B07&quot;/&gt;&lt;wsp:rsid wsp:val=&quot;00195222&quot;/&gt;&lt;wsp:rsid wsp:val=&quot;00195EF9&quot;/&gt;&lt;wsp:rsid wsp:val=&quot;0019608A&quot;/&gt;&lt;wsp:rsid wsp:val=&quot;00196197&quot;/&gt;&lt;wsp:rsid wsp:val=&quot;00196C6C&quot;/&gt;&lt;wsp:rsid wsp:val=&quot;00197CB9&quot;/&gt;&lt;wsp:rsid wsp:val=&quot;001A0784&quot;/&gt;&lt;wsp:rsid wsp:val=&quot;001A118B&quot;/&gt;&lt;wsp:rsid wsp:val=&quot;001A1E45&quot;/&gt;&lt;wsp:rsid wsp:val=&quot;001A230B&quot;/&gt;&lt;wsp:rsid wsp:val=&quot;001A23CA&quot;/&gt;&lt;wsp:rsid wsp:val=&quot;001A2E84&quot;/&gt;&lt;wsp:rsid wsp:val=&quot;001A5364&quot;/&gt;&lt;wsp:rsid wsp:val=&quot;001A56F1&quot;/&gt;&lt;wsp:rsid wsp:val=&quot;001A5FF8&quot;/&gt;&lt;wsp:rsid wsp:val=&quot;001A65C6&quot;/&gt;&lt;wsp:rsid wsp:val=&quot;001A6AFA&quot;/&gt;&lt;wsp:rsid wsp:val=&quot;001A6F93&quot;/&gt;&lt;wsp:rsid wsp:val=&quot;001A732E&quot;/&gt;&lt;wsp:rsid wsp:val=&quot;001A7494&quot;/&gt;&lt;wsp:rsid wsp:val=&quot;001B011B&quot;/&gt;&lt;wsp:rsid wsp:val=&quot;001B07A0&quot;/&gt;&lt;wsp:rsid wsp:val=&quot;001B0E84&quot;/&gt;&lt;wsp:rsid wsp:val=&quot;001B10AA&quot;/&gt;&lt;wsp:rsid wsp:val=&quot;001B2EE4&quot;/&gt;&lt;wsp:rsid wsp:val=&quot;001B34FC&quot;/&gt;&lt;wsp:rsid wsp:val=&quot;001B3DDC&quot;/&gt;&lt;wsp:rsid wsp:val=&quot;001B401E&quot;/&gt;&lt;wsp:rsid wsp:val=&quot;001B54A6&quot;/&gt;&lt;wsp:rsid wsp:val=&quot;001B5CBE&quot;/&gt;&lt;wsp:rsid wsp:val=&quot;001B63FA&quot;/&gt;&lt;wsp:rsid wsp:val=&quot;001B6816&quot;/&gt;&lt;wsp:rsid wsp:val=&quot;001B6A8C&quot;/&gt;&lt;wsp:rsid wsp:val=&quot;001C07A4&quot;/&gt;&lt;wsp:rsid wsp:val=&quot;001C0B12&quot;/&gt;&lt;wsp:rsid wsp:val=&quot;001C1537&quot;/&gt;&lt;wsp:rsid wsp:val=&quot;001C156A&quot;/&gt;&lt;wsp:rsid wsp:val=&quot;001C1D44&quot;/&gt;&lt;wsp:rsid wsp:val=&quot;001C2690&quot;/&gt;&lt;wsp:rsid wsp:val=&quot;001C40AA&quot;/&gt;&lt;wsp:rsid wsp:val=&quot;001C540B&quot;/&gt;&lt;wsp:rsid wsp:val=&quot;001C5B13&quot;/&gt;&lt;wsp:rsid wsp:val=&quot;001C5B19&quot;/&gt;&lt;wsp:rsid wsp:val=&quot;001C5F8C&quot;/&gt;&lt;wsp:rsid wsp:val=&quot;001C6117&quot;/&gt;&lt;wsp:rsid wsp:val=&quot;001C61A8&quot;/&gt;&lt;wsp:rsid wsp:val=&quot;001C6756&quot;/&gt;&lt;wsp:rsid wsp:val=&quot;001C7700&quot;/&gt;&lt;wsp:rsid wsp:val=&quot;001C7A09&quot;/&gt;&lt;wsp:rsid wsp:val=&quot;001D2596&quot;/&gt;&lt;wsp:rsid wsp:val=&quot;001D290B&quot;/&gt;&lt;wsp:rsid wsp:val=&quot;001D2938&quot;/&gt;&lt;wsp:rsid wsp:val=&quot;001D2ACE&quot;/&gt;&lt;wsp:rsid wsp:val=&quot;001D2D44&quot;/&gt;&lt;wsp:rsid wsp:val=&quot;001D3A86&quot;/&gt;&lt;wsp:rsid wsp:val=&quot;001D4703&quot;/&gt;&lt;wsp:rsid wsp:val=&quot;001D4C03&quot;/&gt;&lt;wsp:rsid wsp:val=&quot;001D4D3F&quot;/&gt;&lt;wsp:rsid wsp:val=&quot;001D6017&quot;/&gt;&lt;wsp:rsid wsp:val=&quot;001D708C&quot;/&gt;&lt;wsp:rsid wsp:val=&quot;001E0480&quot;/&gt;&lt;wsp:rsid wsp:val=&quot;001E1408&quot;/&gt;&lt;wsp:rsid wsp:val=&quot;001E361B&quot;/&gt;&lt;wsp:rsid wsp:val=&quot;001E3A15&quot;/&gt;&lt;wsp:rsid wsp:val=&quot;001E43F0&quot;/&gt;&lt;wsp:rsid wsp:val=&quot;001E4D56&quot;/&gt;&lt;wsp:rsid wsp:val=&quot;001E5B26&quot;/&gt;&lt;wsp:rsid wsp:val=&quot;001E64AC&quot;/&gt;&lt;wsp:rsid wsp:val=&quot;001E78C7&quot;/&gt;&lt;wsp:rsid wsp:val=&quot;001F16A0&quot;/&gt;&lt;wsp:rsid wsp:val=&quot;001F24DC&quot;/&gt;&lt;wsp:rsid wsp:val=&quot;001F2D11&quot;/&gt;&lt;wsp:rsid wsp:val=&quot;001F2E9E&quot;/&gt;&lt;wsp:rsid wsp:val=&quot;001F373C&quot;/&gt;&lt;wsp:rsid wsp:val=&quot;001F3C0C&quot;/&gt;&lt;wsp:rsid wsp:val=&quot;001F3C1E&quot;/&gt;&lt;wsp:rsid wsp:val=&quot;001F482A&quot;/&gt;&lt;wsp:rsid wsp:val=&quot;001F4C5F&quot;/&gt;&lt;wsp:rsid wsp:val=&quot;001F5CE7&quot;/&gt;&lt;wsp:rsid wsp:val=&quot;001F620A&quot;/&gt;&lt;wsp:rsid wsp:val=&quot;001F669D&quot;/&gt;&lt;wsp:rsid wsp:val=&quot;001F73B5&quot;/&gt;&lt;wsp:rsid wsp:val=&quot;0020094D&quot;/&gt;&lt;wsp:rsid wsp:val=&quot;00201C8F&quot;/&gt;&lt;wsp:rsid wsp:val=&quot;002048F0&quot;/&gt;&lt;wsp:rsid wsp:val=&quot;00204ACE&quot;/&gt;&lt;wsp:rsid wsp:val=&quot;0020621A&quot;/&gt;&lt;wsp:rsid wsp:val=&quot;002073A9&quot;/&gt;&lt;wsp:rsid wsp:val=&quot;002110C2&quot;/&gt;&lt;wsp:rsid wsp:val=&quot;0021130A&quot;/&gt;&lt;wsp:rsid wsp:val=&quot;002113A1&quot;/&gt;&lt;wsp:rsid wsp:val=&quot;00211D22&quot;/&gt;&lt;wsp:rsid wsp:val=&quot;00213185&quot;/&gt;&lt;wsp:rsid wsp:val=&quot;00213D1E&quot;/&gt;&lt;wsp:rsid wsp:val=&quot;00213F6A&quot;/&gt;&lt;wsp:rsid wsp:val=&quot;00214867&quot;/&gt;&lt;wsp:rsid wsp:val=&quot;00214D21&quot;/&gt;&lt;wsp:rsid wsp:val=&quot;00215A36&quot;/&gt;&lt;wsp:rsid wsp:val=&quot;00216C6E&quot;/&gt;&lt;wsp:rsid wsp:val=&quot;00216DF1&quot;/&gt;&lt;wsp:rsid wsp:val=&quot;002172F6&quot;/&gt;&lt;wsp:rsid wsp:val=&quot;0022064E&quot;/&gt;&lt;wsp:rsid wsp:val=&quot;002233A9&quot;/&gt;&lt;wsp:rsid wsp:val=&quot;00223A3A&quot;/&gt;&lt;wsp:rsid wsp:val=&quot;00224EAD&quot;/&gt;&lt;wsp:rsid wsp:val=&quot;00225597&quot;/&gt;&lt;wsp:rsid wsp:val=&quot;002258E4&quot;/&gt;&lt;wsp:rsid wsp:val=&quot;0022659D&quot;/&gt;&lt;wsp:rsid wsp:val=&quot;0022748C&quot;/&gt;&lt;wsp:rsid wsp:val=&quot;00230654&quot;/&gt;&lt;wsp:rsid wsp:val=&quot;0023068E&quot;/&gt;&lt;wsp:rsid wsp:val=&quot;002325A5&quot;/&gt;&lt;wsp:rsid wsp:val=&quot;00232C40&quot;/&gt;&lt;wsp:rsid wsp:val=&quot;00233608&quot;/&gt;&lt;wsp:rsid wsp:val=&quot;0023424A&quot;/&gt;&lt;wsp:rsid wsp:val=&quot;00235AC8&quot;/&gt;&lt;wsp:rsid wsp:val=&quot;00235C4C&quot;/&gt;&lt;wsp:rsid wsp:val=&quot;002360A8&quot;/&gt;&lt;wsp:rsid wsp:val=&quot;002367F5&quot;/&gt;&lt;wsp:rsid wsp:val=&quot;002368D9&quot;/&gt;&lt;wsp:rsid wsp:val=&quot;00236FCA&quot;/&gt;&lt;wsp:rsid wsp:val=&quot;00237D21&quot;/&gt;&lt;wsp:rsid wsp:val=&quot;00237E72&quot;/&gt;&lt;wsp:rsid wsp:val=&quot;00241A39&quot;/&gt;&lt;wsp:rsid wsp:val=&quot;00241DBA&quot;/&gt;&lt;wsp:rsid wsp:val=&quot;0024303F&quot;/&gt;&lt;wsp:rsid wsp:val=&quot;00243624&quot;/&gt;&lt;wsp:rsid wsp:val=&quot;00244302&quot;/&gt;&lt;wsp:rsid wsp:val=&quot;00244D0F&quot;/&gt;&lt;wsp:rsid wsp:val=&quot;00245C37&quot;/&gt;&lt;wsp:rsid wsp:val=&quot;00245DB8&quot;/&gt;&lt;wsp:rsid wsp:val=&quot;00246966&quot;/&gt;&lt;wsp:rsid wsp:val=&quot;00246A92&quot;/&gt;&lt;wsp:rsid wsp:val=&quot;00246B03&quot;/&gt;&lt;wsp:rsid wsp:val=&quot;002472A7&quot;/&gt;&lt;wsp:rsid wsp:val=&quot;00247B81&quot;/&gt;&lt;wsp:rsid wsp:val=&quot;00250F96&quot;/&gt;&lt;wsp:rsid wsp:val=&quot;002510C5&quot;/&gt;&lt;wsp:rsid wsp:val=&quot;00252611&quot;/&gt;&lt;wsp:rsid wsp:val=&quot;00254693&quot;/&gt;&lt;wsp:rsid wsp:val=&quot;00255216&quot;/&gt;&lt;wsp:rsid wsp:val=&quot;0025557F&quot;/&gt;&lt;wsp:rsid wsp:val=&quot;00256FF3&quot;/&gt;&lt;wsp:rsid wsp:val=&quot;002573A5&quot;/&gt;&lt;wsp:rsid wsp:val=&quot;0026037B&quot;/&gt;&lt;wsp:rsid wsp:val=&quot;00260BB9&quot;/&gt;&lt;wsp:rsid wsp:val=&quot;002613EE&quot;/&gt;&lt;wsp:rsid wsp:val=&quot;00261A18&quot;/&gt;&lt;wsp:rsid wsp:val=&quot;00261BCC&quot;/&gt;&lt;wsp:rsid wsp:val=&quot;002630BB&quot;/&gt;&lt;wsp:rsid wsp:val=&quot;00264757&quot;/&gt;&lt;wsp:rsid wsp:val=&quot;0026485C&quot;/&gt;&lt;wsp:rsid wsp:val=&quot;002703CB&quot;/&gt;&lt;wsp:rsid wsp:val=&quot;002716FB&quot;/&gt;&lt;wsp:rsid wsp:val=&quot;002720DE&quot;/&gt;&lt;wsp:rsid wsp:val=&quot;00272AC6&quot;/&gt;&lt;wsp:rsid wsp:val=&quot;00273D02&quot;/&gt;&lt;wsp:rsid wsp:val=&quot;0027456A&quot;/&gt;&lt;wsp:rsid wsp:val=&quot;0027578F&quot;/&gt;&lt;wsp:rsid wsp:val=&quot;00275E22&quot;/&gt;&lt;wsp:rsid wsp:val=&quot;002760AD&quot;/&gt;&lt;wsp:rsid wsp:val=&quot;00276E06&quot;/&gt;&lt;wsp:rsid wsp:val=&quot;00277567&quot;/&gt;&lt;wsp:rsid wsp:val=&quot;002806C3&quot;/&gt;&lt;wsp:rsid wsp:val=&quot;0028135C&quot;/&gt;&lt;wsp:rsid wsp:val=&quot;00281B70&quot;/&gt;&lt;wsp:rsid wsp:val=&quot;00282FEF&quot;/&gt;&lt;wsp:rsid wsp:val=&quot;002832E1&quot;/&gt;&lt;wsp:rsid wsp:val=&quot;00283835&quot;/&gt;&lt;wsp:rsid wsp:val=&quot;00283BD3&quot;/&gt;&lt;wsp:rsid wsp:val=&quot;00285E4F&quot;/&gt;&lt;wsp:rsid wsp:val=&quot;00287578&quot;/&gt;&lt;wsp:rsid wsp:val=&quot;002876EA&quot;/&gt;&lt;wsp:rsid wsp:val=&quot;00287CF8&quot;/&gt;&lt;wsp:rsid wsp:val=&quot;00290840&quot;/&gt;&lt;wsp:rsid wsp:val=&quot;00292CD1&quot;/&gt;&lt;wsp:rsid wsp:val=&quot;00293DF5&quot;/&gt;&lt;wsp:rsid wsp:val=&quot;00296930&quot;/&gt;&lt;wsp:rsid wsp:val=&quot;00296933&quot;/&gt;&lt;wsp:rsid wsp:val=&quot;00296974&quot;/&gt;&lt;wsp:rsid wsp:val=&quot;00297C6B&quot;/&gt;&lt;wsp:rsid wsp:val=&quot;002A0C72&quot;/&gt;&lt;wsp:rsid wsp:val=&quot;002A2506&quot;/&gt;&lt;wsp:rsid wsp:val=&quot;002A2E11&quot;/&gt;&lt;wsp:rsid wsp:val=&quot;002A31C4&quot;/&gt;&lt;wsp:rsid wsp:val=&quot;002A6974&quot;/&gt;&lt;wsp:rsid wsp:val=&quot;002A7A06&quot;/&gt;&lt;wsp:rsid wsp:val=&quot;002A7A1D&quot;/&gt;&lt;wsp:rsid wsp:val=&quot;002A7D11&quot;/&gt;&lt;wsp:rsid wsp:val=&quot;002A7E60&quot;/&gt;&lt;wsp:rsid wsp:val=&quot;002B07BF&quot;/&gt;&lt;wsp:rsid wsp:val=&quot;002B088D&quot;/&gt;&lt;wsp:rsid wsp:val=&quot;002B14AE&quot;/&gt;&lt;wsp:rsid wsp:val=&quot;002B1F40&quot;/&gt;&lt;wsp:rsid wsp:val=&quot;002B23D4&quot;/&gt;&lt;wsp:rsid wsp:val=&quot;002B3387&quot;/&gt;&lt;wsp:rsid wsp:val=&quot;002B5574&quot;/&gt;&lt;wsp:rsid wsp:val=&quot;002B6481&quot;/&gt;&lt;wsp:rsid wsp:val=&quot;002B6CAA&quot;/&gt;&lt;wsp:rsid wsp:val=&quot;002B6D79&quot;/&gt;&lt;wsp:rsid wsp:val=&quot;002C0140&quot;/&gt;&lt;wsp:rsid wsp:val=&quot;002C1B37&quot;/&gt;&lt;wsp:rsid wsp:val=&quot;002C356D&quot;/&gt;&lt;wsp:rsid wsp:val=&quot;002C3DC0&quot;/&gt;&lt;wsp:rsid wsp:val=&quot;002C3F49&quot;/&gt;&lt;wsp:rsid wsp:val=&quot;002C405B&quot;/&gt;&lt;wsp:rsid wsp:val=&quot;002C4234&quot;/&gt;&lt;wsp:rsid wsp:val=&quot;002C7384&quot;/&gt;&lt;wsp:rsid wsp:val=&quot;002D008F&quot;/&gt;&lt;wsp:rsid wsp:val=&quot;002D0A55&quot;/&gt;&lt;wsp:rsid wsp:val=&quot;002D0FE9&quot;/&gt;&lt;wsp:rsid wsp:val=&quot;002D2B87&quot;/&gt;&lt;wsp:rsid wsp:val=&quot;002D3518&quot;/&gt;&lt;wsp:rsid wsp:val=&quot;002D3A83&quot;/&gt;&lt;wsp:rsid wsp:val=&quot;002D4A04&quot;/&gt;&lt;wsp:rsid wsp:val=&quot;002D568E&quot;/&gt;&lt;wsp:rsid wsp:val=&quot;002D57BF&quot;/&gt;&lt;wsp:rsid wsp:val=&quot;002E05C1&quot;/&gt;&lt;wsp:rsid wsp:val=&quot;002E08FA&quot;/&gt;&lt;wsp:rsid wsp:val=&quot;002E2325&quot;/&gt;&lt;wsp:rsid wsp:val=&quot;002E23AC&quot;/&gt;&lt;wsp:rsid wsp:val=&quot;002E335D&quot;/&gt;&lt;wsp:rsid wsp:val=&quot;002E33A1&quot;/&gt;&lt;wsp:rsid wsp:val=&quot;002E3459&quot;/&gt;&lt;wsp:rsid wsp:val=&quot;002E3AFD&quot;/&gt;&lt;wsp:rsid wsp:val=&quot;002E3ED1&quot;/&gt;&lt;wsp:rsid wsp:val=&quot;002E5B4D&quot;/&gt;&lt;wsp:rsid wsp:val=&quot;002E6331&quot;/&gt;&lt;wsp:rsid wsp:val=&quot;002E6738&quot;/&gt;&lt;wsp:rsid wsp:val=&quot;002E7340&quot;/&gt;&lt;wsp:rsid wsp:val=&quot;002F1B8F&quot;/&gt;&lt;wsp:rsid wsp:val=&quot;002F20F3&quot;/&gt;&lt;wsp:rsid wsp:val=&quot;002F28DE&quot;/&gt;&lt;wsp:rsid wsp:val=&quot;002F3412&quot;/&gt;&lt;wsp:rsid wsp:val=&quot;002F3D4E&quot;/&gt;&lt;wsp:rsid wsp:val=&quot;002F3E08&quot;/&gt;&lt;wsp:rsid wsp:val=&quot;002F411D&quot;/&gt;&lt;wsp:rsid wsp:val=&quot;002F4857&quot;/&gt;&lt;wsp:rsid wsp:val=&quot;002F4D1E&quot;/&gt;&lt;wsp:rsid wsp:val=&quot;002F57F6&quot;/&gt;&lt;wsp:rsid wsp:val=&quot;00301278&quot;/&gt;&lt;wsp:rsid wsp:val=&quot;00301887&quot;/&gt;&lt;wsp:rsid wsp:val=&quot;00302D99&quot;/&gt;&lt;wsp:rsid wsp:val=&quot;0030379C&quot;/&gt;&lt;wsp:rsid wsp:val=&quot;00304588&quot;/&gt;&lt;wsp:rsid wsp:val=&quot;0030531B&quot;/&gt;&lt;wsp:rsid wsp:val=&quot;003054B3&quot;/&gt;&lt;wsp:rsid wsp:val=&quot;003078DF&quot;/&gt;&lt;wsp:rsid wsp:val=&quot;00310BC5&quot;/&gt;&lt;wsp:rsid wsp:val=&quot;00312254&quot;/&gt;&lt;wsp:rsid wsp:val=&quot;00312A9A&quot;/&gt;&lt;wsp:rsid wsp:val=&quot;00312DD6&quot;/&gt;&lt;wsp:rsid wsp:val=&quot;00313B1B&quot;/&gt;&lt;wsp:rsid wsp:val=&quot;003162A1&quot;/&gt;&lt;wsp:rsid wsp:val=&quot;003174CC&quot;/&gt;&lt;wsp:rsid wsp:val=&quot;003178CC&quot;/&gt;&lt;wsp:rsid wsp:val=&quot;00321C6D&quot;/&gt;&lt;wsp:rsid wsp:val=&quot;00323B26&quot;/&gt;&lt;wsp:rsid wsp:val=&quot;00324C44&quot;/&gt;&lt;wsp:rsid wsp:val=&quot;00325402&quot;/&gt;&lt;wsp:rsid wsp:val=&quot;00325B65&quot;/&gt;&lt;wsp:rsid wsp:val=&quot;00327667&quot;/&gt;&lt;wsp:rsid wsp:val=&quot;0033046C&quot;/&gt;&lt;wsp:rsid wsp:val=&quot;0033217D&quot;/&gt;&lt;wsp:rsid wsp:val=&quot;00332CFC&quot;/&gt;&lt;wsp:rsid wsp:val=&quot;00333241&quot;/&gt;&lt;wsp:rsid wsp:val=&quot;003341DA&quot;/&gt;&lt;wsp:rsid wsp:val=&quot;003342A7&quot;/&gt;&lt;wsp:rsid wsp:val=&quot;00334754&quot;/&gt;&lt;wsp:rsid wsp:val=&quot;00334B14&quot;/&gt;&lt;wsp:rsid wsp:val=&quot;00334EA8&quot;/&gt;&lt;wsp:rsid wsp:val=&quot;003356D9&quot;/&gt;&lt;wsp:rsid wsp:val=&quot;00335EEA&quot;/&gt;&lt;wsp:rsid wsp:val=&quot;003360D7&quot;/&gt;&lt;wsp:rsid wsp:val=&quot;0033639C&quot;/&gt;&lt;wsp:rsid wsp:val=&quot;0033653D&quot;/&gt;&lt;wsp:rsid wsp:val=&quot;00336A7C&quot;/&gt;&lt;wsp:rsid wsp:val=&quot;0034068B&quot;/&gt;&lt;wsp:rsid wsp:val=&quot;0034145A&quot;/&gt;&lt;wsp:rsid wsp:val=&quot;00341D92&quot;/&gt;&lt;wsp:rsid wsp:val=&quot;00342568&quot;/&gt;&lt;wsp:rsid wsp:val=&quot;00342F86&quot;/&gt;&lt;wsp:rsid wsp:val=&quot;00343A94&quot;/&gt;&lt;wsp:rsid wsp:val=&quot;00343F40&quot;/&gt;&lt;wsp:rsid wsp:val=&quot;00344943&quot;/&gt;&lt;wsp:rsid wsp:val=&quot;00344BC4&quot;/&gt;&lt;wsp:rsid wsp:val=&quot;00344E83&quot;/&gt;&lt;wsp:rsid wsp:val=&quot;00345A2E&quot;/&gt;&lt;wsp:rsid wsp:val=&quot;003465DA&quot;/&gt;&lt;wsp:rsid wsp:val=&quot;00346C24&quot;/&gt;&lt;wsp:rsid wsp:val=&quot;003476F4&quot;/&gt;&lt;wsp:rsid wsp:val=&quot;00347A33&quot;/&gt;&lt;wsp:rsid wsp:val=&quot;00347E1E&quot;/&gt;&lt;wsp:rsid wsp:val=&quot;003508E4&quot;/&gt;&lt;wsp:rsid wsp:val=&quot;00350DD7&quot;/&gt;&lt;wsp:rsid wsp:val=&quot;00351478&quot;/&gt;&lt;wsp:rsid wsp:val=&quot;00351E0B&quot;/&gt;&lt;wsp:rsid wsp:val=&quot;00352529&quot;/&gt;&lt;wsp:rsid wsp:val=&quot;00352FB4&quot;/&gt;&lt;wsp:rsid wsp:val=&quot;00354332&quot;/&gt;&lt;wsp:rsid wsp:val=&quot;003544AA&quot;/&gt;&lt;wsp:rsid wsp:val=&quot;00356E43&quot;/&gt;&lt;wsp:rsid wsp:val=&quot;00357FA5&quot;/&gt;&lt;wsp:rsid wsp:val=&quot;00360A23&quot;/&gt;&lt;wsp:rsid wsp:val=&quot;0036116E&quot;/&gt;&lt;wsp:rsid wsp:val=&quot;00361872&quot;/&gt;&lt;wsp:rsid wsp:val=&quot;00361A87&quot;/&gt;&lt;wsp:rsid wsp:val=&quot;00361C6C&quot;/&gt;&lt;wsp:rsid wsp:val=&quot;003624C4&quot;/&gt;&lt;wsp:rsid wsp:val=&quot;003629FB&quot;/&gt;&lt;wsp:rsid wsp:val=&quot;00363038&quot;/&gt;&lt;wsp:rsid wsp:val=&quot;00363114&quot;/&gt;&lt;wsp:rsid wsp:val=&quot;00365516&quot;/&gt;&lt;wsp:rsid wsp:val=&quot;00365585&quot;/&gt;&lt;wsp:rsid wsp:val=&quot;00365D26&quot;/&gt;&lt;wsp:rsid wsp:val=&quot;00366818&quot;/&gt;&lt;wsp:rsid wsp:val=&quot;00367800&quot;/&gt;&lt;wsp:rsid wsp:val=&quot;00367BE9&quot;/&gt;&lt;wsp:rsid wsp:val=&quot;00370366&quot;/&gt;&lt;wsp:rsid wsp:val=&quot;00371912&quot;/&gt;&lt;wsp:rsid wsp:val=&quot;00371C10&quot;/&gt;&lt;wsp:rsid wsp:val=&quot;00371D32&quot;/&gt;&lt;wsp:rsid wsp:val=&quot;00372EA9&quot;/&gt;&lt;wsp:rsid wsp:val=&quot;003731A9&quot;/&gt;&lt;wsp:rsid wsp:val=&quot;00373703&quot;/&gt;&lt;wsp:rsid wsp:val=&quot;003746EA&quot;/&gt;&lt;wsp:rsid wsp:val=&quot;00374F0E&quot;/&gt;&lt;wsp:rsid wsp:val=&quot;003750F6&quot;/&gt;&lt;wsp:rsid wsp:val=&quot;003771AC&quot;/&gt;&lt;wsp:rsid wsp:val=&quot;00377371&quot;/&gt;&lt;wsp:rsid wsp:val=&quot;00377DE7&quot;/&gt;&lt;wsp:rsid wsp:val=&quot;00381C5C&quot;/&gt;&lt;wsp:rsid wsp:val=&quot;00382905&quot;/&gt;&lt;wsp:rsid wsp:val=&quot;003833D0&quot;/&gt;&lt;wsp:rsid wsp:val=&quot;00383CD1&quot;/&gt;&lt;wsp:rsid wsp:val=&quot;00383DC9&quot;/&gt;&lt;wsp:rsid wsp:val=&quot;0038442C&quot;/&gt;&lt;wsp:rsid wsp:val=&quot;00384498&quot;/&gt;&lt;wsp:rsid wsp:val=&quot;003855FC&quot;/&gt;&lt;wsp:rsid wsp:val=&quot;003857B5&quot;/&gt;&lt;wsp:rsid wsp:val=&quot;00385B5F&quot;/&gt;&lt;wsp:rsid wsp:val=&quot;00385E17&quot;/&gt;&lt;wsp:rsid wsp:val=&quot;003861A6&quot;/&gt;&lt;wsp:rsid wsp:val=&quot;003865F3&quot;/&gt;&lt;wsp:rsid wsp:val=&quot;00386604&quot;/&gt;&lt;wsp:rsid wsp:val=&quot;00386735&quot;/&gt;&lt;wsp:rsid wsp:val=&quot;00387458&quot;/&gt;&lt;wsp:rsid wsp:val=&quot;00390AD2&quot;/&gt;&lt;wsp:rsid wsp:val=&quot;00391045&quot;/&gt;&lt;wsp:rsid wsp:val=&quot;00391ABE&quot;/&gt;&lt;wsp:rsid wsp:val=&quot;003940E4&quot;/&gt;&lt;wsp:rsid wsp:val=&quot;00394320&quot;/&gt;&lt;wsp:rsid wsp:val=&quot;0039467F&quot;/&gt;&lt;wsp:rsid wsp:val=&quot;00394D33&quot;/&gt;&lt;wsp:rsid wsp:val=&quot;00394F20&quot;/&gt;&lt;wsp:rsid wsp:val=&quot;003968E7&quot;/&gt;&lt;wsp:rsid wsp:val=&quot;00397177&quot;/&gt;&lt;wsp:rsid wsp:val=&quot;003A2CB1&quot;/&gt;&lt;wsp:rsid wsp:val=&quot;003A3D55&quot;/&gt;&lt;wsp:rsid wsp:val=&quot;003A5632&quot;/&gt;&lt;wsp:rsid wsp:val=&quot;003A5D5C&quot;/&gt;&lt;wsp:rsid wsp:val=&quot;003A6370&quot;/&gt;&lt;wsp:rsid wsp:val=&quot;003A6576&quot;/&gt;&lt;wsp:rsid wsp:val=&quot;003A65C9&quot;/&gt;&lt;wsp:rsid wsp:val=&quot;003A6B67&quot;/&gt;&lt;wsp:rsid wsp:val=&quot;003A7301&quot;/&gt;&lt;wsp:rsid wsp:val=&quot;003A7A1A&quot;/&gt;&lt;wsp:rsid wsp:val=&quot;003A7B66&quot;/&gt;&lt;wsp:rsid wsp:val=&quot;003B0646&quot;/&gt;&lt;wsp:rsid wsp:val=&quot;003B06D2&quot;/&gt;&lt;wsp:rsid wsp:val=&quot;003B0C83&quot;/&gt;&lt;wsp:rsid wsp:val=&quot;003B14CE&quot;/&gt;&lt;wsp:rsid wsp:val=&quot;003B1DD7&quot;/&gt;&lt;wsp:rsid wsp:val=&quot;003B212F&quot;/&gt;&lt;wsp:rsid wsp:val=&quot;003B35DA&quot;/&gt;&lt;wsp:rsid wsp:val=&quot;003B3CF8&quot;/&gt;&lt;wsp:rsid wsp:val=&quot;003B50B1&quot;/&gt;&lt;wsp:rsid wsp:val=&quot;003B51B4&quot;/&gt;&lt;wsp:rsid wsp:val=&quot;003B5CDF&quot;/&gt;&lt;wsp:rsid wsp:val=&quot;003B62DD&quot;/&gt;&lt;wsp:rsid wsp:val=&quot;003B6D73&quot;/&gt;&lt;wsp:rsid wsp:val=&quot;003B6DC0&quot;/&gt;&lt;wsp:rsid wsp:val=&quot;003B6DF8&quot;/&gt;&lt;wsp:rsid wsp:val=&quot;003C063B&quot;/&gt;&lt;wsp:rsid wsp:val=&quot;003C0DA9&quot;/&gt;&lt;wsp:rsid wsp:val=&quot;003C0EA9&quot;/&gt;&lt;wsp:rsid wsp:val=&quot;003C18EB&quot;/&gt;&lt;wsp:rsid wsp:val=&quot;003C1BA4&quot;/&gt;&lt;wsp:rsid wsp:val=&quot;003C26BE&quot;/&gt;&lt;wsp:rsid wsp:val=&quot;003C3DF8&quot;/&gt;&lt;wsp:rsid wsp:val=&quot;003C4BF3&quot;/&gt;&lt;wsp:rsid wsp:val=&quot;003C5776&quot;/&gt;&lt;wsp:rsid wsp:val=&quot;003C684F&quot;/&gt;&lt;wsp:rsid wsp:val=&quot;003D018D&quot;/&gt;&lt;wsp:rsid wsp:val=&quot;003D22D1&quot;/&gt;&lt;wsp:rsid wsp:val=&quot;003D326E&quot;/&gt;&lt;wsp:rsid wsp:val=&quot;003D337F&quot;/&gt;&lt;wsp:rsid wsp:val=&quot;003D3EBE&quot;/&gt;&lt;wsp:rsid wsp:val=&quot;003D4255&quot;/&gt;&lt;wsp:rsid wsp:val=&quot;003D43DE&quot;/&gt;&lt;wsp:rsid wsp:val=&quot;003D4E0F&quot;/&gt;&lt;wsp:rsid wsp:val=&quot;003D5184&quot;/&gt;&lt;wsp:rsid wsp:val=&quot;003D56AB&quot;/&gt;&lt;wsp:rsid wsp:val=&quot;003E018F&quot;/&gt;&lt;wsp:rsid wsp:val=&quot;003E1055&quot;/&gt;&lt;wsp:rsid wsp:val=&quot;003E18B0&quot;/&gt;&lt;wsp:rsid wsp:val=&quot;003E39FF&quot;/&gt;&lt;wsp:rsid wsp:val=&quot;003E3E86&quot;/&gt;&lt;wsp:rsid wsp:val=&quot;003E4464&quot;/&gt;&lt;wsp:rsid wsp:val=&quot;003E4802&quot;/&gt;&lt;wsp:rsid wsp:val=&quot;003E5E3A&quot;/&gt;&lt;wsp:rsid wsp:val=&quot;003E5FAC&quot;/&gt;&lt;wsp:rsid wsp:val=&quot;003E6342&quot;/&gt;&lt;wsp:rsid wsp:val=&quot;003E670C&quot;/&gt;&lt;wsp:rsid wsp:val=&quot;003E7B68&quot;/&gt;&lt;wsp:rsid wsp:val=&quot;003E7BB6&quot;/&gt;&lt;wsp:rsid wsp:val=&quot;003F0FF1&quot;/&gt;&lt;wsp:rsid wsp:val=&quot;003F114D&quot;/&gt;&lt;wsp:rsid wsp:val=&quot;003F3948&quot;/&gt;&lt;wsp:rsid wsp:val=&quot;003F4EA0&quot;/&gt;&lt;wsp:rsid wsp:val=&quot;003F4F10&quot;/&gt;&lt;wsp:rsid wsp:val=&quot;003F5EE8&quot;/&gt;&lt;wsp:rsid wsp:val=&quot;003F626E&quot;/&gt;&lt;wsp:rsid wsp:val=&quot;003F6EC0&quot;/&gt;&lt;wsp:rsid wsp:val=&quot;0040043B&quot;/&gt;&lt;wsp:rsid wsp:val=&quot;0040077E&quot;/&gt;&lt;wsp:rsid wsp:val=&quot;00400B04&quot;/&gt;&lt;wsp:rsid wsp:val=&quot;004015D7&quot;/&gt;&lt;wsp:rsid wsp:val=&quot;00402700&quot;/&gt;&lt;wsp:rsid wsp:val=&quot;00404B11&quot;/&gt;&lt;wsp:rsid wsp:val=&quot;0040599F&quot;/&gt;&lt;wsp:rsid wsp:val=&quot;004116C5&quot;/&gt;&lt;wsp:rsid wsp:val=&quot;00411781&quot;/&gt;&lt;wsp:rsid wsp:val=&quot;00411AE1&quot;/&gt;&lt;wsp:rsid wsp:val=&quot;0041200B&quot;/&gt;&lt;wsp:rsid wsp:val=&quot;00412487&quot;/&gt;&lt;wsp:rsid wsp:val=&quot;00412A0D&quot;/&gt;&lt;wsp:rsid wsp:val=&quot;0041376E&quot;/&gt;&lt;wsp:rsid wsp:val=&quot;0041600B&quot;/&gt;&lt;wsp:rsid wsp:val=&quot;00420E19&quot;/&gt;&lt;wsp:rsid wsp:val=&quot;00421176&quot;/&gt;&lt;wsp:rsid wsp:val=&quot;004217E7&quot;/&gt;&lt;wsp:rsid wsp:val=&quot;004229F4&quot;/&gt;&lt;wsp:rsid wsp:val=&quot;00423793&quot;/&gt;&lt;wsp:rsid wsp:val=&quot;00424232&quot;/&gt;&lt;wsp:rsid wsp:val=&quot;004243F6&quot;/&gt;&lt;wsp:rsid wsp:val=&quot;004252B1&quot;/&gt;&lt;wsp:rsid wsp:val=&quot;0042691A&quot;/&gt;&lt;wsp:rsid wsp:val=&quot;00427470&quot;/&gt;&lt;wsp:rsid wsp:val=&quot;0043096C&quot;/&gt;&lt;wsp:rsid wsp:val=&quot;00430E21&quot;/&gt;&lt;wsp:rsid wsp:val=&quot;00432A19&quot;/&gt;&lt;wsp:rsid wsp:val=&quot;0043496D&quot;/&gt;&lt;wsp:rsid wsp:val=&quot;00436453&quot;/&gt;&lt;wsp:rsid wsp:val=&quot;00436B45&quot;/&gt;&lt;wsp:rsid wsp:val=&quot;00436DFA&quot;/&gt;&lt;wsp:rsid wsp:val=&quot;0043728B&quot;/&gt;&lt;wsp:rsid wsp:val=&quot;004408E7&quot;/&gt;&lt;wsp:rsid wsp:val=&quot;00440CB0&quot;/&gt;&lt;wsp:rsid wsp:val=&quot;00441059&quot;/&gt;&lt;wsp:rsid wsp:val=&quot;0044160F&quot;/&gt;&lt;wsp:rsid wsp:val=&quot;00442490&quot;/&gt;&lt;wsp:rsid wsp:val=&quot;00443A7F&quot;/&gt;&lt;wsp:rsid wsp:val=&quot;00446840&quot;/&gt;&lt;wsp:rsid wsp:val=&quot;004472B3&quot;/&gt;&lt;wsp:rsid wsp:val=&quot;004478CB&quot;/&gt;&lt;wsp:rsid wsp:val=&quot;004479F6&quot;/&gt;&lt;wsp:rsid wsp:val=&quot;004500A2&quot;/&gt;&lt;wsp:rsid wsp:val=&quot;00450154&quot;/&gt;&lt;wsp:rsid wsp:val=&quot;00452299&quot;/&gt;&lt;wsp:rsid wsp:val=&quot;00452377&quot;/&gt;&lt;wsp:rsid wsp:val=&quot;004524E0&quot;/&gt;&lt;wsp:rsid wsp:val=&quot;00452531&quot;/&gt;&lt;wsp:rsid wsp:val=&quot;004529CB&quot;/&gt;&lt;wsp:rsid wsp:val=&quot;00452F85&quot;/&gt;&lt;wsp:rsid wsp:val=&quot;00453CD8&quot;/&gt;&lt;wsp:rsid wsp:val=&quot;00454169&quot;/&gt;&lt;wsp:rsid wsp:val=&quot;004542EE&quot;/&gt;&lt;wsp:rsid wsp:val=&quot;00454508&quot;/&gt;&lt;wsp:rsid wsp:val=&quot;004548FD&quot;/&gt;&lt;wsp:rsid wsp:val=&quot;00454CD2&quot;/&gt;&lt;wsp:rsid wsp:val=&quot;00455656&quot;/&gt;&lt;wsp:rsid wsp:val=&quot;00456BF4&quot;/&gt;&lt;wsp:rsid wsp:val=&quot;00457346&quot;/&gt;&lt;wsp:rsid wsp:val=&quot;00461133&quot;/&gt;&lt;wsp:rsid wsp:val=&quot;00461144&quot;/&gt;&lt;wsp:rsid wsp:val=&quot;00461323&quot;/&gt;&lt;wsp:rsid wsp:val=&quot;0046404C&quot;/&gt;&lt;wsp:rsid wsp:val=&quot;00464BD3&quot;/&gt;&lt;wsp:rsid wsp:val=&quot;004652B8&quot;/&gt;&lt;wsp:rsid wsp:val=&quot;0046549E&quot;/&gt;&lt;wsp:rsid wsp:val=&quot;00465857&quot;/&gt;&lt;wsp:rsid wsp:val=&quot;0046595C&quot;/&gt;&lt;wsp:rsid wsp:val=&quot;00465E54&quot;/&gt;&lt;wsp:rsid wsp:val=&quot;0046640E&quot;/&gt;&lt;wsp:rsid wsp:val=&quot;00467407&quot;/&gt;&lt;wsp:rsid wsp:val=&quot;0047028E&quot;/&gt;&lt;wsp:rsid wsp:val=&quot;00472F27&quot;/&gt;&lt;wsp:rsid wsp:val=&quot;00473C4E&quot;/&gt;&lt;wsp:rsid wsp:val=&quot;004742F6&quot;/&gt;&lt;wsp:rsid wsp:val=&quot;00474AE6&quot;/&gt;&lt;wsp:rsid wsp:val=&quot;0047509E&quot;/&gt;&lt;wsp:rsid wsp:val=&quot;004752BD&quot;/&gt;&lt;wsp:rsid wsp:val=&quot;0047628C&quot;/&gt;&lt;wsp:rsid wsp:val=&quot;00476918&quot;/&gt;&lt;wsp:rsid wsp:val=&quot;00477319&quot;/&gt;&lt;wsp:rsid wsp:val=&quot;00477658&quot;/&gt;&lt;wsp:rsid wsp:val=&quot;00480F29&quot;/&gt;&lt;wsp:rsid wsp:val=&quot;004821CC&quot;/&gt;&lt;wsp:rsid wsp:val=&quot;004829BE&quot;/&gt;&lt;wsp:rsid wsp:val=&quot;00482F91&quot;/&gt;&lt;wsp:rsid wsp:val=&quot;00483BB8&quot;/&gt;&lt;wsp:rsid wsp:val=&quot;004846EA&quot;/&gt;&lt;wsp:rsid wsp:val=&quot;004857C8&quot;/&gt;&lt;wsp:rsid wsp:val=&quot;00485C03&quot;/&gt;&lt;wsp:rsid wsp:val=&quot;00486C04&quot;/&gt;&lt;wsp:rsid wsp:val=&quot;004907BD&quot;/&gt;&lt;wsp:rsid wsp:val=&quot;00490F66&quot;/&gt;&lt;wsp:rsid wsp:val=&quot;00491D57&quot;/&gt;&lt;wsp:rsid wsp:val=&quot;004936DC&quot;/&gt;&lt;wsp:rsid wsp:val=&quot;00494F1F&quot;/&gt;&lt;wsp:rsid wsp:val=&quot;0049627F&quot;/&gt;&lt;wsp:rsid wsp:val=&quot;0049736D&quot;/&gt;&lt;wsp:rsid wsp:val=&quot;004979F0&quot;/&gt;&lt;wsp:rsid wsp:val=&quot;004A0F4B&quot;/&gt;&lt;wsp:rsid wsp:val=&quot;004A0FE9&quot;/&gt;&lt;wsp:rsid wsp:val=&quot;004A1294&quot;/&gt;&lt;wsp:rsid wsp:val=&quot;004A1FD3&quot;/&gt;&lt;wsp:rsid wsp:val=&quot;004A1FF9&quot;/&gt;&lt;wsp:rsid wsp:val=&quot;004A36F0&quot;/&gt;&lt;wsp:rsid wsp:val=&quot;004A40D3&quot;/&gt;&lt;wsp:rsid wsp:val=&quot;004A434D&quot;/&gt;&lt;wsp:rsid wsp:val=&quot;004A48FE&quot;/&gt;&lt;wsp:rsid wsp:val=&quot;004A4A44&quot;/&gt;&lt;wsp:rsid wsp:val=&quot;004A543B&quot;/&gt;&lt;wsp:rsid wsp:val=&quot;004A5DDE&quot;/&gt;&lt;wsp:rsid wsp:val=&quot;004A7D73&quot;/&gt;&lt;wsp:rsid wsp:val=&quot;004A7EFB&quot;/&gt;&lt;wsp:rsid wsp:val=&quot;004B038E&quot;/&gt;&lt;wsp:rsid wsp:val=&quot;004B053B&quot;/&gt;&lt;wsp:rsid wsp:val=&quot;004B14E2&quot;/&gt;&lt;wsp:rsid wsp:val=&quot;004B165F&quot;/&gt;&lt;wsp:rsid wsp:val=&quot;004B280B&quot;/&gt;&lt;wsp:rsid wsp:val=&quot;004B2A22&quot;/&gt;&lt;wsp:rsid wsp:val=&quot;004B3AF6&quot;/&gt;&lt;wsp:rsid wsp:val=&quot;004B3DE1&quot;/&gt;&lt;wsp:rsid wsp:val=&quot;004B3F83&quot;/&gt;&lt;wsp:rsid wsp:val=&quot;004B404F&quot;/&gt;&lt;wsp:rsid wsp:val=&quot;004B40EF&quot;/&gt;&lt;wsp:rsid wsp:val=&quot;004B44F0&quot;/&gt;&lt;wsp:rsid wsp:val=&quot;004B4CCB&quot;/&gt;&lt;wsp:rsid wsp:val=&quot;004B5988&quot;/&gt;&lt;wsp:rsid wsp:val=&quot;004B63DC&quot;/&gt;&lt;wsp:rsid wsp:val=&quot;004B7BF9&quot;/&gt;&lt;wsp:rsid wsp:val=&quot;004C0242&quot;/&gt;&lt;wsp:rsid wsp:val=&quot;004C084D&quot;/&gt;&lt;wsp:rsid wsp:val=&quot;004C259F&quot;/&gt;&lt;wsp:rsid wsp:val=&quot;004C311A&quot;/&gt;&lt;wsp:rsid wsp:val=&quot;004C3CE0&quot;/&gt;&lt;wsp:rsid wsp:val=&quot;004C4854&quot;/&gt;&lt;wsp:rsid wsp:val=&quot;004C5935&quot;/&gt;&lt;wsp:rsid wsp:val=&quot;004C6456&quot;/&gt;&lt;wsp:rsid wsp:val=&quot;004C6A68&quot;/&gt;&lt;wsp:rsid wsp:val=&quot;004C7778&quot;/&gt;&lt;wsp:rsid wsp:val=&quot;004D014C&quot;/&gt;&lt;wsp:rsid wsp:val=&quot;004D095B&quot;/&gt;&lt;wsp:rsid wsp:val=&quot;004D11A7&quot;/&gt;&lt;wsp:rsid wsp:val=&quot;004D47AE&quot;/&gt;&lt;wsp:rsid wsp:val=&quot;004D5100&quot;/&gt;&lt;wsp:rsid wsp:val=&quot;004D51ED&quot;/&gt;&lt;wsp:rsid wsp:val=&quot;004D6E13&quot;/&gt;&lt;wsp:rsid wsp:val=&quot;004E002B&quot;/&gt;&lt;wsp:rsid wsp:val=&quot;004E1ECC&quot;/&gt;&lt;wsp:rsid wsp:val=&quot;004E1F5A&quot;/&gt;&lt;wsp:rsid wsp:val=&quot;004E3182&quot;/&gt;&lt;wsp:rsid wsp:val=&quot;004E352C&quot;/&gt;&lt;wsp:rsid wsp:val=&quot;004E3ED7&quot;/&gt;&lt;wsp:rsid wsp:val=&quot;004E4FCD&quot;/&gt;&lt;wsp:rsid wsp:val=&quot;004E5821&quot;/&gt;&lt;wsp:rsid wsp:val=&quot;004E6C66&quot;/&gt;&lt;wsp:rsid wsp:val=&quot;004F0AF9&quot;/&gt;&lt;wsp:rsid wsp:val=&quot;004F0FDF&quot;/&gt;&lt;wsp:rsid wsp:val=&quot;004F1A57&quot;/&gt;&lt;wsp:rsid wsp:val=&quot;004F1DFE&quot;/&gt;&lt;wsp:rsid wsp:val=&quot;004F2805&quot;/&gt;&lt;wsp:rsid wsp:val=&quot;004F2820&quot;/&gt;&lt;wsp:rsid wsp:val=&quot;004F3190&quot;/&gt;&lt;wsp:rsid wsp:val=&quot;004F5205&quot;/&gt;&lt;wsp:rsid wsp:val=&quot;004F70CE&quot;/&gt;&lt;wsp:rsid wsp:val=&quot;004F71C4&quot;/&gt;&lt;wsp:rsid wsp:val=&quot;00500094&quot;/&gt;&lt;wsp:rsid wsp:val=&quot;00500526&quot;/&gt;&lt;wsp:rsid wsp:val=&quot;0050173F&quot;/&gt;&lt;wsp:rsid wsp:val=&quot;00502F53&quot;/&gt;&lt;wsp:rsid wsp:val=&quot;00502F6C&quot;/&gt;&lt;wsp:rsid wsp:val=&quot;00502FE4&quot;/&gt;&lt;wsp:rsid wsp:val=&quot;00504931&quot;/&gt;&lt;wsp:rsid wsp:val=&quot;00504A24&quot;/&gt;&lt;wsp:rsid wsp:val=&quot;0050500B&quot;/&gt;&lt;wsp:rsid wsp:val=&quot;0050600A&quot;/&gt;&lt;wsp:rsid wsp:val=&quot;0050667E&quot;/&gt;&lt;wsp:rsid wsp:val=&quot;00506D2A&quot;/&gt;&lt;wsp:rsid wsp:val=&quot;00507094&quot;/&gt;&lt;wsp:rsid wsp:val=&quot;005109FC&quot;/&gt;&lt;wsp:rsid wsp:val=&quot;0051124D&quot;/&gt;&lt;wsp:rsid wsp:val=&quot;00512622&quot;/&gt;&lt;wsp:rsid wsp:val=&quot;00514B9B&quot;/&gt;&lt;wsp:rsid wsp:val=&quot;0051531B&quot;/&gt;&lt;wsp:rsid wsp:val=&quot;00515F6A&quot;/&gt;&lt;wsp:rsid wsp:val=&quot;00516AAD&quot;/&gt;&lt;wsp:rsid wsp:val=&quot;00516DF5&quot;/&gt;&lt;wsp:rsid wsp:val=&quot;00517C80&quot;/&gt;&lt;wsp:rsid wsp:val=&quot;005205FE&quot;/&gt;&lt;wsp:rsid wsp:val=&quot;0052113A&quot;/&gt;&lt;wsp:rsid wsp:val=&quot;00521CB7&quot;/&gt;&lt;wsp:rsid wsp:val=&quot;0052250C&quot;/&gt;&lt;wsp:rsid wsp:val=&quot;00522625&quot;/&gt;&lt;wsp:rsid wsp:val=&quot;0052293F&quot;/&gt;&lt;wsp:rsid wsp:val=&quot;005243EC&quot;/&gt;&lt;wsp:rsid wsp:val=&quot;005249B5&quot;/&gt;&lt;wsp:rsid wsp:val=&quot;0052570F&quot;/&gt;&lt;wsp:rsid wsp:val=&quot;005278E0&quot;/&gt;&lt;wsp:rsid wsp:val=&quot;00527CA5&quot;/&gt;&lt;wsp:rsid wsp:val=&quot;005312E0&quot;/&gt;&lt;wsp:rsid wsp:val=&quot;005314DA&quot;/&gt;&lt;wsp:rsid wsp:val=&quot;00532086&quot;/&gt;&lt;wsp:rsid wsp:val=&quot;00532DB9&quot;/&gt;&lt;wsp:rsid wsp:val=&quot;00533927&quot;/&gt;&lt;wsp:rsid wsp:val=&quot;00533C43&quot;/&gt;&lt;wsp:rsid wsp:val=&quot;00535564&quot;/&gt;&lt;wsp:rsid wsp:val=&quot;00536418&quot;/&gt;&lt;wsp:rsid wsp:val=&quot;00536AA0&quot;/&gt;&lt;wsp:rsid wsp:val=&quot;00537058&quot;/&gt;&lt;wsp:rsid wsp:val=&quot;00537856&quot;/&gt;&lt;wsp:rsid wsp:val=&quot;005378E2&quot;/&gt;&lt;wsp:rsid wsp:val=&quot;00537A7B&quot;/&gt;&lt;wsp:rsid wsp:val=&quot;005403E3&quot;/&gt;&lt;wsp:rsid wsp:val=&quot;00541605&quot;/&gt;&lt;wsp:rsid wsp:val=&quot;0054341A&quot;/&gt;&lt;wsp:rsid wsp:val=&quot;00543AF5&quot;/&gt;&lt;wsp:rsid wsp:val=&quot;00544B0D&quot;/&gt;&lt;wsp:rsid wsp:val=&quot;00545036&quot;/&gt;&lt;wsp:rsid wsp:val=&quot;005460A1&quot;/&gt;&lt;wsp:rsid wsp:val=&quot;00547AAB&quot;/&gt;&lt;wsp:rsid wsp:val=&quot;00547C88&quot;/&gt;&lt;wsp:rsid wsp:val=&quot;005505AB&quot;/&gt;&lt;wsp:rsid wsp:val=&quot;00552720&quot;/&gt;&lt;wsp:rsid wsp:val=&quot;00553174&quot;/&gt;&lt;wsp:rsid wsp:val=&quot;00553897&quot;/&gt;&lt;wsp:rsid wsp:val=&quot;00554705&quot;/&gt;&lt;wsp:rsid wsp:val=&quot;00556B8D&quot;/&gt;&lt;wsp:rsid wsp:val=&quot;00556FD4&quot;/&gt;&lt;wsp:rsid wsp:val=&quot;00560BD6&quot;/&gt;&lt;wsp:rsid wsp:val=&quot;00561E28&quot;/&gt;&lt;wsp:rsid wsp:val=&quot;005624C3&quot;/&gt;&lt;wsp:rsid wsp:val=&quot;00562824&quot;/&gt;&lt;wsp:rsid wsp:val=&quot;00563B00&quot;/&gt;&lt;wsp:rsid wsp:val=&quot;0056492C&quot;/&gt;&lt;wsp:rsid wsp:val=&quot;00564BAF&quot;/&gt;&lt;wsp:rsid wsp:val=&quot;005666C8&quot;/&gt;&lt;wsp:rsid wsp:val=&quot;005666D5&quot;/&gt;&lt;wsp:rsid wsp:val=&quot;005677C1&quot;/&gt;&lt;wsp:rsid wsp:val=&quot;005701C0&quot;/&gt;&lt;wsp:rsid wsp:val=&quot;00570336&quot;/&gt;&lt;wsp:rsid wsp:val=&quot;005705D2&quot;/&gt;&lt;wsp:rsid wsp:val=&quot;0057277D&quot;/&gt;&lt;wsp:rsid wsp:val=&quot;00572A23&quot;/&gt;&lt;wsp:rsid wsp:val=&quot;00572B10&quot;/&gt;&lt;wsp:rsid wsp:val=&quot;0057344B&quot;/&gt;&lt;wsp:rsid wsp:val=&quot;00573F04&quot;/&gt;&lt;wsp:rsid wsp:val=&quot;00574136&quot;/&gt;&lt;wsp:rsid wsp:val=&quot;00576569&quot;/&gt;&lt;wsp:rsid wsp:val=&quot;00576CBB&quot;/&gt;&lt;wsp:rsid wsp:val=&quot;00576E1F&quot;/&gt;&lt;wsp:rsid wsp:val=&quot;00577EB3&quot;/&gt;&lt;wsp:rsid wsp:val=&quot;00580562&quot;/&gt;&lt;wsp:rsid wsp:val=&quot;00580F6F&quot;/&gt;&lt;wsp:rsid wsp:val=&quot;005811B4&quot;/&gt;&lt;wsp:rsid wsp:val=&quot;00581413&quot;/&gt;&lt;wsp:rsid wsp:val=&quot;00582B80&quot;/&gt;&lt;wsp:rsid wsp:val=&quot;00583102&quot;/&gt;&lt;wsp:rsid wsp:val=&quot;00583226&quot;/&gt;&lt;wsp:rsid wsp:val=&quot;005832F5&quot;/&gt;&lt;wsp:rsid wsp:val=&quot;005833A8&quot;/&gt;&lt;wsp:rsid wsp:val=&quot;005833AB&quot;/&gt;&lt;wsp:rsid wsp:val=&quot;005833D2&quot;/&gt;&lt;wsp:rsid wsp:val=&quot;005836EA&quot;/&gt;&lt;wsp:rsid wsp:val=&quot;0058381E&quot;/&gt;&lt;wsp:rsid wsp:val=&quot;00583AE1&quot;/&gt;&lt;wsp:rsid wsp:val=&quot;00585D13&quot;/&gt;&lt;wsp:rsid wsp:val=&quot;00586AB7&quot;/&gt;&lt;wsp:rsid wsp:val=&quot;00590560&quot;/&gt;&lt;wsp:rsid wsp:val=&quot;005915D3&quot;/&gt;&lt;wsp:rsid wsp:val=&quot;0059215E&quot;/&gt;&lt;wsp:rsid wsp:val=&quot;00592345&quot;/&gt;&lt;wsp:rsid wsp:val=&quot;005923F6&quot;/&gt;&lt;wsp:rsid wsp:val=&quot;00592602&quot;/&gt;&lt;wsp:rsid wsp:val=&quot;00592C63&quot;/&gt;&lt;wsp:rsid wsp:val=&quot;00592F60&quot;/&gt;&lt;wsp:rsid wsp:val=&quot;0059310C&quot;/&gt;&lt;wsp:rsid wsp:val=&quot;0059420B&quot;/&gt;&lt;wsp:rsid wsp:val=&quot;00595489&quot;/&gt;&lt;wsp:rsid wsp:val=&quot;00595A2D&quot;/&gt;&lt;wsp:rsid wsp:val=&quot;005967EC&quot;/&gt;&lt;wsp:rsid wsp:val=&quot;00596DF0&quot;/&gt;&lt;wsp:rsid wsp:val=&quot;005A06D3&quot;/&gt;&lt;wsp:rsid wsp:val=&quot;005A1CEF&quot;/&gt;&lt;wsp:rsid wsp:val=&quot;005A2262&quot;/&gt;&lt;wsp:rsid wsp:val=&quot;005A49EB&quot;/&gt;&lt;wsp:rsid wsp:val=&quot;005A520C&quot;/&gt;&lt;wsp:rsid wsp:val=&quot;005A5A58&quot;/&gt;&lt;wsp:rsid wsp:val=&quot;005A5F97&quot;/&gt;&lt;wsp:rsid wsp:val=&quot;005A63E6&quot;/&gt;&lt;wsp:rsid wsp:val=&quot;005A767E&quot;/&gt;&lt;wsp:rsid wsp:val=&quot;005B0839&quot;/&gt;&lt;wsp:rsid wsp:val=&quot;005B1D21&quot;/&gt;&lt;wsp:rsid wsp:val=&quot;005B1F9A&quot;/&gt;&lt;wsp:rsid wsp:val=&quot;005B3C8A&quot;/&gt;&lt;wsp:rsid wsp:val=&quot;005B455B&quot;/&gt;&lt;wsp:rsid wsp:val=&quot;005B55A9&quot;/&gt;&lt;wsp:rsid wsp:val=&quot;005B5DAD&quot;/&gt;&lt;wsp:rsid wsp:val=&quot;005B6DB8&quot;/&gt;&lt;wsp:rsid wsp:val=&quot;005B6DEA&quot;/&gt;&lt;wsp:rsid wsp:val=&quot;005B7394&quot;/&gt;&lt;wsp:rsid wsp:val=&quot;005B7434&quot;/&gt;&lt;wsp:rsid wsp:val=&quot;005B7E8F&quot;/&gt;&lt;wsp:rsid wsp:val=&quot;005C0058&quot;/&gt;&lt;wsp:rsid wsp:val=&quot;005C0226&quot;/&gt;&lt;wsp:rsid wsp:val=&quot;005C12B2&quot;/&gt;&lt;wsp:rsid wsp:val=&quot;005C238F&quot;/&gt;&lt;wsp:rsid wsp:val=&quot;005C2CA8&quot;/&gt;&lt;wsp:rsid wsp:val=&quot;005C3A8C&quot;/&gt;&lt;wsp:rsid wsp:val=&quot;005C487A&quot;/&gt;&lt;wsp:rsid wsp:val=&quot;005C4AAA&quot;/&gt;&lt;wsp:rsid wsp:val=&quot;005C63F6&quot;/&gt;&lt;wsp:rsid wsp:val=&quot;005C6A59&quot;/&gt;&lt;wsp:rsid wsp:val=&quot;005C6A85&quot;/&gt;&lt;wsp:rsid wsp:val=&quot;005C6BD1&quot;/&gt;&lt;wsp:rsid wsp:val=&quot;005C76FB&quot;/&gt;&lt;wsp:rsid wsp:val=&quot;005D00CB&quot;/&gt;&lt;wsp:rsid wsp:val=&quot;005D0300&quot;/&gt;&lt;wsp:rsid wsp:val=&quot;005D079C&quot;/&gt;&lt;wsp:rsid wsp:val=&quot;005D1110&quot;/&gt;&lt;wsp:rsid wsp:val=&quot;005D17BD&quot;/&gt;&lt;wsp:rsid wsp:val=&quot;005D1856&quot;/&gt;&lt;wsp:rsid wsp:val=&quot;005D198C&quot;/&gt;&lt;wsp:rsid wsp:val=&quot;005D19F5&quot;/&gt;&lt;wsp:rsid wsp:val=&quot;005D2857&quot;/&gt;&lt;wsp:rsid wsp:val=&quot;005D29FE&quot;/&gt;&lt;wsp:rsid wsp:val=&quot;005D41B3&quot;/&gt;&lt;wsp:rsid wsp:val=&quot;005D47D5&quot;/&gt;&lt;wsp:rsid wsp:val=&quot;005D5C3B&quot;/&gt;&lt;wsp:rsid wsp:val=&quot;005D5D5E&quot;/&gt;&lt;wsp:rsid wsp:val=&quot;005D6C73&quot;/&gt;&lt;wsp:rsid wsp:val=&quot;005D6EB2&quot;/&gt;&lt;wsp:rsid wsp:val=&quot;005D7611&quot;/&gt;&lt;wsp:rsid wsp:val=&quot;005E0558&quot;/&gt;&lt;wsp:rsid wsp:val=&quot;005E0DB7&quot;/&gt;&lt;wsp:rsid wsp:val=&quot;005E1405&quot;/&gt;&lt;wsp:rsid wsp:val=&quot;005E264A&quot;/&gt;&lt;wsp:rsid wsp:val=&quot;005E30B0&quot;/&gt;&lt;wsp:rsid wsp:val=&quot;005E3CCC&quot;/&gt;&lt;wsp:rsid wsp:val=&quot;005E441A&quot;/&gt;&lt;wsp:rsid wsp:val=&quot;005E7723&quot;/&gt;&lt;wsp:rsid wsp:val=&quot;005E77EA&quot;/&gt;&lt;wsp:rsid wsp:val=&quot;005E79B1&quot;/&gt;&lt;wsp:rsid wsp:val=&quot;005E7F05&quot;/&gt;&lt;wsp:rsid wsp:val=&quot;005F03BB&quot;/&gt;&lt;wsp:rsid wsp:val=&quot;005F0715&quot;/&gt;&lt;wsp:rsid wsp:val=&quot;005F07FB&quot;/&gt;&lt;wsp:rsid wsp:val=&quot;005F1220&quot;/&gt;&lt;wsp:rsid wsp:val=&quot;005F39D6&quot;/&gt;&lt;wsp:rsid wsp:val=&quot;005F459C&quot;/&gt;&lt;wsp:rsid wsp:val=&quot;005F4EDB&quot;/&gt;&lt;wsp:rsid wsp:val=&quot;005F5832&quot;/&gt;&lt;wsp:rsid wsp:val=&quot;005F662A&quot;/&gt;&lt;wsp:rsid wsp:val=&quot;005F6B29&quot;/&gt;&lt;wsp:rsid wsp:val=&quot;005F721F&quot;/&gt;&lt;wsp:rsid wsp:val=&quot;005F7342&quot;/&gt;&lt;wsp:rsid wsp:val=&quot;006038CB&quot;/&gt;&lt;wsp:rsid wsp:val=&quot;006056FB&quot;/&gt;&lt;wsp:rsid wsp:val=&quot;00605E44&quot;/&gt;&lt;wsp:rsid wsp:val=&quot;00606860&quot;/&gt;&lt;wsp:rsid wsp:val=&quot;00606923&quot;/&gt;&lt;wsp:rsid wsp:val=&quot;00607179&quot;/&gt;&lt;wsp:rsid wsp:val=&quot;0060768C&quot;/&gt;&lt;wsp:rsid wsp:val=&quot;0061051C&quot;/&gt;&lt;wsp:rsid wsp:val=&quot;00611D0A&quot;/&gt;&lt;wsp:rsid wsp:val=&quot;006139FD&quot;/&gt;&lt;wsp:rsid wsp:val=&quot;006146D4&quot;/&gt;&lt;wsp:rsid wsp:val=&quot;00615F68&quot;/&gt;&lt;wsp:rsid wsp:val=&quot;006162F3&quot;/&gt;&lt;wsp:rsid wsp:val=&quot;00617688&quot;/&gt;&lt;wsp:rsid wsp:val=&quot;006177F5&quot;/&gt;&lt;wsp:rsid wsp:val=&quot;00617F27&quot;/&gt;&lt;wsp:rsid wsp:val=&quot;00620931&quot;/&gt;&lt;wsp:rsid wsp:val=&quot;006209E0&quot;/&gt;&lt;wsp:rsid wsp:val=&quot;006226BB&quot;/&gt;&lt;wsp:rsid wsp:val=&quot;006229D6&quot;/&gt;&lt;wsp:rsid wsp:val=&quot;00622D12&quot;/&gt;&lt;wsp:rsid wsp:val=&quot;00622DBC&quot;/&gt;&lt;wsp:rsid wsp:val=&quot;006234C1&quot;/&gt;&lt;wsp:rsid wsp:val=&quot;006236CF&quot;/&gt;&lt;wsp:rsid wsp:val=&quot;006254F5&quot;/&gt;&lt;wsp:rsid wsp:val=&quot;00625E8B&quot;/&gt;&lt;wsp:rsid wsp:val=&quot;006267A5&quot;/&gt;&lt;wsp:rsid wsp:val=&quot;00626BBA&quot;/&gt;&lt;wsp:rsid wsp:val=&quot;00627817&quot;/&gt;&lt;wsp:rsid wsp:val=&quot;00630857&quot;/&gt;&lt;wsp:rsid wsp:val=&quot;00631C2C&quot;/&gt;&lt;wsp:rsid wsp:val=&quot;00634BB2&quot;/&gt;&lt;wsp:rsid wsp:val=&quot;006351AA&quot;/&gt;&lt;wsp:rsid wsp:val=&quot;00635748&quot;/&gt;&lt;wsp:rsid wsp:val=&quot;00635961&quot;/&gt;&lt;wsp:rsid wsp:val=&quot;00636314&quot;/&gt;&lt;wsp:rsid wsp:val=&quot;00636742&quot;/&gt;&lt;wsp:rsid wsp:val=&quot;00637672&quot;/&gt;&lt;wsp:rsid wsp:val=&quot;00641179&quot;/&gt;&lt;wsp:rsid wsp:val=&quot;00641AD6&quot;/&gt;&lt;wsp:rsid wsp:val=&quot;00642438&quot;/&gt;&lt;wsp:rsid wsp:val=&quot;00643FB1&quot;/&gt;&lt;wsp:rsid wsp:val=&quot;00645AB0&quot;/&gt;&lt;wsp:rsid wsp:val=&quot;00647D8D&quot;/&gt;&lt;wsp:rsid wsp:val=&quot;006504BF&quot;/&gt;&lt;wsp:rsid wsp:val=&quot;006506B5&quot;/&gt;&lt;wsp:rsid wsp:val=&quot;00650F10&quot;/&gt;&lt;wsp:rsid wsp:val=&quot;006510C4&quot;/&gt;&lt;wsp:rsid wsp:val=&quot;006511E8&quot;/&gt;&lt;wsp:rsid wsp:val=&quot;0065151A&quot;/&gt;&lt;wsp:rsid wsp:val=&quot;00651818&quot;/&gt;&lt;wsp:rsid wsp:val=&quot;00651D18&quot;/&gt;&lt;wsp:rsid wsp:val=&quot;00651F35&quot;/&gt;&lt;wsp:rsid wsp:val=&quot;00652F95&quot;/&gt;&lt;wsp:rsid wsp:val=&quot;0065334E&quot;/&gt;&lt;wsp:rsid wsp:val=&quot;00653386&quot;/&gt;&lt;wsp:rsid wsp:val=&quot;006545A5&quot;/&gt;&lt;wsp:rsid wsp:val=&quot;00654D19&quot;/&gt;&lt;wsp:rsid wsp:val=&quot;006570BE&quot;/&gt;&lt;wsp:rsid wsp:val=&quot;00657533&quot;/&gt;&lt;wsp:rsid wsp:val=&quot;00657E54&quot;/&gt;&lt;wsp:rsid wsp:val=&quot;00661A2C&quot;/&gt;&lt;wsp:rsid wsp:val=&quot;00664AC0&quot;/&gt;&lt;wsp:rsid wsp:val=&quot;006660BD&quot;/&gt;&lt;wsp:rsid wsp:val=&quot;00667EE8&quot;/&gt;&lt;wsp:rsid wsp:val=&quot;00671E12&quot;/&gt;&lt;wsp:rsid wsp:val=&quot;00674088&quot;/&gt;&lt;wsp:rsid wsp:val=&quot;006755D7&quot;/&gt;&lt;wsp:rsid wsp:val=&quot;006777C0&quot;/&gt;&lt;wsp:rsid wsp:val=&quot;00680383&quot;/&gt;&lt;wsp:rsid wsp:val=&quot;006813EB&quot;/&gt;&lt;wsp:rsid wsp:val=&quot;00684DB9&quot;/&gt;&lt;wsp:rsid wsp:val=&quot;006874BD&quot;/&gt;&lt;wsp:rsid wsp:val=&quot;006877FD&quot;/&gt;&lt;wsp:rsid wsp:val=&quot;0069005F&quot;/&gt;&lt;wsp:rsid wsp:val=&quot;00690EC2&quot;/&gt;&lt;wsp:rsid wsp:val=&quot;006918FD&quot;/&gt;&lt;wsp:rsid wsp:val=&quot;0069484B&quot;/&gt;&lt;wsp:rsid wsp:val=&quot;0069663E&quot;/&gt;&lt;wsp:rsid wsp:val=&quot;00697ACF&quot;/&gt;&lt;wsp:rsid wsp:val=&quot;00697EB1&quot;/&gt;&lt;wsp:rsid wsp:val=&quot;006A09FC&quot;/&gt;&lt;wsp:rsid wsp:val=&quot;006A0A2D&quot;/&gt;&lt;wsp:rsid wsp:val=&quot;006A1DC7&quot;/&gt;&lt;wsp:rsid wsp:val=&quot;006A4440&quot;/&gt;&lt;wsp:rsid wsp:val=&quot;006A4619&quot;/&gt;&lt;wsp:rsid wsp:val=&quot;006A5205&quot;/&gt;&lt;wsp:rsid wsp:val=&quot;006A54CE&quot;/&gt;&lt;wsp:rsid wsp:val=&quot;006A60EB&quot;/&gt;&lt;wsp:rsid wsp:val=&quot;006A61B4&quot;/&gt;&lt;wsp:rsid wsp:val=&quot;006A679F&quot;/&gt;&lt;wsp:rsid wsp:val=&quot;006A7990&quot;/&gt;&lt;wsp:rsid wsp:val=&quot;006B10B0&quot;/&gt;&lt;wsp:rsid wsp:val=&quot;006B180E&quot;/&gt;&lt;wsp:rsid wsp:val=&quot;006B199A&quot;/&gt;&lt;wsp:rsid wsp:val=&quot;006B30C2&quot;/&gt;&lt;wsp:rsid wsp:val=&quot;006B514E&quot;/&gt;&lt;wsp:rsid wsp:val=&quot;006B5D3E&quot;/&gt;&lt;wsp:rsid wsp:val=&quot;006B7D7A&quot;/&gt;&lt;wsp:rsid wsp:val=&quot;006C0BF7&quot;/&gt;&lt;wsp:rsid wsp:val=&quot;006C2126&quot;/&gt;&lt;wsp:rsid wsp:val=&quot;006C26CF&quot;/&gt;&lt;wsp:rsid wsp:val=&quot;006C396B&quot;/&gt;&lt;wsp:rsid wsp:val=&quot;006C39E8&quot;/&gt;&lt;wsp:rsid wsp:val=&quot;006C4B84&quot;/&gt;&lt;wsp:rsid wsp:val=&quot;006C50BB&quot;/&gt;&lt;wsp:rsid wsp:val=&quot;006C5E10&quot;/&gt;&lt;wsp:rsid wsp:val=&quot;006C5E97&quot;/&gt;&lt;wsp:rsid wsp:val=&quot;006C703E&quot;/&gt;&lt;wsp:rsid wsp:val=&quot;006C7F13&quot;/&gt;&lt;wsp:rsid wsp:val=&quot;006D1247&quot;/&gt;&lt;wsp:rsid wsp:val=&quot;006D2158&quot;/&gt;&lt;wsp:rsid wsp:val=&quot;006D2956&quot;/&gt;&lt;wsp:rsid wsp:val=&quot;006D2CEF&quot;/&gt;&lt;wsp:rsid wsp:val=&quot;006D357C&quot;/&gt;&lt;wsp:rsid wsp:val=&quot;006D4A6C&quot;/&gt;&lt;wsp:rsid wsp:val=&quot;006D6B3B&quot;/&gt;&lt;wsp:rsid wsp:val=&quot;006D72DE&quot;/&gt;&lt;wsp:rsid wsp:val=&quot;006D76BB&quot;/&gt;&lt;wsp:rsid wsp:val=&quot;006D771D&quot;/&gt;&lt;wsp:rsid wsp:val=&quot;006D77B1&quot;/&gt;&lt;wsp:rsid wsp:val=&quot;006E0CE9&quot;/&gt;&lt;wsp:rsid wsp:val=&quot;006E0F6D&quot;/&gt;&lt;wsp:rsid wsp:val=&quot;006E10A2&quot;/&gt;&lt;wsp:rsid wsp:val=&quot;006E1FFD&quot;/&gt;&lt;wsp:rsid wsp:val=&quot;006E2EFC&quot;/&gt;&lt;wsp:rsid wsp:val=&quot;006E3B3D&quot;/&gt;&lt;wsp:rsid wsp:val=&quot;006E415F&quot;/&gt;&lt;wsp:rsid wsp:val=&quot;006E61B3&quot;/&gt;&lt;wsp:rsid wsp:val=&quot;006E673B&quot;/&gt;&lt;wsp:rsid wsp:val=&quot;006E705C&quot;/&gt;&lt;wsp:rsid wsp:val=&quot;006E70C3&quot;/&gt;&lt;wsp:rsid wsp:val=&quot;006F0D66&quot;/&gt;&lt;wsp:rsid wsp:val=&quot;006F1F23&quot;/&gt;&lt;wsp:rsid wsp:val=&quot;006F25B8&quot;/&gt;&lt;wsp:rsid wsp:val=&quot;006F285D&quot;/&gt;&lt;wsp:rsid wsp:val=&quot;006F3820&quot;/&gt;&lt;wsp:rsid wsp:val=&quot;006F5158&quot;/&gt;&lt;wsp:rsid wsp:val=&quot;006F5183&quot;/&gt;&lt;wsp:rsid wsp:val=&quot;0070046B&quot;/&gt;&lt;wsp:rsid wsp:val=&quot;0070048E&quot;/&gt;&lt;wsp:rsid wsp:val=&quot;00700745&quot;/&gt;&lt;wsp:rsid wsp:val=&quot;007019E7&quot;/&gt;&lt;wsp:rsid wsp:val=&quot;00704625&quot;/&gt;&lt;wsp:rsid wsp:val=&quot;0070514A&quot;/&gt;&lt;wsp:rsid wsp:val=&quot;00705540&quot;/&gt;&lt;wsp:rsid wsp:val=&quot;00705971&quot;/&gt;&lt;wsp:rsid wsp:val=&quot;007104CC&quot;/&gt;&lt;wsp:rsid wsp:val=&quot;00711395&quot;/&gt;&lt;wsp:rsid wsp:val=&quot;00711D5E&quot;/&gt;&lt;wsp:rsid wsp:val=&quot;00711DF7&quot;/&gt;&lt;wsp:rsid wsp:val=&quot;00712F16&quot;/&gt;&lt;wsp:rsid wsp:val=&quot;00714D34&quot;/&gt;&lt;wsp:rsid wsp:val=&quot;00715CBB&quot;/&gt;&lt;wsp:rsid wsp:val=&quot;00716EB4&quot;/&gt;&lt;wsp:rsid wsp:val=&quot;0071714F&quot;/&gt;&lt;wsp:rsid wsp:val=&quot;0071745E&quot;/&gt;&lt;wsp:rsid wsp:val=&quot;0072089D&quot;/&gt;&lt;wsp:rsid wsp:val=&quot;007213A0&quot;/&gt;&lt;wsp:rsid wsp:val=&quot;00721D09&quot;/&gt;&lt;wsp:rsid wsp:val=&quot;00721EEE&quot;/&gt;&lt;wsp:rsid wsp:val=&quot;00722034&quot;/&gt;&lt;wsp:rsid wsp:val=&quot;00722987&quot;/&gt;&lt;wsp:rsid wsp:val=&quot;00722CB9&quot;/&gt;&lt;wsp:rsid wsp:val=&quot;00725B49&quot;/&gt;&lt;wsp:rsid wsp:val=&quot;00727203&quot;/&gt;&lt;wsp:rsid wsp:val=&quot;00727B16&quot;/&gt;&lt;wsp:rsid wsp:val=&quot;00730B74&quot;/&gt;&lt;wsp:rsid wsp:val=&quot;00731568&quot;/&gt;&lt;wsp:rsid wsp:val=&quot;00731EEF&quot;/&gt;&lt;wsp:rsid wsp:val=&quot;00731FA0&quot;/&gt;&lt;wsp:rsid wsp:val=&quot;0073243B&quot;/&gt;&lt;wsp:rsid wsp:val=&quot;007331B0&quot;/&gt;&lt;wsp:rsid wsp:val=&quot;00733C52&quot;/&gt;&lt;wsp:rsid wsp:val=&quot;007346CB&quot;/&gt;&lt;wsp:rsid wsp:val=&quot;00734FDE&quot;/&gt;&lt;wsp:rsid wsp:val=&quot;0073526B&quot;/&gt;&lt;wsp:rsid wsp:val=&quot;007353E3&quot;/&gt;&lt;wsp:rsid wsp:val=&quot;00735A41&quot;/&gt;&lt;wsp:rsid wsp:val=&quot;00736B07&quot;/&gt;&lt;wsp:rsid wsp:val=&quot;00740DF7&quot;/&gt;&lt;wsp:rsid wsp:val=&quot;00741843&quot;/&gt;&lt;wsp:rsid wsp:val=&quot;00742C30&quot;/&gt;&lt;wsp:rsid wsp:val=&quot;0074397F&quot;/&gt;&lt;wsp:rsid wsp:val=&quot;00744A4D&quot;/&gt;&lt;wsp:rsid wsp:val=&quot;00744BE9&quot;/&gt;&lt;wsp:rsid wsp:val=&quot;00745E58&quot;/&gt;&lt;wsp:rsid wsp:val=&quot;00746674&quot;/&gt;&lt;wsp:rsid wsp:val=&quot;007468FB&quot;/&gt;&lt;wsp:rsid wsp:val=&quot;00746AB7&quot;/&gt;&lt;wsp:rsid wsp:val=&quot;00750427&quot;/&gt;&lt;wsp:rsid wsp:val=&quot;007505E4&quot;/&gt;&lt;wsp:rsid wsp:val=&quot;00750F93&quot;/&gt;&lt;wsp:rsid wsp:val=&quot;0075132D&quot;/&gt;&lt;wsp:rsid wsp:val=&quot;00751B46&quot;/&gt;&lt;wsp:rsid wsp:val=&quot;00751D4B&quot;/&gt;&lt;wsp:rsid wsp:val=&quot;00751D5C&quot;/&gt;&lt;wsp:rsid wsp:val=&quot;00754168&quot;/&gt;&lt;wsp:rsid wsp:val=&quot;007548A3&quot;/&gt;&lt;wsp:rsid wsp:val=&quot;007548C7&quot;/&gt;&lt;wsp:rsid wsp:val=&quot;007548DE&quot;/&gt;&lt;wsp:rsid wsp:val=&quot;00754FF9&quot;/&gt;&lt;wsp:rsid wsp:val=&quot;00756021&quot;/&gt;&lt;wsp:rsid wsp:val=&quot;007569A6&quot;/&gt;&lt;wsp:rsid wsp:val=&quot;00757ED1&quot;/&gt;&lt;wsp:rsid wsp:val=&quot;007604F0&quot;/&gt;&lt;wsp:rsid wsp:val=&quot;00760BCD&quot;/&gt;&lt;wsp:rsid wsp:val=&quot;007616AF&quot;/&gt;&lt;wsp:rsid wsp:val=&quot;00761CC8&quot;/&gt;&lt;wsp:rsid wsp:val=&quot;0076209C&quot;/&gt;&lt;wsp:rsid wsp:val=&quot;00762BA2&quot;/&gt;&lt;wsp:rsid wsp:val=&quot;007643F1&quot;/&gt;&lt;wsp:rsid wsp:val=&quot;00764842&quot;/&gt;&lt;wsp:rsid wsp:val=&quot;00765700&quot;/&gt;&lt;wsp:rsid wsp:val=&quot;00765A09&quot;/&gt;&lt;wsp:rsid wsp:val=&quot;00765FE4&quot;/&gt;&lt;wsp:rsid wsp:val=&quot;007662B3&quot;/&gt;&lt;wsp:rsid wsp:val=&quot;00766BCA&quot;/&gt;&lt;wsp:rsid wsp:val=&quot;00766C7D&quot;/&gt;&lt;wsp:rsid wsp:val=&quot;00767FD8&quot;/&gt;&lt;wsp:rsid wsp:val=&quot;00770252&quot;/&gt;&lt;wsp:rsid wsp:val=&quot;00774CC1&quot;/&gt;&lt;wsp:rsid wsp:val=&quot;00775849&quot;/&gt;&lt;wsp:rsid wsp:val=&quot;007773BF&quot;/&gt;&lt;wsp:rsid wsp:val=&quot;00777753&quot;/&gt;&lt;wsp:rsid wsp:val=&quot;0078264E&quot;/&gt;&lt;wsp:rsid wsp:val=&quot;00782929&quot;/&gt;&lt;wsp:rsid wsp:val=&quot;007834C7&quot;/&gt;&lt;wsp:rsid wsp:val=&quot;00785A9A&quot;/&gt;&lt;wsp:rsid wsp:val=&quot;00786B6B&quot;/&gt;&lt;wsp:rsid wsp:val=&quot;0078709E&quot;/&gt;&lt;wsp:rsid wsp:val=&quot;00787440&quot;/&gt;&lt;wsp:rsid wsp:val=&quot;007879B9&quot;/&gt;&lt;wsp:rsid wsp:val=&quot;00787D56&quot;/&gt;&lt;wsp:rsid wsp:val=&quot;00791F40&quot;/&gt;&lt;wsp:rsid wsp:val=&quot;00792486&quot;/&gt;&lt;wsp:rsid wsp:val=&quot;00794390&quot;/&gt;&lt;wsp:rsid wsp:val=&quot;00794976&quot;/&gt;&lt;wsp:rsid wsp:val=&quot;00794C3C&quot;/&gt;&lt;wsp:rsid wsp:val=&quot;00794E1B&quot;/&gt;&lt;wsp:rsid wsp:val=&quot;007953CC&quot;/&gt;&lt;wsp:rsid wsp:val=&quot;007955D1&quot;/&gt;&lt;wsp:rsid wsp:val=&quot;00795BD7&quot;/&gt;&lt;wsp:rsid wsp:val=&quot;00795CC9&quot;/&gt;&lt;wsp:rsid wsp:val=&quot;00795DF2&quot;/&gt;&lt;wsp:rsid wsp:val=&quot;00796288&quot;/&gt;&lt;wsp:rsid wsp:val=&quot;0079776A&quot;/&gt;&lt;wsp:rsid wsp:val=&quot;00797A64&quot;/&gt;&lt;wsp:rsid wsp:val=&quot;007A017A&quot;/&gt;&lt;wsp:rsid wsp:val=&quot;007A0507&quot;/&gt;&lt;wsp:rsid wsp:val=&quot;007A2263&quot;/&gt;&lt;wsp:rsid wsp:val=&quot;007A29B5&quot;/&gt;&lt;wsp:rsid wsp:val=&quot;007A32F9&quot;/&gt;&lt;wsp:rsid wsp:val=&quot;007A4831&quot;/&gt;&lt;wsp:rsid wsp:val=&quot;007A4922&quot;/&gt;&lt;wsp:rsid wsp:val=&quot;007A4942&quot;/&gt;&lt;wsp:rsid wsp:val=&quot;007A6BC4&quot;/&gt;&lt;wsp:rsid wsp:val=&quot;007B13A5&quot;/&gt;&lt;wsp:rsid wsp:val=&quot;007B1CC8&quot;/&gt;&lt;wsp:rsid wsp:val=&quot;007B2EB8&quot;/&gt;&lt;wsp:rsid wsp:val=&quot;007B3003&quot;/&gt;&lt;wsp:rsid wsp:val=&quot;007B363F&quot;/&gt;&lt;wsp:rsid wsp:val=&quot;007B36C3&quot;/&gt;&lt;wsp:rsid wsp:val=&quot;007B407F&quot;/&gt;&lt;wsp:rsid wsp:val=&quot;007B5AF3&quot;/&gt;&lt;wsp:rsid wsp:val=&quot;007B7599&quot;/&gt;&lt;wsp:rsid wsp:val=&quot;007B78C4&quot;/&gt;&lt;wsp:rsid wsp:val=&quot;007B7F3D&quot;/&gt;&lt;wsp:rsid wsp:val=&quot;007C24DE&quot;/&gt;&lt;wsp:rsid wsp:val=&quot;007C3213&quot;/&gt;&lt;wsp:rsid wsp:val=&quot;007C38C4&quot;/&gt;&lt;wsp:rsid wsp:val=&quot;007C4DE2&quot;/&gt;&lt;wsp:rsid wsp:val=&quot;007C5227&quot;/&gt;&lt;wsp:rsid wsp:val=&quot;007C570F&quot;/&gt;&lt;wsp:rsid wsp:val=&quot;007C57B3&quot;/&gt;&lt;wsp:rsid wsp:val=&quot;007C57BD&quot;/&gt;&lt;wsp:rsid wsp:val=&quot;007C5F73&quot;/&gt;&lt;wsp:rsid wsp:val=&quot;007C719E&quot;/&gt;&lt;wsp:rsid wsp:val=&quot;007C7BD0&quot;/&gt;&lt;wsp:rsid wsp:val=&quot;007D0C35&quot;/&gt;&lt;wsp:rsid wsp:val=&quot;007D131A&quot;/&gt;&lt;wsp:rsid wsp:val=&quot;007D28B4&quot;/&gt;&lt;wsp:rsid wsp:val=&quot;007D2F61&quot;/&gt;&lt;wsp:rsid wsp:val=&quot;007D358D&quot;/&gt;&lt;wsp:rsid wsp:val=&quot;007D4770&quot;/&gt;&lt;wsp:rsid wsp:val=&quot;007D515F&quot;/&gt;&lt;wsp:rsid wsp:val=&quot;007D55F7&quot;/&gt;&lt;wsp:rsid wsp:val=&quot;007D62A0&quot;/&gt;&lt;wsp:rsid wsp:val=&quot;007D6877&quot;/&gt;&lt;wsp:rsid wsp:val=&quot;007D6D1F&quot;/&gt;&lt;wsp:rsid wsp:val=&quot;007D77DC&quot;/&gt;&lt;wsp:rsid wsp:val=&quot;007E0869&quot;/&gt;&lt;wsp:rsid wsp:val=&quot;007E1C99&quot;/&gt;&lt;wsp:rsid wsp:val=&quot;007E3C76&quot;/&gt;&lt;wsp:rsid wsp:val=&quot;007E50BA&quot;/&gt;&lt;wsp:rsid wsp:val=&quot;007E51A2&quot;/&gt;&lt;wsp:rsid wsp:val=&quot;007E7542&quot;/&gt;&lt;wsp:rsid wsp:val=&quot;007E7AD8&quot;/&gt;&lt;wsp:rsid wsp:val=&quot;007F0A51&quot;/&gt;&lt;wsp:rsid wsp:val=&quot;007F0F0C&quot;/&gt;&lt;wsp:rsid wsp:val=&quot;007F11DA&quot;/&gt;&lt;wsp:rsid wsp:val=&quot;007F1818&quot;/&gt;&lt;wsp:rsid wsp:val=&quot;007F1AF9&quot;/&gt;&lt;wsp:rsid wsp:val=&quot;007F3101&quot;/&gt;&lt;wsp:rsid wsp:val=&quot;007F5D78&quot;/&gt;&lt;wsp:rsid wsp:val=&quot;007F5EBE&quot;/&gt;&lt;wsp:rsid wsp:val=&quot;007F7271&quot;/&gt;&lt;wsp:rsid wsp:val=&quot;008005E8&quot;/&gt;&lt;wsp:rsid wsp:val=&quot;00801EE7&quot;/&gt;&lt;wsp:rsid wsp:val=&quot;00802CAD&quot;/&gt;&lt;wsp:rsid wsp:val=&quot;00802EAA&quot;/&gt;&lt;wsp:rsid wsp:val=&quot;008037B8&quot;/&gt;&lt;wsp:rsid wsp:val=&quot;008040E0&quot;/&gt;&lt;wsp:rsid wsp:val=&quot;008046BC&quot;/&gt;&lt;wsp:rsid wsp:val=&quot;0080561C&quot;/&gt;&lt;wsp:rsid wsp:val=&quot;00805B5D&quot;/&gt;&lt;wsp:rsid wsp:val=&quot;008072BA&quot;/&gt;&lt;wsp:rsid wsp:val=&quot;008074F6&quot;/&gt;&lt;wsp:rsid wsp:val=&quot;00810B9C&quot;/&gt;&lt;wsp:rsid wsp:val=&quot;00810DC6&quot;/&gt;&lt;wsp:rsid wsp:val=&quot;008127E4&quot;/&gt;&lt;wsp:rsid wsp:val=&quot;008138B2&quot;/&gt;&lt;wsp:rsid wsp:val=&quot;00814EDB&quot;/&gt;&lt;wsp:rsid wsp:val=&quot;0081532B&quot;/&gt;&lt;wsp:rsid wsp:val=&quot;00820A86&quot;/&gt;&lt;wsp:rsid wsp:val=&quot;0082140B&quot;/&gt;&lt;wsp:rsid wsp:val=&quot;00821D71&quot;/&gt;&lt;wsp:rsid wsp:val=&quot;00822790&quot;/&gt;&lt;wsp:rsid wsp:val=&quot;00823071&quot;/&gt;&lt;wsp:rsid wsp:val=&quot;0082322D&quot;/&gt;&lt;wsp:rsid wsp:val=&quot;00823BCB&quot;/&gt;&lt;wsp:rsid wsp:val=&quot;0082428B&quot;/&gt;&lt;wsp:rsid wsp:val=&quot;0082474D&quot;/&gt;&lt;wsp:rsid wsp:val=&quot;0082570E&quot;/&gt;&lt;wsp:rsid wsp:val=&quot;0082714D&quot;/&gt;&lt;wsp:rsid wsp:val=&quot;00827387&quot;/&gt;&lt;wsp:rsid wsp:val=&quot;00827C7D&quot;/&gt;&lt;wsp:rsid wsp:val=&quot;0083031F&quot;/&gt;&lt;wsp:rsid wsp:val=&quot;00833460&quot;/&gt;&lt;wsp:rsid wsp:val=&quot;0083476A&quot;/&gt;&lt;wsp:rsid wsp:val=&quot;0083517F&quot;/&gt;&lt;wsp:rsid wsp:val=&quot;00840EF2&quot;/&gt;&lt;wsp:rsid wsp:val=&quot;00841B73&quot;/&gt;&lt;wsp:rsid wsp:val=&quot;00841E39&quot;/&gt;&lt;wsp:rsid wsp:val=&quot;00842C5C&quot;/&gt;&lt;wsp:rsid wsp:val=&quot;008435D4&quot;/&gt;&lt;wsp:rsid wsp:val=&quot;00843E10&quot;/&gt;&lt;wsp:rsid wsp:val=&quot;00845282&quot;/&gt;&lt;wsp:rsid wsp:val=&quot;00845751&quot;/&gt;&lt;wsp:rsid wsp:val=&quot;00845F6D&quot;/&gt;&lt;wsp:rsid wsp:val=&quot;00847DEC&quot;/&gt;&lt;wsp:rsid wsp:val=&quot;008511E7&quot;/&gt;&lt;wsp:rsid wsp:val=&quot;00851E4D&quot;/&gt;&lt;wsp:rsid wsp:val=&quot;008521E6&quot;/&gt;&lt;wsp:rsid wsp:val=&quot;00853063&quot;/&gt;&lt;wsp:rsid wsp:val=&quot;00853098&quot;/&gt;&lt;wsp:rsid wsp:val=&quot;00857B11&quot;/&gt;&lt;wsp:rsid wsp:val=&quot;00857D74&quot;/&gt;&lt;wsp:rsid wsp:val=&quot;00860208&quot;/&gt;&lt;wsp:rsid wsp:val=&quot;00860746&quot;/&gt;&lt;wsp:rsid wsp:val=&quot;008620AD&quot;/&gt;&lt;wsp:rsid wsp:val=&quot;0086220E&quot;/&gt;&lt;wsp:rsid wsp:val=&quot;008636CF&quot;/&gt;&lt;wsp:rsid wsp:val=&quot;008637C0&quot;/&gt;&lt;wsp:rsid wsp:val=&quot;00865302&quot;/&gt;&lt;wsp:rsid wsp:val=&quot;008659F7&quot;/&gt;&lt;wsp:rsid wsp:val=&quot;008664BC&quot;/&gt;&lt;wsp:rsid wsp:val=&quot;0087076D&quot;/&gt;&lt;wsp:rsid wsp:val=&quot;00870FB2&quot;/&gt;&lt;wsp:rsid wsp:val=&quot;0087402F&quot;/&gt;&lt;wsp:rsid wsp:val=&quot;00874B87&quot;/&gt;&lt;wsp:rsid wsp:val=&quot;00877520&quot;/&gt;&lt;wsp:rsid wsp:val=&quot;00880632&quot;/&gt;&lt;wsp:rsid wsp:val=&quot;0088214B&quot;/&gt;&lt;wsp:rsid wsp:val=&quot;00882306&quot;/&gt;&lt;wsp:rsid wsp:val=&quot;00882B5E&quot;/&gt;&lt;wsp:rsid wsp:val=&quot;00883E59&quot;/&gt;&lt;wsp:rsid wsp:val=&quot;008843B4&quot;/&gt;&lt;wsp:rsid wsp:val=&quot;0088458F&quot;/&gt;&lt;wsp:rsid wsp:val=&quot;0088461F&quot;/&gt;&lt;wsp:rsid wsp:val=&quot;008867B0&quot;/&gt;&lt;wsp:rsid wsp:val=&quot;008867B7&quot;/&gt;&lt;wsp:rsid wsp:val=&quot;008872EF&quot;/&gt;&lt;wsp:rsid wsp:val=&quot;00887B45&quot;/&gt;&lt;wsp:rsid wsp:val=&quot;00887D94&quot;/&gt;&lt;wsp:rsid wsp:val=&quot;008918D9&quot;/&gt;&lt;wsp:rsid wsp:val=&quot;00892079&quot;/&gt;&lt;wsp:rsid wsp:val=&quot;0089219D&quot;/&gt;&lt;wsp:rsid wsp:val=&quot;0089304A&quot;/&gt;&lt;wsp:rsid wsp:val=&quot;00893485&quot;/&gt;&lt;wsp:rsid wsp:val=&quot;008950EB&quot;/&gt;&lt;wsp:rsid wsp:val=&quot;00895181&quot;/&gt;&lt;wsp:rsid wsp:val=&quot;00896328&quot;/&gt;&lt;wsp:rsid wsp:val=&quot;008977F7&quot;/&gt;&lt;wsp:rsid wsp:val=&quot;00897995&quot;/&gt;&lt;wsp:rsid wsp:val=&quot;00897F19&quot;/&gt;&lt;wsp:rsid wsp:val=&quot;008A0021&quot;/&gt;&lt;wsp:rsid wsp:val=&quot;008A1DC9&quot;/&gt;&lt;wsp:rsid wsp:val=&quot;008A234F&quot;/&gt;&lt;wsp:rsid wsp:val=&quot;008A2457&quot;/&gt;&lt;wsp:rsid wsp:val=&quot;008A2600&quot;/&gt;&lt;wsp:rsid wsp:val=&quot;008A4183&quot;/&gt;&lt;wsp:rsid wsp:val=&quot;008A467F&quot;/&gt;&lt;wsp:rsid wsp:val=&quot;008A4DE8&quot;/&gt;&lt;wsp:rsid wsp:val=&quot;008A54ED&quot;/&gt;&lt;wsp:rsid wsp:val=&quot;008A5512&quot;/&gt;&lt;wsp:rsid wsp:val=&quot;008A5748&quot;/&gt;&lt;wsp:rsid wsp:val=&quot;008A6D22&quot;/&gt;&lt;wsp:rsid wsp:val=&quot;008A7717&quot;/&gt;&lt;wsp:rsid wsp:val=&quot;008A7C42&quot;/&gt;&lt;wsp:rsid wsp:val=&quot;008A7ECF&quot;/&gt;&lt;wsp:rsid wsp:val=&quot;008B069E&quot;/&gt;&lt;wsp:rsid wsp:val=&quot;008B0A46&quot;/&gt;&lt;wsp:rsid wsp:val=&quot;008B189B&quot;/&gt;&lt;wsp:rsid wsp:val=&quot;008B2A24&quot;/&gt;&lt;wsp:rsid wsp:val=&quot;008B2B76&quot;/&gt;&lt;wsp:rsid wsp:val=&quot;008B2ED3&quot;/&gt;&lt;wsp:rsid wsp:val=&quot;008B2F8A&quot;/&gt;&lt;wsp:rsid wsp:val=&quot;008B3697&quot;/&gt;&lt;wsp:rsid wsp:val=&quot;008B3899&quot;/&gt;&lt;wsp:rsid wsp:val=&quot;008B3A22&quot;/&gt;&lt;wsp:rsid wsp:val=&quot;008B3EE5&quot;/&gt;&lt;wsp:rsid wsp:val=&quot;008B4F23&quot;/&gt;&lt;wsp:rsid wsp:val=&quot;008B5C49&quot;/&gt;&lt;wsp:rsid wsp:val=&quot;008B6E12&quot;/&gt;&lt;wsp:rsid wsp:val=&quot;008B72B0&quot;/&gt;&lt;wsp:rsid wsp:val=&quot;008C002E&quot;/&gt;&lt;wsp:rsid wsp:val=&quot;008C0D9F&quot;/&gt;&lt;wsp:rsid wsp:val=&quot;008C1AA4&quot;/&gt;&lt;wsp:rsid wsp:val=&quot;008C2004&quot;/&gt;&lt;wsp:rsid wsp:val=&quot;008C2164&quot;/&gt;&lt;wsp:rsid wsp:val=&quot;008C2B6B&quot;/&gt;&lt;wsp:rsid wsp:val=&quot;008C3F10&quot;/&gt;&lt;wsp:rsid wsp:val=&quot;008C427C&quot;/&gt;&lt;wsp:rsid wsp:val=&quot;008C45C7&quot;/&gt;&lt;wsp:rsid wsp:val=&quot;008C5C4C&quot;/&gt;&lt;wsp:rsid wsp:val=&quot;008C5F03&quot;/&gt;&lt;wsp:rsid wsp:val=&quot;008C60F4&quot;/&gt;&lt;wsp:rsid wsp:val=&quot;008C65CF&quot;/&gt;&lt;wsp:rsid wsp:val=&quot;008C6F38&quot;/&gt;&lt;wsp:rsid wsp:val=&quot;008C7029&quot;/&gt;&lt;wsp:rsid wsp:val=&quot;008C721D&quot;/&gt;&lt;wsp:rsid wsp:val=&quot;008D065C&quot;/&gt;&lt;wsp:rsid wsp:val=&quot;008D0A40&quot;/&gt;&lt;wsp:rsid wsp:val=&quot;008D22ED&quot;/&gt;&lt;wsp:rsid wsp:val=&quot;008D2816&quot;/&gt;&lt;wsp:rsid wsp:val=&quot;008D2B00&quot;/&gt;&lt;wsp:rsid wsp:val=&quot;008D36A3&quot;/&gt;&lt;wsp:rsid wsp:val=&quot;008D3B55&quot;/&gt;&lt;wsp:rsid wsp:val=&quot;008D488C&quot;/&gt;&lt;wsp:rsid wsp:val=&quot;008D692F&quot;/&gt;&lt;wsp:rsid wsp:val=&quot;008D76AB&quot;/&gt;&lt;wsp:rsid wsp:val=&quot;008E083E&quot;/&gt;&lt;wsp:rsid wsp:val=&quot;008E2431&quot;/&gt;&lt;wsp:rsid wsp:val=&quot;008E3653&quot;/&gt;&lt;wsp:rsid wsp:val=&quot;008E4370&quot;/&gt;&lt;wsp:rsid wsp:val=&quot;008E5B5E&quot;/&gt;&lt;wsp:rsid wsp:val=&quot;008F0CB6&quot;/&gt;&lt;wsp:rsid wsp:val=&quot;008F2B12&quot;/&gt;&lt;wsp:rsid wsp:val=&quot;008F4246&quot;/&gt;&lt;wsp:rsid wsp:val=&quot;008F5CCB&quot;/&gt;&lt;wsp:rsid wsp:val=&quot;008F6A4F&quot;/&gt;&lt;wsp:rsid wsp:val=&quot;00901303&quot;/&gt;&lt;wsp:rsid wsp:val=&quot;009021AF&quot;/&gt;&lt;wsp:rsid wsp:val=&quot;00902657&quot;/&gt;&lt;wsp:rsid wsp:val=&quot;009032B0&quot;/&gt;&lt;wsp:rsid wsp:val=&quot;009033D3&quot;/&gt;&lt;wsp:rsid wsp:val=&quot;009037C0&quot;/&gt;&lt;wsp:rsid wsp:val=&quot;00903E8F&quot;/&gt;&lt;wsp:rsid wsp:val=&quot;009053AE&quot;/&gt;&lt;wsp:rsid wsp:val=&quot;00911AC8&quot;/&gt;&lt;wsp:rsid wsp:val=&quot;00915219&quot;/&gt;&lt;wsp:rsid wsp:val=&quot;00915EF6&quot;/&gt;&lt;wsp:rsid wsp:val=&quot;00916396&quot;/&gt;&lt;wsp:rsid wsp:val=&quot;0091645B&quot;/&gt;&lt;wsp:rsid wsp:val=&quot;00916AE3&quot;/&gt;&lt;wsp:rsid wsp:val=&quot;009178D5&quot;/&gt;&lt;wsp:rsid wsp:val=&quot;00917AD5&quot;/&gt;&lt;wsp:rsid wsp:val=&quot;00917E0B&quot;/&gt;&lt;wsp:rsid wsp:val=&quot;009229B7&quot;/&gt;&lt;wsp:rsid wsp:val=&quot;009234FC&quot;/&gt;&lt;wsp:rsid wsp:val=&quot;00923578&quot;/&gt;&lt;wsp:rsid wsp:val=&quot;00923BF2&quot;/&gt;&lt;wsp:rsid wsp:val=&quot;00925266&quot;/&gt;&lt;wsp:rsid wsp:val=&quot;009260E3&quot;/&gt;&lt;wsp:rsid wsp:val=&quot;00926244&quot;/&gt;&lt;wsp:rsid wsp:val=&quot;009276EA&quot;/&gt;&lt;wsp:rsid wsp:val=&quot;00927A5F&quot;/&gt;&lt;wsp:rsid wsp:val=&quot;00931356&quot;/&gt;&lt;wsp:rsid wsp:val=&quot;009313E5&quot;/&gt;&lt;wsp:rsid wsp:val=&quot;009325D8&quot;/&gt;&lt;wsp:rsid wsp:val=&quot;009331F7&quot;/&gt;&lt;wsp:rsid wsp:val=&quot;0093320F&quot;/&gt;&lt;wsp:rsid wsp:val=&quot;00934580&quot;/&gt;&lt;wsp:rsid wsp:val=&quot;0093571B&quot;/&gt;&lt;wsp:rsid wsp:val=&quot;00935A75&quot;/&gt;&lt;wsp:rsid wsp:val=&quot;009402DE&quot;/&gt;&lt;wsp:rsid wsp:val=&quot;009427A8&quot;/&gt;&lt;wsp:rsid wsp:val=&quot;00942B1E&quot;/&gt;&lt;wsp:rsid wsp:val=&quot;0094515F&quot;/&gt;&lt;wsp:rsid wsp:val=&quot;0094671D&quot;/&gt;&lt;wsp:rsid wsp:val=&quot;00946AE7&quot;/&gt;&lt;wsp:rsid wsp:val=&quot;00946DF6&quot;/&gt;&lt;wsp:rsid wsp:val=&quot;00947795&quot;/&gt;&lt;wsp:rsid wsp:val=&quot;00950470&quot;/&gt;&lt;wsp:rsid wsp:val=&quot;009506F7&quot;/&gt;&lt;wsp:rsid wsp:val=&quot;00950AED&quot;/&gt;&lt;wsp:rsid wsp:val=&quot;00951274&quot;/&gt;&lt;wsp:rsid wsp:val=&quot;00951471&quot;/&gt;&lt;wsp:rsid wsp:val=&quot;00952553&quot;/&gt;&lt;wsp:rsid wsp:val=&quot;009525D5&quot;/&gt;&lt;wsp:rsid wsp:val=&quot;00952663&quot;/&gt;&lt;wsp:rsid wsp:val=&quot;009541E4&quot;/&gt;&lt;wsp:rsid wsp:val=&quot;00954BB1&quot;/&gt;&lt;wsp:rsid wsp:val=&quot;00954C15&quot;/&gt;&lt;wsp:rsid wsp:val=&quot;0095525A&quot;/&gt;&lt;wsp:rsid wsp:val=&quot;00956381&quot;/&gt;&lt;wsp:rsid wsp:val=&quot;00957113&quot;/&gt;&lt;wsp:rsid wsp:val=&quot;00957467&quot;/&gt;&lt;wsp:rsid wsp:val=&quot;00957937&quot;/&gt;&lt;wsp:rsid wsp:val=&quot;009638DC&quot;/&gt;&lt;wsp:rsid wsp:val=&quot;009648CF&quot;/&gt;&lt;wsp:rsid wsp:val=&quot;00964CCA&quot;/&gt;&lt;wsp:rsid wsp:val=&quot;0096503E&quot;/&gt;&lt;wsp:rsid wsp:val=&quot;00965152&quot;/&gt;&lt;wsp:rsid wsp:val=&quot;0096557A&quot;/&gt;&lt;wsp:rsid wsp:val=&quot;00965861&quot;/&gt;&lt;wsp:rsid wsp:val=&quot;009667E1&quot;/&gt;&lt;wsp:rsid wsp:val=&quot;00966890&quot;/&gt;&lt;wsp:rsid wsp:val=&quot;00966C7B&quot;/&gt;&lt;wsp:rsid wsp:val=&quot;00967A1F&quot;/&gt;&lt;wsp:rsid wsp:val=&quot;00967A92&quot;/&gt;&lt;wsp:rsid wsp:val=&quot;00972016&quot;/&gt;&lt;wsp:rsid wsp:val=&quot;0097246B&quot;/&gt;&lt;wsp:rsid wsp:val=&quot;00972AC8&quot;/&gt;&lt;wsp:rsid wsp:val=&quot;00972F9D&quot;/&gt;&lt;wsp:rsid wsp:val=&quot;00973655&quot;/&gt;&lt;wsp:rsid wsp:val=&quot;00980074&quot;/&gt;&lt;wsp:rsid wsp:val=&quot;00980E4F&quot;/&gt;&lt;wsp:rsid wsp:val=&quot;00982D5F&quot;/&gt;&lt;wsp:rsid wsp:val=&quot;0098390A&quot;/&gt;&lt;wsp:rsid wsp:val=&quot;009858B4&quot;/&gt;&lt;wsp:rsid wsp:val=&quot;00986F17&quot;/&gt;&lt;wsp:rsid wsp:val=&quot;00990156&quot;/&gt;&lt;wsp:rsid wsp:val=&quot;00990364&quot;/&gt;&lt;wsp:rsid wsp:val=&quot;00990F75&quot;/&gt;&lt;wsp:rsid wsp:val=&quot;00991030&quot;/&gt;&lt;wsp:rsid wsp:val=&quot;00995281&quot;/&gt;&lt;wsp:rsid wsp:val=&quot;00995A23&quot;/&gt;&lt;wsp:rsid wsp:val=&quot;00995EA9&quot;/&gt;&lt;wsp:rsid wsp:val=&quot;00997E2D&quot;/&gt;&lt;wsp:rsid wsp:val=&quot;009A068B&quot;/&gt;&lt;wsp:rsid wsp:val=&quot;009A06F1&quot;/&gt;&lt;wsp:rsid wsp:val=&quot;009A0C3A&quot;/&gt;&lt;wsp:rsid wsp:val=&quot;009A270C&quot;/&gt;&lt;wsp:rsid wsp:val=&quot;009A2B2B&quot;/&gt;&lt;wsp:rsid wsp:val=&quot;009A3FAB&quot;/&gt;&lt;wsp:rsid wsp:val=&quot;009A50FA&quot;/&gt;&lt;wsp:rsid wsp:val=&quot;009A524D&quot;/&gt;&lt;wsp:rsid wsp:val=&quot;009A6968&quot;/&gt;&lt;wsp:rsid wsp:val=&quot;009A7FE3&quot;/&gt;&lt;wsp:rsid wsp:val=&quot;009B0620&quot;/&gt;&lt;wsp:rsid wsp:val=&quot;009B0DA2&quot;/&gt;&lt;wsp:rsid wsp:val=&quot;009B364F&quot;/&gt;&lt;wsp:rsid wsp:val=&quot;009B3981&quot;/&gt;&lt;wsp:rsid wsp:val=&quot;009B4BA4&quot;/&gt;&lt;wsp:rsid wsp:val=&quot;009B5E23&quot;/&gt;&lt;wsp:rsid wsp:val=&quot;009C32AE&quot;/&gt;&lt;wsp:rsid wsp:val=&quot;009C3EA0&quot;/&gt;&lt;wsp:rsid wsp:val=&quot;009C6C97&quot;/&gt;&lt;wsp:rsid wsp:val=&quot;009D0110&quot;/&gt;&lt;wsp:rsid wsp:val=&quot;009D1CCC&quot;/&gt;&lt;wsp:rsid wsp:val=&quot;009D2005&quot;/&gt;&lt;wsp:rsid wsp:val=&quot;009D2722&quot;/&gt;&lt;wsp:rsid wsp:val=&quot;009D333A&quot;/&gt;&lt;wsp:rsid wsp:val=&quot;009D4F7A&quot;/&gt;&lt;wsp:rsid wsp:val=&quot;009D5D0D&quot;/&gt;&lt;wsp:rsid wsp:val=&quot;009D60B3&quot;/&gt;&lt;wsp:rsid wsp:val=&quot;009D7235&quot;/&gt;&lt;wsp:rsid wsp:val=&quot;009D7A0C&quot;/&gt;&lt;wsp:rsid wsp:val=&quot;009E0111&quot;/&gt;&lt;wsp:rsid wsp:val=&quot;009E1CE2&quot;/&gt;&lt;wsp:rsid wsp:val=&quot;009E211D&quot;/&gt;&lt;wsp:rsid wsp:val=&quot;009E2DA8&quot;/&gt;&lt;wsp:rsid wsp:val=&quot;009E3382&quot;/&gt;&lt;wsp:rsid wsp:val=&quot;009E520A&quot;/&gt;&lt;wsp:rsid wsp:val=&quot;009E5926&quot;/&gt;&lt;wsp:rsid wsp:val=&quot;009E598A&quot;/&gt;&lt;wsp:rsid wsp:val=&quot;009E5AD7&quot;/&gt;&lt;wsp:rsid wsp:val=&quot;009E5AEA&quot;/&gt;&lt;wsp:rsid wsp:val=&quot;009E7822&quot;/&gt;&lt;wsp:rsid wsp:val=&quot;009E7C36&quot;/&gt;&lt;wsp:rsid wsp:val=&quot;009F1383&quot;/&gt;&lt;wsp:rsid wsp:val=&quot;009F3034&quot;/&gt;&lt;wsp:rsid wsp:val=&quot;009F363E&quot;/&gt;&lt;wsp:rsid wsp:val=&quot;009F550D&quot;/&gt;&lt;wsp:rsid wsp:val=&quot;009F5744&quot;/&gt;&lt;wsp:rsid wsp:val=&quot;009F661C&quot;/&gt;&lt;wsp:rsid wsp:val=&quot;009F6641&quot;/&gt;&lt;wsp:rsid wsp:val=&quot;009F7029&quot;/&gt;&lt;wsp:rsid wsp:val=&quot;009F73FC&quot;/&gt;&lt;wsp:rsid wsp:val=&quot;009F778A&quot;/&gt;&lt;wsp:rsid wsp:val=&quot;009F7C84&quot;/&gt;&lt;wsp:rsid wsp:val=&quot;00A015C4&quot;/&gt;&lt;wsp:rsid wsp:val=&quot;00A021D7&quot;/&gt;&lt;wsp:rsid wsp:val=&quot;00A0235E&quot;/&gt;&lt;wsp:rsid wsp:val=&quot;00A027AF&quot;/&gt;&lt;wsp:rsid wsp:val=&quot;00A04FB8&quot;/&gt;&lt;wsp:rsid wsp:val=&quot;00A05DF0&quot;/&gt;&lt;wsp:rsid wsp:val=&quot;00A06273&quot;/&gt;&lt;wsp:rsid wsp:val=&quot;00A112B5&quot;/&gt;&lt;wsp:rsid wsp:val=&quot;00A11B0C&quot;/&gt;&lt;wsp:rsid wsp:val=&quot;00A12E67&quot;/&gt;&lt;wsp:rsid wsp:val=&quot;00A13653&quot;/&gt;&lt;wsp:rsid wsp:val=&quot;00A1543A&quot;/&gt;&lt;wsp:rsid wsp:val=&quot;00A15F48&quot;/&gt;&lt;wsp:rsid wsp:val=&quot;00A17D98&quot;/&gt;&lt;wsp:rsid wsp:val=&quot;00A20226&quot;/&gt;&lt;wsp:rsid wsp:val=&quot;00A207FC&quot;/&gt;&lt;wsp:rsid wsp:val=&quot;00A21421&quot;/&gt;&lt;wsp:rsid wsp:val=&quot;00A21A85&quot;/&gt;&lt;wsp:rsid wsp:val=&quot;00A21DB9&quot;/&gt;&lt;wsp:rsid wsp:val=&quot;00A232BD&quot;/&gt;&lt;wsp:rsid wsp:val=&quot;00A2416D&quot;/&gt;&lt;wsp:rsid wsp:val=&quot;00A2542B&quot;/&gt;&lt;wsp:rsid wsp:val=&quot;00A272E7&quot;/&gt;&lt;wsp:rsid wsp:val=&quot;00A278A1&quot;/&gt;&lt;wsp:rsid wsp:val=&quot;00A27E68&quot;/&gt;&lt;wsp:rsid wsp:val=&quot;00A303D9&quot;/&gt;&lt;wsp:rsid wsp:val=&quot;00A32513&quot;/&gt;&lt;wsp:rsid wsp:val=&quot;00A3344B&quot;/&gt;&lt;wsp:rsid wsp:val=&quot;00A36593&quot;/&gt;&lt;wsp:rsid wsp:val=&quot;00A36793&quot;/&gt;&lt;wsp:rsid wsp:val=&quot;00A37055&quot;/&gt;&lt;wsp:rsid wsp:val=&quot;00A3776D&quot;/&gt;&lt;wsp:rsid wsp:val=&quot;00A4005E&quot;/&gt;&lt;wsp:rsid wsp:val=&quot;00A43032&quot;/&gt;&lt;wsp:rsid wsp:val=&quot;00A43153&quot;/&gt;&lt;wsp:rsid wsp:val=&quot;00A432A0&quot;/&gt;&lt;wsp:rsid wsp:val=&quot;00A4368A&quot;/&gt;&lt;wsp:rsid wsp:val=&quot;00A440D6&quot;/&gt;&lt;wsp:rsid wsp:val=&quot;00A443C2&quot;/&gt;&lt;wsp:rsid wsp:val=&quot;00A448D0&quot;/&gt;&lt;wsp:rsid wsp:val=&quot;00A46156&quot;/&gt;&lt;wsp:rsid wsp:val=&quot;00A463DC&quot;/&gt;&lt;wsp:rsid wsp:val=&quot;00A46D15&quot;/&gt;&lt;wsp:rsid wsp:val=&quot;00A47DBE&quot;/&gt;&lt;wsp:rsid wsp:val=&quot;00A50C7C&quot;/&gt;&lt;wsp:rsid wsp:val=&quot;00A50C91&quot;/&gt;&lt;wsp:rsid wsp:val=&quot;00A522D0&quot;/&gt;&lt;wsp:rsid wsp:val=&quot;00A52550&quot;/&gt;&lt;wsp:rsid wsp:val=&quot;00A5324A&quot;/&gt;&lt;wsp:rsid wsp:val=&quot;00A538E1&quot;/&gt;&lt;wsp:rsid wsp:val=&quot;00A554DC&quot;/&gt;&lt;wsp:rsid wsp:val=&quot;00A56B30&quot;/&gt;&lt;wsp:rsid wsp:val=&quot;00A56D3C&quot;/&gt;&lt;wsp:rsid wsp:val=&quot;00A57F62&quot;/&gt;&lt;wsp:rsid wsp:val=&quot;00A57FDC&quot;/&gt;&lt;wsp:rsid wsp:val=&quot;00A60459&quot;/&gt;&lt;wsp:rsid wsp:val=&quot;00A60D74&quot;/&gt;&lt;wsp:rsid wsp:val=&quot;00A63733&quot;/&gt;&lt;wsp:rsid wsp:val=&quot;00A648C2&quot;/&gt;&lt;wsp:rsid wsp:val=&quot;00A6528A&quot;/&gt;&lt;wsp:rsid wsp:val=&quot;00A66F69&quot;/&gt;&lt;wsp:rsid wsp:val=&quot;00A67B10&quot;/&gt;&lt;wsp:rsid wsp:val=&quot;00A70CED&quot;/&gt;&lt;wsp:rsid wsp:val=&quot;00A7218C&quot;/&gt;&lt;wsp:rsid wsp:val=&quot;00A7251C&quot;/&gt;&lt;wsp:rsid wsp:val=&quot;00A72AF3&quot;/&gt;&lt;wsp:rsid wsp:val=&quot;00A732FF&quot;/&gt;&lt;wsp:rsid wsp:val=&quot;00A733BF&quot;/&gt;&lt;wsp:rsid wsp:val=&quot;00A73DEC&quot;/&gt;&lt;wsp:rsid wsp:val=&quot;00A74B87&quot;/&gt;&lt;wsp:rsid wsp:val=&quot;00A74CC0&quot;/&gt;&lt;wsp:rsid wsp:val=&quot;00A75D5C&quot;/&gt;&lt;wsp:rsid wsp:val=&quot;00A76497&quot;/&gt;&lt;wsp:rsid wsp:val=&quot;00A764F5&quot;/&gt;&lt;wsp:rsid wsp:val=&quot;00A80948&quot;/&gt;&lt;wsp:rsid wsp:val=&quot;00A80E2D&quot;/&gt;&lt;wsp:rsid wsp:val=&quot;00A81ADB&quot;/&gt;&lt;wsp:rsid wsp:val=&quot;00A81DEA&quot;/&gt;&lt;wsp:rsid wsp:val=&quot;00A821CD&quot;/&gt;&lt;wsp:rsid wsp:val=&quot;00A82710&quot;/&gt;&lt;wsp:rsid wsp:val=&quot;00A82DB6&quot;/&gt;&lt;wsp:rsid wsp:val=&quot;00A83023&quot;/&gt;&lt;wsp:rsid wsp:val=&quot;00A83D3B&quot;/&gt;&lt;wsp:rsid wsp:val=&quot;00A84169&quot;/&gt;&lt;wsp:rsid wsp:val=&quot;00A85209&quot;/&gt;&lt;wsp:rsid wsp:val=&quot;00A854B2&quot;/&gt;&lt;wsp:rsid wsp:val=&quot;00A85B74&quot;/&gt;&lt;wsp:rsid wsp:val=&quot;00A86D4C&quot;/&gt;&lt;wsp:rsid wsp:val=&quot;00A873A9&quot;/&gt;&lt;wsp:rsid wsp:val=&quot;00A91739&quot;/&gt;&lt;wsp:rsid wsp:val=&quot;00A92BD7&quot;/&gt;&lt;wsp:rsid wsp:val=&quot;00A9584E&quot;/&gt;&lt;wsp:rsid wsp:val=&quot;00A964DC&quot;/&gt;&lt;wsp:rsid wsp:val=&quot;00A96962&quot;/&gt;&lt;wsp:rsid wsp:val=&quot;00A96F76&quot;/&gt;&lt;wsp:rsid wsp:val=&quot;00A9768B&quot;/&gt;&lt;wsp:rsid wsp:val=&quot;00A97DE4&quot;/&gt;&lt;wsp:rsid wsp:val=&quot;00AA1D31&quot;/&gt;&lt;wsp:rsid wsp:val=&quot;00AA2AEA&quot;/&gt;&lt;wsp:rsid wsp:val=&quot;00AA2F73&quot;/&gt;&lt;wsp:rsid wsp:val=&quot;00AA537E&quot;/&gt;&lt;wsp:rsid wsp:val=&quot;00AA62B8&quot;/&gt;&lt;wsp:rsid wsp:val=&quot;00AA7782&quot;/&gt;&lt;wsp:rsid wsp:val=&quot;00AA7824&quot;/&gt;&lt;wsp:rsid wsp:val=&quot;00AA788D&quot;/&gt;&lt;wsp:rsid wsp:val=&quot;00AA78D0&quot;/&gt;&lt;wsp:rsid wsp:val=&quot;00AB112B&quot;/&gt;&lt;wsp:rsid wsp:val=&quot;00AB3AAF&quot;/&gt;&lt;wsp:rsid wsp:val=&quot;00AB3BBC&quot;/&gt;&lt;wsp:rsid wsp:val=&quot;00AB49F7&quot;/&gt;&lt;wsp:rsid wsp:val=&quot;00AB7AFD&quot;/&gt;&lt;wsp:rsid wsp:val=&quot;00AB7B6A&quot;/&gt;&lt;wsp:rsid wsp:val=&quot;00AC0311&quot;/&gt;&lt;wsp:rsid wsp:val=&quot;00AC036F&quot;/&gt;&lt;wsp:rsid wsp:val=&quot;00AC0CF8&quot;/&gt;&lt;wsp:rsid wsp:val=&quot;00AC1B2F&quot;/&gt;&lt;wsp:rsid wsp:val=&quot;00AC2A2C&quot;/&gt;&lt;wsp:rsid wsp:val=&quot;00AC3035&quot;/&gt;&lt;wsp:rsid wsp:val=&quot;00AC4C27&quot;/&gt;&lt;wsp:rsid wsp:val=&quot;00AC55DA&quot;/&gt;&lt;wsp:rsid wsp:val=&quot;00AC61CD&quot;/&gt;&lt;wsp:rsid wsp:val=&quot;00AC6D4F&quot;/&gt;&lt;wsp:rsid wsp:val=&quot;00AC6F9D&quot;/&gt;&lt;wsp:rsid wsp:val=&quot;00AD091D&quot;/&gt;&lt;wsp:rsid wsp:val=&quot;00AD0DEA&quot;/&gt;&lt;wsp:rsid wsp:val=&quot;00AD1542&quot;/&gt;&lt;wsp:rsid wsp:val=&quot;00AD1F46&quot;/&gt;&lt;wsp:rsid wsp:val=&quot;00AD3058&quot;/&gt;&lt;wsp:rsid wsp:val=&quot;00AD4C2C&quot;/&gt;&lt;wsp:rsid wsp:val=&quot;00AD4EED&quot;/&gt;&lt;wsp:rsid wsp:val=&quot;00AD60ED&quot;/&gt;&lt;wsp:rsid wsp:val=&quot;00AD7DE2&quot;/&gt;&lt;wsp:rsid wsp:val=&quot;00AE240B&quot;/&gt;&lt;wsp:rsid wsp:val=&quot;00AE3526&quot;/&gt;&lt;wsp:rsid wsp:val=&quot;00AE3A08&quot;/&gt;&lt;wsp:rsid wsp:val=&quot;00AE3DA1&quot;/&gt;&lt;wsp:rsid wsp:val=&quot;00AE40D3&quot;/&gt;&lt;wsp:rsid wsp:val=&quot;00AE786B&quot;/&gt;&lt;wsp:rsid wsp:val=&quot;00AE7987&quot;/&gt;&lt;wsp:rsid wsp:val=&quot;00AF027B&quot;/&gt;&lt;wsp:rsid wsp:val=&quot;00AF11CD&quot;/&gt;&lt;wsp:rsid wsp:val=&quot;00AF1D12&quot;/&gt;&lt;wsp:rsid wsp:val=&quot;00AF1D8E&quot;/&gt;&lt;wsp:rsid wsp:val=&quot;00AF204F&quot;/&gt;&lt;wsp:rsid wsp:val=&quot;00AF4401&quot;/&gt;&lt;wsp:rsid wsp:val=&quot;00AF453F&quot;/&gt;&lt;wsp:rsid wsp:val=&quot;00AF4944&quot;/&gt;&lt;wsp:rsid wsp:val=&quot;00AF4D2C&quot;/&gt;&lt;wsp:rsid wsp:val=&quot;00AF4EC1&quot;/&gt;&lt;wsp:rsid wsp:val=&quot;00AF5FC3&quot;/&gt;&lt;wsp:rsid wsp:val=&quot;00AF6282&quot;/&gt;&lt;wsp:rsid wsp:val=&quot;00AF6669&quot;/&gt;&lt;wsp:rsid wsp:val=&quot;00B0071E&quot;/&gt;&lt;wsp:rsid wsp:val=&quot;00B0078A&quot;/&gt;&lt;wsp:rsid wsp:val=&quot;00B00CBE&quot;/&gt;&lt;wsp:rsid wsp:val=&quot;00B00E99&quot;/&gt;&lt;wsp:rsid wsp:val=&quot;00B01D80&quot;/&gt;&lt;wsp:rsid wsp:val=&quot;00B02456&quot;/&gt;&lt;wsp:rsid wsp:val=&quot;00B02D7A&quot;/&gt;&lt;wsp:rsid wsp:val=&quot;00B02E38&quot;/&gt;&lt;wsp:rsid wsp:val=&quot;00B030EE&quot;/&gt;&lt;wsp:rsid wsp:val=&quot;00B03148&quot;/&gt;&lt;wsp:rsid wsp:val=&quot;00B07D0B&quot;/&gt;&lt;wsp:rsid wsp:val=&quot;00B07FD7&quot;/&gt;&lt;wsp:rsid wsp:val=&quot;00B10F03&quot;/&gt;&lt;wsp:rsid wsp:val=&quot;00B1109B&quot;/&gt;&lt;wsp:rsid wsp:val=&quot;00B111D9&quot;/&gt;&lt;wsp:rsid wsp:val=&quot;00B11CE0&quot;/&gt;&lt;wsp:rsid wsp:val=&quot;00B12777&quot;/&gt;&lt;wsp:rsid wsp:val=&quot;00B12C76&quot;/&gt;&lt;wsp:rsid wsp:val=&quot;00B13527&quot;/&gt;&lt;wsp:rsid wsp:val=&quot;00B13F85&quot;/&gt;&lt;wsp:rsid wsp:val=&quot;00B15E3C&quot;/&gt;&lt;wsp:rsid wsp:val=&quot;00B167EE&quot;/&gt;&lt;wsp:rsid wsp:val=&quot;00B16B7A&quot;/&gt;&lt;wsp:rsid wsp:val=&quot;00B16BEB&quot;/&gt;&lt;wsp:rsid wsp:val=&quot;00B17151&quot;/&gt;&lt;wsp:rsid wsp:val=&quot;00B17835&quot;/&gt;&lt;wsp:rsid wsp:val=&quot;00B20DE2&quot;/&gt;&lt;wsp:rsid wsp:val=&quot;00B26000&quot;/&gt;&lt;wsp:rsid wsp:val=&quot;00B2631F&quot;/&gt;&lt;wsp:rsid wsp:val=&quot;00B2695B&quot;/&gt;&lt;wsp:rsid wsp:val=&quot;00B274BA&quot;/&gt;&lt;wsp:rsid wsp:val=&quot;00B27600&quot;/&gt;&lt;wsp:rsid wsp:val=&quot;00B27CFC&quot;/&gt;&lt;wsp:rsid wsp:val=&quot;00B27F95&quot;/&gt;&lt;wsp:rsid wsp:val=&quot;00B31244&quot;/&gt;&lt;wsp:rsid wsp:val=&quot;00B3156F&quot;/&gt;&lt;wsp:rsid wsp:val=&quot;00B31A6F&quot;/&gt;&lt;wsp:rsid wsp:val=&quot;00B31DF6&quot;/&gt;&lt;wsp:rsid wsp:val=&quot;00B31E3E&quot;/&gt;&lt;wsp:rsid wsp:val=&quot;00B33CB5&quot;/&gt;&lt;wsp:rsid wsp:val=&quot;00B34195&quot;/&gt;&lt;wsp:rsid wsp:val=&quot;00B342D2&quot;/&gt;&lt;wsp:rsid wsp:val=&quot;00B34C64&quot;/&gt;&lt;wsp:rsid wsp:val=&quot;00B3561B&quot;/&gt;&lt;wsp:rsid wsp:val=&quot;00B356AC&quot;/&gt;&lt;wsp:rsid wsp:val=&quot;00B35883&quot;/&gt;&lt;wsp:rsid wsp:val=&quot;00B35ED7&quot;/&gt;&lt;wsp:rsid wsp:val=&quot;00B37245&quot;/&gt;&lt;wsp:rsid wsp:val=&quot;00B4126B&quot;/&gt;&lt;wsp:rsid wsp:val=&quot;00B417D6&quot;/&gt;&lt;wsp:rsid wsp:val=&quot;00B41B1C&quot;/&gt;&lt;wsp:rsid wsp:val=&quot;00B41EFA&quot;/&gt;&lt;wsp:rsid wsp:val=&quot;00B42421&quot;/&gt;&lt;wsp:rsid wsp:val=&quot;00B429D0&quot;/&gt;&lt;wsp:rsid wsp:val=&quot;00B42EAA&quot;/&gt;&lt;wsp:rsid wsp:val=&quot;00B43423&quot;/&gt;&lt;wsp:rsid wsp:val=&quot;00B437A7&quot;/&gt;&lt;wsp:rsid wsp:val=&quot;00B44DA9&quot;/&gt;&lt;wsp:rsid wsp:val=&quot;00B453C4&quot;/&gt;&lt;wsp:rsid wsp:val=&quot;00B45DC2&quot;/&gt;&lt;wsp:rsid wsp:val=&quot;00B46090&quot;/&gt;&lt;wsp:rsid wsp:val=&quot;00B46550&quot;/&gt;&lt;wsp:rsid wsp:val=&quot;00B4726D&quot;/&gt;&lt;wsp:rsid wsp:val=&quot;00B47E5F&quot;/&gt;&lt;wsp:rsid wsp:val=&quot;00B47F8E&quot;/&gt;&lt;wsp:rsid wsp:val=&quot;00B50199&quot;/&gt;&lt;wsp:rsid wsp:val=&quot;00B51828&quot;/&gt;&lt;wsp:rsid wsp:val=&quot;00B51F7C&quot;/&gt;&lt;wsp:rsid wsp:val=&quot;00B53081&quot;/&gt;&lt;wsp:rsid wsp:val=&quot;00B53B6A&quot;/&gt;&lt;wsp:rsid wsp:val=&quot;00B558BD&quot;/&gt;&lt;wsp:rsid wsp:val=&quot;00B55C5D&quot;/&gt;&lt;wsp:rsid wsp:val=&quot;00B55CD7&quot;/&gt;&lt;wsp:rsid wsp:val=&quot;00B55D5F&quot;/&gt;&lt;wsp:rsid wsp:val=&quot;00B567B8&quot;/&gt;&lt;wsp:rsid wsp:val=&quot;00B5740B&quot;/&gt;&lt;wsp:rsid wsp:val=&quot;00B5784C&quot;/&gt;&lt;wsp:rsid wsp:val=&quot;00B63446&quot;/&gt;&lt;wsp:rsid wsp:val=&quot;00B63B5D&quot;/&gt;&lt;wsp:rsid wsp:val=&quot;00B663EF&quot;/&gt;&lt;wsp:rsid wsp:val=&quot;00B66C0F&quot;/&gt;&lt;wsp:rsid wsp:val=&quot;00B67BE5&quot;/&gt;&lt;wsp:rsid wsp:val=&quot;00B7155E&quot;/&gt;&lt;wsp:rsid wsp:val=&quot;00B716A5&quot;/&gt;&lt;wsp:rsid wsp:val=&quot;00B71D01&quot;/&gt;&lt;wsp:rsid wsp:val=&quot;00B7242C&quot;/&gt;&lt;wsp:rsid wsp:val=&quot;00B728D5&quot;/&gt;&lt;wsp:rsid wsp:val=&quot;00B73D19&quot;/&gt;&lt;wsp:rsid wsp:val=&quot;00B74C96&quot;/&gt;&lt;wsp:rsid wsp:val=&quot;00B74FEF&quot;/&gt;&lt;wsp:rsid wsp:val=&quot;00B75C71&quot;/&gt;&lt;wsp:rsid wsp:val=&quot;00B76D6F&quot;/&gt;&lt;wsp:rsid wsp:val=&quot;00B77542&quot;/&gt;&lt;wsp:rsid wsp:val=&quot;00B80234&quot;/&gt;&lt;wsp:rsid wsp:val=&quot;00B8294A&quot;/&gt;&lt;wsp:rsid wsp:val=&quot;00B833E3&quot;/&gt;&lt;wsp:rsid wsp:val=&quot;00B83A54&quot;/&gt;&lt;wsp:rsid wsp:val=&quot;00B84A15&quot;/&gt;&lt;wsp:rsid wsp:val=&quot;00B859C5&quot;/&gt;&lt;wsp:rsid wsp:val=&quot;00B86923&quot;/&gt;&lt;wsp:rsid wsp:val=&quot;00B86CB6&quot;/&gt;&lt;wsp:rsid wsp:val=&quot;00B8728F&quot;/&gt;&lt;wsp:rsid wsp:val=&quot;00B93AD5&quot;/&gt;&lt;wsp:rsid wsp:val=&quot;00B94201&quot;/&gt;&lt;wsp:rsid wsp:val=&quot;00B94553&quot;/&gt;&lt;wsp:rsid wsp:val=&quot;00B94567&quot;/&gt;&lt;wsp:rsid wsp:val=&quot;00B9634A&quot;/&gt;&lt;wsp:rsid wsp:val=&quot;00B96383&quot;/&gt;&lt;wsp:rsid wsp:val=&quot;00B963A7&quot;/&gt;&lt;wsp:rsid wsp:val=&quot;00B97F10&quot;/&gt;&lt;wsp:rsid wsp:val=&quot;00BA0EA7&quot;/&gt;&lt;wsp:rsid wsp:val=&quot;00BA6C95&quot;/&gt;&lt;wsp:rsid wsp:val=&quot;00BA7178&quot;/&gt;&lt;wsp:rsid wsp:val=&quot;00BB0064&quot;/&gt;&lt;wsp:rsid wsp:val=&quot;00BB0751&quot;/&gt;&lt;wsp:rsid wsp:val=&quot;00BB0D21&quot;/&gt;&lt;wsp:rsid wsp:val=&quot;00BB1041&quot;/&gt;&lt;wsp:rsid wsp:val=&quot;00BB1BEC&quot;/&gt;&lt;wsp:rsid wsp:val=&quot;00BB1FB3&quot;/&gt;&lt;wsp:rsid wsp:val=&quot;00BB2223&quot;/&gt;&lt;wsp:rsid wsp:val=&quot;00BB4732&quot;/&gt;&lt;wsp:rsid wsp:val=&quot;00BB569F&quot;/&gt;&lt;wsp:rsid wsp:val=&quot;00BB5D1F&quot;/&gt;&lt;wsp:rsid wsp:val=&quot;00BB7C12&quot;/&gt;&lt;wsp:rsid wsp:val=&quot;00BB7ECB&quot;/&gt;&lt;wsp:rsid wsp:val=&quot;00BC002E&quot;/&gt;&lt;wsp:rsid wsp:val=&quot;00BC162D&quot;/&gt;&lt;wsp:rsid wsp:val=&quot;00BC23E2&quot;/&gt;&lt;wsp:rsid wsp:val=&quot;00BC2519&quot;/&gt;&lt;wsp:rsid wsp:val=&quot;00BC28B7&quot;/&gt;&lt;wsp:rsid wsp:val=&quot;00BC389E&quot;/&gt;&lt;wsp:rsid wsp:val=&quot;00BC38F3&quot;/&gt;&lt;wsp:rsid wsp:val=&quot;00BC58DF&quot;/&gt;&lt;wsp:rsid wsp:val=&quot;00BC6B86&quot;/&gt;&lt;wsp:rsid wsp:val=&quot;00BC7570&quot;/&gt;&lt;wsp:rsid wsp:val=&quot;00BC7BFD&quot;/&gt;&lt;wsp:rsid wsp:val=&quot;00BC7E5A&quot;/&gt;&lt;wsp:rsid wsp:val=&quot;00BD0442&quot;/&gt;&lt;wsp:rsid wsp:val=&quot;00BD0631&quot;/&gt;&lt;wsp:rsid wsp:val=&quot;00BD09B3&quot;/&gt;&lt;wsp:rsid wsp:val=&quot;00BD0FD7&quot;/&gt;&lt;wsp:rsid wsp:val=&quot;00BD1471&quot;/&gt;&lt;wsp:rsid wsp:val=&quot;00BD1C58&quot;/&gt;&lt;wsp:rsid wsp:val=&quot;00BD4836&quot;/&gt;&lt;wsp:rsid wsp:val=&quot;00BD556B&quot;/&gt;&lt;wsp:rsid wsp:val=&quot;00BD5774&quot;/&gt;&lt;wsp:rsid wsp:val=&quot;00BD6B29&quot;/&gt;&lt;wsp:rsid wsp:val=&quot;00BD79B0&quot;/&gt;&lt;wsp:rsid wsp:val=&quot;00BD7C46&quot;/&gt;&lt;wsp:rsid wsp:val=&quot;00BE3E29&quot;/&gt;&lt;wsp:rsid wsp:val=&quot;00BE404C&quot;/&gt;&lt;wsp:rsid wsp:val=&quot;00BE44D6&quot;/&gt;&lt;wsp:rsid wsp:val=&quot;00BE4BD6&quot;/&gt;&lt;wsp:rsid wsp:val=&quot;00BE75A0&quot;/&gt;&lt;wsp:rsid wsp:val=&quot;00BE75F9&quot;/&gt;&lt;wsp:rsid wsp:val=&quot;00BF02D3&quot;/&gt;&lt;wsp:rsid wsp:val=&quot;00BF03D6&quot;/&gt;&lt;wsp:rsid wsp:val=&quot;00BF0F1D&quot;/&gt;&lt;wsp:rsid wsp:val=&quot;00BF2CD4&quot;/&gt;&lt;wsp:rsid wsp:val=&quot;00BF3C0F&quot;/&gt;&lt;wsp:rsid wsp:val=&quot;00BF469D&quot;/&gt;&lt;wsp:rsid wsp:val=&quot;00BF51AC&quot;/&gt;&lt;wsp:rsid wsp:val=&quot;00BF5AE7&quot;/&gt;&lt;wsp:rsid wsp:val=&quot;00BF683C&quot;/&gt;&lt;wsp:rsid wsp:val=&quot;00BF6915&quot;/&gt;&lt;wsp:rsid wsp:val=&quot;00C004E0&quot;/&gt;&lt;wsp:rsid wsp:val=&quot;00C01ACB&quot;/&gt;&lt;wsp:rsid wsp:val=&quot;00C01BE2&quot;/&gt;&lt;wsp:rsid wsp:val=&quot;00C01DE0&quot;/&gt;&lt;wsp:rsid wsp:val=&quot;00C02028&quot;/&gt;&lt;wsp:rsid wsp:val=&quot;00C02D32&quot;/&gt;&lt;wsp:rsid wsp:val=&quot;00C03847&quot;/&gt;&lt;wsp:rsid wsp:val=&quot;00C047B9&quot;/&gt;&lt;wsp:rsid wsp:val=&quot;00C05235&quot;/&gt;&lt;wsp:rsid wsp:val=&quot;00C05AE7&quot;/&gt;&lt;wsp:rsid wsp:val=&quot;00C0621B&quot;/&gt;&lt;wsp:rsid wsp:val=&quot;00C06B84&quot;/&gt;&lt;wsp:rsid wsp:val=&quot;00C0727C&quot;/&gt;&lt;wsp:rsid wsp:val=&quot;00C106AE&quot;/&gt;&lt;wsp:rsid wsp:val=&quot;00C1134A&quot;/&gt;&lt;wsp:rsid wsp:val=&quot;00C11563&quot;/&gt;&lt;wsp:rsid wsp:val=&quot;00C12422&quot;/&gt;&lt;wsp:rsid wsp:val=&quot;00C13DCB&quot;/&gt;&lt;wsp:rsid wsp:val=&quot;00C14233&quot;/&gt;&lt;wsp:rsid wsp:val=&quot;00C155C6&quot;/&gt;&lt;wsp:rsid wsp:val=&quot;00C15D00&quot;/&gt;&lt;wsp:rsid wsp:val=&quot;00C16D68&quot;/&gt;&lt;wsp:rsid wsp:val=&quot;00C16EBD&quot;/&gt;&lt;wsp:rsid wsp:val=&quot;00C17BFA&quot;/&gt;&lt;wsp:rsid wsp:val=&quot;00C210A4&quot;/&gt;&lt;wsp:rsid wsp:val=&quot;00C21975&quot;/&gt;&lt;wsp:rsid wsp:val=&quot;00C24F08&quot;/&gt;&lt;wsp:rsid wsp:val=&quot;00C258FA&quot;/&gt;&lt;wsp:rsid wsp:val=&quot;00C259F9&quot;/&gt;&lt;wsp:rsid wsp:val=&quot;00C25CB9&quot;/&gt;&lt;wsp:rsid wsp:val=&quot;00C27EA1&quot;/&gt;&lt;wsp:rsid wsp:val=&quot;00C310BD&quot;/&gt;&lt;wsp:rsid wsp:val=&quot;00C31B30&quot;/&gt;&lt;wsp:rsid wsp:val=&quot;00C31DE7&quot;/&gt;&lt;wsp:rsid wsp:val=&quot;00C33775&quot;/&gt;&lt;wsp:rsid wsp:val=&quot;00C337E4&quot;/&gt;&lt;wsp:rsid wsp:val=&quot;00C36ADD&quot;/&gt;&lt;wsp:rsid wsp:val=&quot;00C36AEF&quot;/&gt;&lt;wsp:rsid wsp:val=&quot;00C40E1F&quot;/&gt;&lt;wsp:rsid wsp:val=&quot;00C41CCD&quot;/&gt;&lt;wsp:rsid wsp:val=&quot;00C423FA&quot;/&gt;&lt;wsp:rsid wsp:val=&quot;00C436EB&quot;/&gt;&lt;wsp:rsid wsp:val=&quot;00C454BF&quot;/&gt;&lt;wsp:rsid wsp:val=&quot;00C45D3A&quot;/&gt;&lt;wsp:rsid wsp:val=&quot;00C45F06&quot;/&gt;&lt;wsp:rsid wsp:val=&quot;00C5000D&quot;/&gt;&lt;wsp:rsid wsp:val=&quot;00C501D6&quot;/&gt;&lt;wsp:rsid wsp:val=&quot;00C502F4&quot;/&gt;&lt;wsp:rsid wsp:val=&quot;00C50994&quot;/&gt;&lt;wsp:rsid wsp:val=&quot;00C52533&quot;/&gt;&lt;wsp:rsid wsp:val=&quot;00C526C7&quot;/&gt;&lt;wsp:rsid wsp:val=&quot;00C5270E&quot;/&gt;&lt;wsp:rsid wsp:val=&quot;00C52F16&quot;/&gt;&lt;wsp:rsid wsp:val=&quot;00C5434F&quot;/&gt;&lt;wsp:rsid wsp:val=&quot;00C54958&quot;/&gt;&lt;wsp:rsid wsp:val=&quot;00C54A25&quot;/&gt;&lt;wsp:rsid wsp:val=&quot;00C55155&quot;/&gt;&lt;wsp:rsid wsp:val=&quot;00C55D12&quot;/&gt;&lt;wsp:rsid wsp:val=&quot;00C565CA&quot;/&gt;&lt;wsp:rsid wsp:val=&quot;00C57B16&quot;/&gt;&lt;wsp:rsid wsp:val=&quot;00C60B89&quot;/&gt;&lt;wsp:rsid wsp:val=&quot;00C6104A&quot;/&gt;&lt;wsp:rsid wsp:val=&quot;00C61C17&quot;/&gt;&lt;wsp:rsid wsp:val=&quot;00C63210&quot;/&gt;&lt;wsp:rsid wsp:val=&quot;00C63B1B&quot;/&gt;&lt;wsp:rsid wsp:val=&quot;00C63FED&quot;/&gt;&lt;wsp:rsid wsp:val=&quot;00C64874&quot;/&gt;&lt;wsp:rsid wsp:val=&quot;00C64B62&quot;/&gt;&lt;wsp:rsid wsp:val=&quot;00C65065&quot;/&gt;&lt;wsp:rsid wsp:val=&quot;00C66167&quot;/&gt;&lt;wsp:rsid wsp:val=&quot;00C66797&quot;/&gt;&lt;wsp:rsid wsp:val=&quot;00C66CA6&quot;/&gt;&lt;wsp:rsid wsp:val=&quot;00C66E30&quot;/&gt;&lt;wsp:rsid wsp:val=&quot;00C67C36&quot;/&gt;&lt;wsp:rsid wsp:val=&quot;00C67F95&quot;/&gt;&lt;wsp:rsid wsp:val=&quot;00C70AAC&quot;/&gt;&lt;wsp:rsid wsp:val=&quot;00C71855&quot;/&gt;&lt;wsp:rsid wsp:val=&quot;00C72429&quot;/&gt;&lt;wsp:rsid wsp:val=&quot;00C73F9D&quot;/&gt;&lt;wsp:rsid wsp:val=&quot;00C74042&quot;/&gt;&lt;wsp:rsid wsp:val=&quot;00C75EDB&quot;/&gt;&lt;wsp:rsid wsp:val=&quot;00C76920&quot;/&gt;&lt;wsp:rsid wsp:val=&quot;00C76A33&quot;/&gt;&lt;wsp:rsid wsp:val=&quot;00C76C60&quot;/&gt;&lt;wsp:rsid wsp:val=&quot;00C772D7&quot;/&gt;&lt;wsp:rsid wsp:val=&quot;00C818C8&quot;/&gt;&lt;wsp:rsid wsp:val=&quot;00C8263F&quot;/&gt;&lt;wsp:rsid wsp:val=&quot;00C828E7&quot;/&gt;&lt;wsp:rsid wsp:val=&quot;00C83CEF&quot;/&gt;&lt;wsp:rsid wsp:val=&quot;00C848FC&quot;/&gt;&lt;wsp:rsid wsp:val=&quot;00C849F0&quot;/&gt;&lt;wsp:rsid wsp:val=&quot;00C850F2&quot;/&gt;&lt;wsp:rsid wsp:val=&quot;00C85F6C&quot;/&gt;&lt;wsp:rsid wsp:val=&quot;00C862FD&quot;/&gt;&lt;wsp:rsid wsp:val=&quot;00C86D42&quot;/&gt;&lt;wsp:rsid wsp:val=&quot;00C86EA2&quot;/&gt;&lt;wsp:rsid wsp:val=&quot;00C901BB&quot;/&gt;&lt;wsp:rsid wsp:val=&quot;00C91F11&quot;/&gt;&lt;wsp:rsid wsp:val=&quot;00C940DF&quot;/&gt;&lt;wsp:rsid wsp:val=&quot;00C9468B&quot;/&gt;&lt;wsp:rsid wsp:val=&quot;00C965AA&quot;/&gt;&lt;wsp:rsid wsp:val=&quot;00C966D5&quot;/&gt;&lt;wsp:rsid wsp:val=&quot;00C96A67&quot;/&gt;&lt;wsp:rsid wsp:val=&quot;00C975CE&quot;/&gt;&lt;wsp:rsid wsp:val=&quot;00CA2ED9&quot;/&gt;&lt;wsp:rsid wsp:val=&quot;00CA449F&quot;/&gt;&lt;wsp:rsid wsp:val=&quot;00CA4D62&quot;/&gt;&lt;wsp:rsid wsp:val=&quot;00CA4FA7&quot;/&gt;&lt;wsp:rsid wsp:val=&quot;00CA53F5&quot;/&gt;&lt;wsp:rsid wsp:val=&quot;00CA5623&quot;/&gt;&lt;wsp:rsid wsp:val=&quot;00CA591C&quot;/&gt;&lt;wsp:rsid wsp:val=&quot;00CA5B12&quot;/&gt;&lt;wsp:rsid wsp:val=&quot;00CA7546&quot;/&gt;&lt;wsp:rsid wsp:val=&quot;00CB0A54&quot;/&gt;&lt;wsp:rsid wsp:val=&quot;00CB0ACA&quot;/&gt;&lt;wsp:rsid wsp:val=&quot;00CB13D7&quot;/&gt;&lt;wsp:rsid wsp:val=&quot;00CB248E&quot;/&gt;&lt;wsp:rsid wsp:val=&quot;00CB271C&quot;/&gt;&lt;wsp:rsid wsp:val=&quot;00CB2D94&quot;/&gt;&lt;wsp:rsid wsp:val=&quot;00CB2EEE&quot;/&gt;&lt;wsp:rsid wsp:val=&quot;00CB302B&quot;/&gt;&lt;wsp:rsid wsp:val=&quot;00CB43E3&quot;/&gt;&lt;wsp:rsid wsp:val=&quot;00CB464F&quot;/&gt;&lt;wsp:rsid wsp:val=&quot;00CB5E75&quot;/&gt;&lt;wsp:rsid wsp:val=&quot;00CC07AB&quot;/&gt;&lt;wsp:rsid wsp:val=&quot;00CC07C0&quot;/&gt;&lt;wsp:rsid wsp:val=&quot;00CC1732&quot;/&gt;&lt;wsp:rsid wsp:val=&quot;00CC1C09&quot;/&gt;&lt;wsp:rsid wsp:val=&quot;00CC274F&quot;/&gt;&lt;wsp:rsid wsp:val=&quot;00CC2987&quot;/&gt;&lt;wsp:rsid wsp:val=&quot;00CC3BE2&quot;/&gt;&lt;wsp:rsid wsp:val=&quot;00CC3EC1&quot;/&gt;&lt;wsp:rsid wsp:val=&quot;00CC4573&quot;/&gt;&lt;wsp:rsid wsp:val=&quot;00CC47AA&quot;/&gt;&lt;wsp:rsid wsp:val=&quot;00CC5156&quot;/&gt;&lt;wsp:rsid wsp:val=&quot;00CC534B&quot;/&gt;&lt;wsp:rsid wsp:val=&quot;00CC5A84&quot;/&gt;&lt;wsp:rsid wsp:val=&quot;00CD060C&quot;/&gt;&lt;wsp:rsid wsp:val=&quot;00CD0A97&quot;/&gt;&lt;wsp:rsid wsp:val=&quot;00CD1697&quot;/&gt;&lt;wsp:rsid wsp:val=&quot;00CD1F7B&quot;/&gt;&lt;wsp:rsid wsp:val=&quot;00CD2024&quot;/&gt;&lt;wsp:rsid wsp:val=&quot;00CD3EAB&quot;/&gt;&lt;wsp:rsid wsp:val=&quot;00CD6066&quot;/&gt;&lt;wsp:rsid wsp:val=&quot;00CD675A&quot;/&gt;&lt;wsp:rsid wsp:val=&quot;00CD6C10&quot;/&gt;&lt;wsp:rsid wsp:val=&quot;00CD7895&quot;/&gt;&lt;wsp:rsid wsp:val=&quot;00CE0BD1&quot;/&gt;&lt;wsp:rsid wsp:val=&quot;00CE24D9&quot;/&gt;&lt;wsp:rsid wsp:val=&quot;00CE295E&quot;/&gt;&lt;wsp:rsid wsp:val=&quot;00CE2E72&quot;/&gt;&lt;wsp:rsid wsp:val=&quot;00CE3617&quot;/&gt;&lt;wsp:rsid wsp:val=&quot;00CE41A4&quot;/&gt;&lt;wsp:rsid wsp:val=&quot;00CE45D5&quot;/&gt;&lt;wsp:rsid wsp:val=&quot;00CE48B3&quot;/&gt;&lt;wsp:rsid wsp:val=&quot;00CE54C2&quot;/&gt;&lt;wsp:rsid wsp:val=&quot;00CE5621&quot;/&gt;&lt;wsp:rsid wsp:val=&quot;00CE5915&quot;/&gt;&lt;wsp:rsid wsp:val=&quot;00CE65FD&quot;/&gt;&lt;wsp:rsid wsp:val=&quot;00CE73BA&quot;/&gt;&lt;wsp:rsid wsp:val=&quot;00CE770D&quot;/&gt;&lt;wsp:rsid wsp:val=&quot;00CE7A4A&quot;/&gt;&lt;wsp:rsid wsp:val=&quot;00CE7ED7&quot;/&gt;&lt;wsp:rsid wsp:val=&quot;00CE7F3A&quot;/&gt;&lt;wsp:rsid wsp:val=&quot;00CF039B&quot;/&gt;&lt;wsp:rsid wsp:val=&quot;00CF1C52&quot;/&gt;&lt;wsp:rsid wsp:val=&quot;00CF213A&quot;/&gt;&lt;wsp:rsid wsp:val=&quot;00CF2AE5&quot;/&gt;&lt;wsp:rsid wsp:val=&quot;00CF2E93&quot;/&gt;&lt;wsp:rsid wsp:val=&quot;00CF31CD&quot;/&gt;&lt;wsp:rsid wsp:val=&quot;00CF4192&quot;/&gt;&lt;wsp:rsid wsp:val=&quot;00CF4258&quot;/&gt;&lt;wsp:rsid wsp:val=&quot;00CF5082&quot;/&gt;&lt;wsp:rsid wsp:val=&quot;00CF6FD4&quot;/&gt;&lt;wsp:rsid wsp:val=&quot;00CF7105&quot;/&gt;&lt;wsp:rsid wsp:val=&quot;00CF7387&quot;/&gt;&lt;wsp:rsid wsp:val=&quot;00CF76D9&quot;/&gt;&lt;wsp:rsid wsp:val=&quot;00CF7C63&quot;/&gt;&lt;wsp:rsid wsp:val=&quot;00D02CBE&quot;/&gt;&lt;wsp:rsid wsp:val=&quot;00D030DE&quot;/&gt;&lt;wsp:rsid wsp:val=&quot;00D039A5&quot;/&gt;&lt;wsp:rsid wsp:val=&quot;00D041C5&quot;/&gt;&lt;wsp:rsid wsp:val=&quot;00D048AB&quot;/&gt;&lt;wsp:rsid wsp:val=&quot;00D05629&quot;/&gt;&lt;wsp:rsid wsp:val=&quot;00D10FD8&quot;/&gt;&lt;wsp:rsid wsp:val=&quot;00D10FED&quot;/&gt;&lt;wsp:rsid wsp:val=&quot;00D116DB&quot;/&gt;&lt;wsp:rsid wsp:val=&quot;00D125DC&quot;/&gt;&lt;wsp:rsid wsp:val=&quot;00D1342C&quot;/&gt;&lt;wsp:rsid wsp:val=&quot;00D13489&quot;/&gt;&lt;wsp:rsid wsp:val=&quot;00D14170&quot;/&gt;&lt;wsp:rsid wsp:val=&quot;00D14547&quot;/&gt;&lt;wsp:rsid wsp:val=&quot;00D1470D&quot;/&gt;&lt;wsp:rsid wsp:val=&quot;00D1582F&quot;/&gt;&lt;wsp:rsid wsp:val=&quot;00D16BC4&quot;/&gt;&lt;wsp:rsid wsp:val=&quot;00D16C63&quot;/&gt;&lt;wsp:rsid wsp:val=&quot;00D16E0E&quot;/&gt;&lt;wsp:rsid wsp:val=&quot;00D20537&quot;/&gt;&lt;wsp:rsid wsp:val=&quot;00D20E9E&quot;/&gt;&lt;wsp:rsid wsp:val=&quot;00D21309&quot;/&gt;&lt;wsp:rsid wsp:val=&quot;00D213F0&quot;/&gt;&lt;wsp:rsid wsp:val=&quot;00D216B7&quot;/&gt;&lt;wsp:rsid wsp:val=&quot;00D217B9&quot;/&gt;&lt;wsp:rsid wsp:val=&quot;00D220C0&quot;/&gt;&lt;wsp:rsid wsp:val=&quot;00D222F2&quot;/&gt;&lt;wsp:rsid wsp:val=&quot;00D2256D&quot;/&gt;&lt;wsp:rsid wsp:val=&quot;00D233A5&quot;/&gt;&lt;wsp:rsid wsp:val=&quot;00D235FE&quot;/&gt;&lt;wsp:rsid wsp:val=&quot;00D25228&quot;/&gt;&lt;wsp:rsid wsp:val=&quot;00D256A3&quot;/&gt;&lt;wsp:rsid wsp:val=&quot;00D26C70&quot;/&gt;&lt;wsp:rsid wsp:val=&quot;00D3108B&quot;/&gt;&lt;wsp:rsid wsp:val=&quot;00D3349B&quot;/&gt;&lt;wsp:rsid wsp:val=&quot;00D35619&quot;/&gt;&lt;wsp:rsid wsp:val=&quot;00D405A0&quot;/&gt;&lt;wsp:rsid wsp:val=&quot;00D40BEA&quot;/&gt;&lt;wsp:rsid wsp:val=&quot;00D41234&quot;/&gt;&lt;wsp:rsid wsp:val=&quot;00D417AB&quot;/&gt;&lt;wsp:rsid wsp:val=&quot;00D4391B&quot;/&gt;&lt;wsp:rsid wsp:val=&quot;00D4399A&quot;/&gt;&lt;wsp:rsid wsp:val=&quot;00D44057&quot;/&gt;&lt;wsp:rsid wsp:val=&quot;00D4417D&quot;/&gt;&lt;wsp:rsid wsp:val=&quot;00D4419F&quot;/&gt;&lt;wsp:rsid wsp:val=&quot;00D4443E&quot;/&gt;&lt;wsp:rsid wsp:val=&quot;00D44C97&quot;/&gt;&lt;wsp:rsid wsp:val=&quot;00D4500A&quot;/&gt;&lt;wsp:rsid wsp:val=&quot;00D4500E&quot;/&gt;&lt;wsp:rsid wsp:val=&quot;00D453FB&quot;/&gt;&lt;wsp:rsid wsp:val=&quot;00D462C6&quot;/&gt;&lt;wsp:rsid wsp:val=&quot;00D47F12&quot;/&gt;&lt;wsp:rsid wsp:val=&quot;00D516AA&quot;/&gt;&lt;wsp:rsid wsp:val=&quot;00D51A9C&quot;/&gt;&lt;wsp:rsid wsp:val=&quot;00D51CB4&quot;/&gt;&lt;wsp:rsid wsp:val=&quot;00D5304A&quot;/&gt;&lt;wsp:rsid wsp:val=&quot;00D535DF&quot;/&gt;&lt;wsp:rsid wsp:val=&quot;00D536DB&quot;/&gt;&lt;wsp:rsid wsp:val=&quot;00D53C76&quot;/&gt;&lt;wsp:rsid wsp:val=&quot;00D543CA&quot;/&gt;&lt;wsp:rsid wsp:val=&quot;00D54783&quot;/&gt;&lt;wsp:rsid wsp:val=&quot;00D55C5B&quot;/&gt;&lt;wsp:rsid wsp:val=&quot;00D604CB&quot;/&gt;&lt;wsp:rsid wsp:val=&quot;00D60C23&quot;/&gt;&lt;wsp:rsid wsp:val=&quot;00D61091&quot;/&gt;&lt;wsp:rsid wsp:val=&quot;00D61363&quot;/&gt;&lt;wsp:rsid wsp:val=&quot;00D61ACB&quot;/&gt;&lt;wsp:rsid wsp:val=&quot;00D630AB&quot;/&gt;&lt;wsp:rsid wsp:val=&quot;00D632A1&quot;/&gt;&lt;wsp:rsid wsp:val=&quot;00D63F47&quot;/&gt;&lt;wsp:rsid wsp:val=&quot;00D647F2&quot;/&gt;&lt;wsp:rsid wsp:val=&quot;00D64855&quot;/&gt;&lt;wsp:rsid wsp:val=&quot;00D67FFD&quot;/&gt;&lt;wsp:rsid wsp:val=&quot;00D71C8D&quot;/&gt;&lt;wsp:rsid wsp:val=&quot;00D72324&quot;/&gt;&lt;wsp:rsid wsp:val=&quot;00D7264F&quot;/&gt;&lt;wsp:rsid wsp:val=&quot;00D742B0&quot;/&gt;&lt;wsp:rsid wsp:val=&quot;00D74CE8&quot;/&gt;&lt;wsp:rsid wsp:val=&quot;00D77299&quot;/&gt;&lt;wsp:rsid wsp:val=&quot;00D80A8B&quot;/&gt;&lt;wsp:rsid wsp:val=&quot;00D837A2&quot;/&gt;&lt;wsp:rsid wsp:val=&quot;00D84292&quot;/&gt;&lt;wsp:rsid wsp:val=&quot;00D85D2D&quot;/&gt;&lt;wsp:rsid wsp:val=&quot;00D8642B&quot;/&gt;&lt;wsp:rsid wsp:val=&quot;00D86520&quot;/&gt;&lt;wsp:rsid wsp:val=&quot;00D86CF9&quot;/&gt;&lt;wsp:rsid wsp:val=&quot;00D8745D&quot;/&gt;&lt;wsp:rsid wsp:val=&quot;00D87667&quot;/&gt;&lt;wsp:rsid wsp:val=&quot;00D87A55&quot;/&gt;&lt;wsp:rsid wsp:val=&quot;00D87BD8&quot;/&gt;&lt;wsp:rsid wsp:val=&quot;00D901E4&quot;/&gt;&lt;wsp:rsid wsp:val=&quot;00D90CD4&quot;/&gt;&lt;wsp:rsid wsp:val=&quot;00D91682&quot;/&gt;&lt;wsp:rsid wsp:val=&quot;00D920B2&quot;/&gt;&lt;wsp:rsid wsp:val=&quot;00D923CF&quot;/&gt;&lt;wsp:rsid wsp:val=&quot;00D9240A&quot;/&gt;&lt;wsp:rsid wsp:val=&quot;00D9316A&quot;/&gt;&lt;wsp:rsid wsp:val=&quot;00D9343B&quot;/&gt;&lt;wsp:rsid wsp:val=&quot;00D937F2&quot;/&gt;&lt;wsp:rsid wsp:val=&quot;00D93F23&quot;/&gt;&lt;wsp:rsid wsp:val=&quot;00D95AE3&quot;/&gt;&lt;wsp:rsid wsp:val=&quot;00D965F0&quot;/&gt;&lt;wsp:rsid wsp:val=&quot;00D9697E&quot;/&gt;&lt;wsp:rsid wsp:val=&quot;00D96F46&quot;/&gt;&lt;wsp:rsid wsp:val=&quot;00DA0055&quot;/&gt;&lt;wsp:rsid wsp:val=&quot;00DA03A4&quot;/&gt;&lt;wsp:rsid wsp:val=&quot;00DA0E66&quot;/&gt;&lt;wsp:rsid wsp:val=&quot;00DA13B1&quot;/&gt;&lt;wsp:rsid wsp:val=&quot;00DA1A56&quot;/&gt;&lt;wsp:rsid wsp:val=&quot;00DA20C9&quot;/&gt;&lt;wsp:rsid wsp:val=&quot;00DA266C&quot;/&gt;&lt;wsp:rsid wsp:val=&quot;00DA3A52&quot;/&gt;&lt;wsp:rsid wsp:val=&quot;00DA3DBD&quot;/&gt;&lt;wsp:rsid wsp:val=&quot;00DA41BD&quot;/&gt;&lt;wsp:rsid wsp:val=&quot;00DA44D2&quot;/&gt;&lt;wsp:rsid wsp:val=&quot;00DA4CA1&quot;/&gt;&lt;wsp:rsid wsp:val=&quot;00DA5735&quot;/&gt;&lt;wsp:rsid wsp:val=&quot;00DA625D&quot;/&gt;&lt;wsp:rsid wsp:val=&quot;00DA6CCC&quot;/&gt;&lt;wsp:rsid wsp:val=&quot;00DA7728&quot;/&gt;&lt;wsp:rsid wsp:val=&quot;00DB06A6&quot;/&gt;&lt;wsp:rsid wsp:val=&quot;00DB0825&quot;/&gt;&lt;wsp:rsid wsp:val=&quot;00DB103D&quot;/&gt;&lt;wsp:rsid wsp:val=&quot;00DB3A62&quot;/&gt;&lt;wsp:rsid wsp:val=&quot;00DB3DD9&quot;/&gt;&lt;wsp:rsid wsp:val=&quot;00DB479C&quot;/&gt;&lt;wsp:rsid wsp:val=&quot;00DB4C51&quot;/&gt;&lt;wsp:rsid wsp:val=&quot;00DB5867&quot;/&gt;&lt;wsp:rsid wsp:val=&quot;00DB58B5&quot;/&gt;&lt;wsp:rsid wsp:val=&quot;00DB5BC1&quot;/&gt;&lt;wsp:rsid wsp:val=&quot;00DB5CC2&quot;/&gt;&lt;wsp:rsid wsp:val=&quot;00DB61D3&quot;/&gt;&lt;wsp:rsid wsp:val=&quot;00DB64CB&quot;/&gt;&lt;wsp:rsid wsp:val=&quot;00DB7184&quot;/&gt;&lt;wsp:rsid wsp:val=&quot;00DB7F5D&quot;/&gt;&lt;wsp:rsid wsp:val=&quot;00DC0C36&quot;/&gt;&lt;wsp:rsid wsp:val=&quot;00DC1D4C&quot;/&gt;&lt;wsp:rsid wsp:val=&quot;00DC2394&quot;/&gt;&lt;wsp:rsid wsp:val=&quot;00DC3745&quot;/&gt;&lt;wsp:rsid wsp:val=&quot;00DC3D94&quot;/&gt;&lt;wsp:rsid wsp:val=&quot;00DC4628&quot;/&gt;&lt;wsp:rsid wsp:val=&quot;00DC4A1C&quot;/&gt;&lt;wsp:rsid wsp:val=&quot;00DC69F2&quot;/&gt;&lt;wsp:rsid wsp:val=&quot;00DC6F4A&quot;/&gt;&lt;wsp:rsid wsp:val=&quot;00DD000E&quot;/&gt;&lt;wsp:rsid wsp:val=&quot;00DD0EF0&quot;/&gt;&lt;wsp:rsid wsp:val=&quot;00DD12B3&quot;/&gt;&lt;wsp:rsid wsp:val=&quot;00DD1505&quot;/&gt;&lt;wsp:rsid wsp:val=&quot;00DD171E&quot;/&gt;&lt;wsp:rsid wsp:val=&quot;00DD422E&quot;/&gt;&lt;wsp:rsid wsp:val=&quot;00DD4B97&quot;/&gt;&lt;wsp:rsid wsp:val=&quot;00DD50EC&quot;/&gt;&lt;wsp:rsid wsp:val=&quot;00DD5CA2&quot;/&gt;&lt;wsp:rsid wsp:val=&quot;00DD708A&quot;/&gt;&lt;wsp:rsid wsp:val=&quot;00DD7386&quot;/&gt;&lt;wsp:rsid wsp:val=&quot;00DE0321&quot;/&gt;&lt;wsp:rsid wsp:val=&quot;00DE2B53&quot;/&gt;&lt;wsp:rsid wsp:val=&quot;00DE3A37&quot;/&gt;&lt;wsp:rsid wsp:val=&quot;00DE3F9E&quot;/&gt;&lt;wsp:rsid wsp:val=&quot;00DE723E&quot;/&gt;&lt;wsp:rsid wsp:val=&quot;00DF0094&quot;/&gt;&lt;wsp:rsid wsp:val=&quot;00DF09B9&quot;/&gt;&lt;wsp:rsid wsp:val=&quot;00DF1688&quot;/&gt;&lt;wsp:rsid wsp:val=&quot;00DF187F&quot;/&gt;&lt;wsp:rsid wsp:val=&quot;00DF246E&quot;/&gt;&lt;wsp:rsid wsp:val=&quot;00DF247C&quot;/&gt;&lt;wsp:rsid wsp:val=&quot;00DF2C7E&quot;/&gt;&lt;wsp:rsid wsp:val=&quot;00DF311F&quot;/&gt;&lt;wsp:rsid wsp:val=&quot;00DF4C4B&quot;/&gt;&lt;wsp:rsid wsp:val=&quot;00DF55A5&quot;/&gt;&lt;wsp:rsid wsp:val=&quot;00DF6196&quot;/&gt;&lt;wsp:rsid wsp:val=&quot;00DF713B&quot;/&gt;&lt;wsp:rsid wsp:val=&quot;00DF77F8&quot;/&gt;&lt;wsp:rsid wsp:val=&quot;00E01424&quot;/&gt;&lt;wsp:rsid wsp:val=&quot;00E024D9&quot;/&gt;&lt;wsp:rsid wsp:val=&quot;00E02A86&quot;/&gt;&lt;wsp:rsid wsp:val=&quot;00E03E84&quot;/&gt;&lt;wsp:rsid wsp:val=&quot;00E056BE&quot;/&gt;&lt;wsp:rsid wsp:val=&quot;00E059AE&quot;/&gt;&lt;wsp:rsid wsp:val=&quot;00E0649B&quot;/&gt;&lt;wsp:rsid wsp:val=&quot;00E07D5C&quot;/&gt;&lt;wsp:rsid wsp:val=&quot;00E1082A&quot;/&gt;&lt;wsp:rsid wsp:val=&quot;00E1123E&quot;/&gt;&lt;wsp:rsid wsp:val=&quot;00E14BC7&quot;/&gt;&lt;wsp:rsid wsp:val=&quot;00E15E72&quot;/&gt;&lt;wsp:rsid wsp:val=&quot;00E160DE&quot;/&gt;&lt;wsp:rsid wsp:val=&quot;00E16133&quot;/&gt;&lt;wsp:rsid wsp:val=&quot;00E17B5E&quot;/&gt;&lt;wsp:rsid wsp:val=&quot;00E223A6&quot;/&gt;&lt;wsp:rsid wsp:val=&quot;00E22A47&quot;/&gt;&lt;wsp:rsid wsp:val=&quot;00E242C4&quot;/&gt;&lt;wsp:rsid wsp:val=&quot;00E24644&quot;/&gt;&lt;wsp:rsid wsp:val=&quot;00E2519F&quot;/&gt;&lt;wsp:rsid wsp:val=&quot;00E261F1&quot;/&gt;&lt;wsp:rsid wsp:val=&quot;00E26691&quot;/&gt;&lt;wsp:rsid wsp:val=&quot;00E27C86&quot;/&gt;&lt;wsp:rsid wsp:val=&quot;00E3045A&quot;/&gt;&lt;wsp:rsid wsp:val=&quot;00E30550&quot;/&gt;&lt;wsp:rsid wsp:val=&quot;00E30D7F&quot;/&gt;&lt;wsp:rsid wsp:val=&quot;00E31038&quot;/&gt;&lt;wsp:rsid wsp:val=&quot;00E31801&quot;/&gt;&lt;wsp:rsid wsp:val=&quot;00E31AE2&quot;/&gt;&lt;wsp:rsid wsp:val=&quot;00E320A6&quot;/&gt;&lt;wsp:rsid wsp:val=&quot;00E324B2&quot;/&gt;&lt;wsp:rsid wsp:val=&quot;00E334A9&quot;/&gt;&lt;wsp:rsid wsp:val=&quot;00E33B4F&quot;/&gt;&lt;wsp:rsid wsp:val=&quot;00E33B95&quot;/&gt;&lt;wsp:rsid wsp:val=&quot;00E340DB&quot;/&gt;&lt;wsp:rsid wsp:val=&quot;00E3421E&quot;/&gt;&lt;wsp:rsid wsp:val=&quot;00E41B5E&quot;/&gt;&lt;wsp:rsid wsp:val=&quot;00E4273D&quot;/&gt;&lt;wsp:rsid wsp:val=&quot;00E432DE&quot;/&gt;&lt;wsp:rsid wsp:val=&quot;00E434C1&quot;/&gt;&lt;wsp:rsid wsp:val=&quot;00E45468&quot;/&gt;&lt;wsp:rsid wsp:val=&quot;00E46232&quot;/&gt;&lt;wsp:rsid wsp:val=&quot;00E4692E&quot;/&gt;&lt;wsp:rsid wsp:val=&quot;00E50894&quot;/&gt;&lt;wsp:rsid wsp:val=&quot;00E50DF8&quot;/&gt;&lt;wsp:rsid wsp:val=&quot;00E5183D&quot;/&gt;&lt;wsp:rsid wsp:val=&quot;00E51B35&quot;/&gt;&lt;wsp:rsid wsp:val=&quot;00E5287E&quot;/&gt;&lt;wsp:rsid wsp:val=&quot;00E52B46&quot;/&gt;&lt;wsp:rsid wsp:val=&quot;00E52C1E&quot;/&gt;&lt;wsp:rsid wsp:val=&quot;00E53F50&quot;/&gt;&lt;wsp:rsid wsp:val=&quot;00E548C5&quot;/&gt;&lt;wsp:rsid wsp:val=&quot;00E57D7A&quot;/&gt;&lt;wsp:rsid wsp:val=&quot;00E60465&quot;/&gt;&lt;wsp:rsid wsp:val=&quot;00E60882&quot;/&gt;&lt;wsp:rsid wsp:val=&quot;00E61210&quot;/&gt;&lt;wsp:rsid wsp:val=&quot;00E61A8B&quot;/&gt;&lt;wsp:rsid wsp:val=&quot;00E6400B&quot;/&gt;&lt;wsp:rsid wsp:val=&quot;00E64A10&quot;/&gt;&lt;wsp:rsid wsp:val=&quot;00E6547B&quot;/&gt;&lt;wsp:rsid wsp:val=&quot;00E659A7&quot;/&gt;&lt;wsp:rsid wsp:val=&quot;00E675F4&quot;/&gt;&lt;wsp:rsid wsp:val=&quot;00E67882&quot;/&gt;&lt;wsp:rsid wsp:val=&quot;00E70418&quot;/&gt;&lt;wsp:rsid wsp:val=&quot;00E70A04&quot;/&gt;&lt;wsp:rsid wsp:val=&quot;00E717B0&quot;/&gt;&lt;wsp:rsid wsp:val=&quot;00E717E1&quot;/&gt;&lt;wsp:rsid wsp:val=&quot;00E721D2&quot;/&gt;&lt;wsp:rsid wsp:val=&quot;00E72B3E&quot;/&gt;&lt;wsp:rsid wsp:val=&quot;00E73AF5&quot;/&gt;&lt;wsp:rsid wsp:val=&quot;00E73B37&quot;/&gt;&lt;wsp:rsid wsp:val=&quot;00E74020&quot;/&gt;&lt;wsp:rsid wsp:val=&quot;00E74A74&quot;/&gt;&lt;wsp:rsid wsp:val=&quot;00E750B5&quot;/&gt;&lt;wsp:rsid wsp:val=&quot;00E75F0A&quot;/&gt;&lt;wsp:rsid wsp:val=&quot;00E75F7A&quot;/&gt;&lt;wsp:rsid wsp:val=&quot;00E765D8&quot;/&gt;&lt;wsp:rsid wsp:val=&quot;00E805E9&quot;/&gt;&lt;wsp:rsid wsp:val=&quot;00E80EDC&quot;/&gt;&lt;wsp:rsid wsp:val=&quot;00E80F7C&quot;/&gt;&lt;wsp:rsid wsp:val=&quot;00E8153C&quot;/&gt;&lt;wsp:rsid wsp:val=&quot;00E817C9&quot;/&gt;&lt;wsp:rsid wsp:val=&quot;00E81DA5&quot;/&gt;&lt;wsp:rsid wsp:val=&quot;00E82771&quot;/&gt;&lt;wsp:rsid wsp:val=&quot;00E83478&quot;/&gt;&lt;wsp:rsid wsp:val=&quot;00E837A1&quot;/&gt;&lt;wsp:rsid wsp:val=&quot;00E853D9&quot;/&gt;&lt;wsp:rsid wsp:val=&quot;00E8590A&quot;/&gt;&lt;wsp:rsid wsp:val=&quot;00E85C76&quot;/&gt;&lt;wsp:rsid wsp:val=&quot;00E91858&quot;/&gt;&lt;wsp:rsid wsp:val=&quot;00E924C8&quot;/&gt;&lt;wsp:rsid wsp:val=&quot;00E92BA4&quot;/&gt;&lt;wsp:rsid wsp:val=&quot;00E93757&quot;/&gt;&lt;wsp:rsid wsp:val=&quot;00E9443B&quot;/&gt;&lt;wsp:rsid wsp:val=&quot;00E95D85&quot;/&gt;&lt;wsp:rsid wsp:val=&quot;00E96DBD&quot;/&gt;&lt;wsp:rsid wsp:val=&quot;00EA11AE&quot;/&gt;&lt;wsp:rsid wsp:val=&quot;00EA1A00&quot;/&gt;&lt;wsp:rsid wsp:val=&quot;00EA398A&quot;/&gt;&lt;wsp:rsid wsp:val=&quot;00EA3E1F&quot;/&gt;&lt;wsp:rsid wsp:val=&quot;00EA7107&quot;/&gt;&lt;wsp:rsid wsp:val=&quot;00EA7FFE&quot;/&gt;&lt;wsp:rsid wsp:val=&quot;00EB0450&quot;/&gt;&lt;wsp:rsid wsp:val=&quot;00EB054E&quot;/&gt;&lt;wsp:rsid wsp:val=&quot;00EB14CB&quot;/&gt;&lt;wsp:rsid wsp:val=&quot;00EB42B9&quot;/&gt;&lt;wsp:rsid wsp:val=&quot;00EB53A8&quot;/&gt;&lt;wsp:rsid wsp:val=&quot;00EB5A41&quot;/&gt;&lt;wsp:rsid wsp:val=&quot;00EB78C2&quot;/&gt;&lt;wsp:rsid wsp:val=&quot;00EC1DF6&quot;/&gt;&lt;wsp:rsid wsp:val=&quot;00EC2110&quot;/&gt;&lt;wsp:rsid wsp:val=&quot;00EC2D5B&quot;/&gt;&lt;wsp:rsid wsp:val=&quot;00EC2EF6&quot;/&gt;&lt;wsp:rsid wsp:val=&quot;00EC3E5A&quot;/&gt;&lt;wsp:rsid wsp:val=&quot;00EC4A9C&quot;/&gt;&lt;wsp:rsid wsp:val=&quot;00EC4E7C&quot;/&gt;&lt;wsp:rsid wsp:val=&quot;00EC4F58&quot;/&gt;&lt;wsp:rsid wsp:val=&quot;00EC59F1&quot;/&gt;&lt;wsp:rsid wsp:val=&quot;00EC6C15&quot;/&gt;&lt;wsp:rsid wsp:val=&quot;00ED08A0&quot;/&gt;&lt;wsp:rsid wsp:val=&quot;00ED0936&quot;/&gt;&lt;wsp:rsid wsp:val=&quot;00ED108D&quot;/&gt;&lt;wsp:rsid wsp:val=&quot;00ED3C70&quot;/&gt;&lt;wsp:rsid wsp:val=&quot;00ED42E4&quot;/&gt;&lt;wsp:rsid wsp:val=&quot;00ED63BC&quot;/&gt;&lt;wsp:rsid wsp:val=&quot;00ED6ECA&quot;/&gt;&lt;wsp:rsid wsp:val=&quot;00EE0C45&quot;/&gt;&lt;wsp:rsid wsp:val=&quot;00EE0C61&quot;/&gt;&lt;wsp:rsid wsp:val=&quot;00EE157C&quot;/&gt;&lt;wsp:rsid wsp:val=&quot;00EE17CD&quot;/&gt;&lt;wsp:rsid wsp:val=&quot;00EE1CAA&quot;/&gt;&lt;wsp:rsid wsp:val=&quot;00EE29B1&quot;/&gt;&lt;wsp:rsid wsp:val=&quot;00EE2C81&quot;/&gt;&lt;wsp:rsid wsp:val=&quot;00EE2EE5&quot;/&gt;&lt;wsp:rsid wsp:val=&quot;00EE4CBC&quot;/&gt;&lt;wsp:rsid wsp:val=&quot;00EE568A&quot;/&gt;&lt;wsp:rsid wsp:val=&quot;00EE58FD&quot;/&gt;&lt;wsp:rsid wsp:val=&quot;00EE5A85&quot;/&gt;&lt;wsp:rsid wsp:val=&quot;00EE62D0&quot;/&gt;&lt;wsp:rsid wsp:val=&quot;00EE6876&quot;/&gt;&lt;wsp:rsid wsp:val=&quot;00EE77C7&quot;/&gt;&lt;wsp:rsid wsp:val=&quot;00EE78D1&quot;/&gt;&lt;wsp:rsid wsp:val=&quot;00EE78D8&quot;/&gt;&lt;wsp:rsid wsp:val=&quot;00EE7A26&quot;/&gt;&lt;wsp:rsid wsp:val=&quot;00EF0983&quot;/&gt;&lt;wsp:rsid wsp:val=&quot;00EF1925&quot;/&gt;&lt;wsp:rsid wsp:val=&quot;00EF2335&quot;/&gt;&lt;wsp:rsid wsp:val=&quot;00EF23BA&quot;/&gt;&lt;wsp:rsid wsp:val=&quot;00EF2941&quot;/&gt;&lt;wsp:rsid wsp:val=&quot;00EF2ED0&quot;/&gt;&lt;wsp:rsid wsp:val=&quot;00EF45CA&quot;/&gt;&lt;wsp:rsid wsp:val=&quot;00EF4C9E&quot;/&gt;&lt;wsp:rsid wsp:val=&quot;00EF519B&quot;/&gt;&lt;wsp:rsid wsp:val=&quot;00EF55AD&quot;/&gt;&lt;wsp:rsid wsp:val=&quot;00EF5964&quot;/&gt;&lt;wsp:rsid wsp:val=&quot;00EF59C0&quot;/&gt;&lt;wsp:rsid wsp:val=&quot;00EF5B6F&quot;/&gt;&lt;wsp:rsid wsp:val=&quot;00F00C59&quot;/&gt;&lt;wsp:rsid wsp:val=&quot;00F02CB1&quot;/&gt;&lt;wsp:rsid wsp:val=&quot;00F02EB2&quot;/&gt;&lt;wsp:rsid wsp:val=&quot;00F03ECC&quot;/&gt;&lt;wsp:rsid wsp:val=&quot;00F0437B&quot;/&gt;&lt;wsp:rsid wsp:val=&quot;00F04F34&quot;/&gt;&lt;wsp:rsid wsp:val=&quot;00F0523A&quot;/&gt;&lt;wsp:rsid wsp:val=&quot;00F06327&quot;/&gt;&lt;wsp:rsid wsp:val=&quot;00F0670D&quot;/&gt;&lt;wsp:rsid wsp:val=&quot;00F0707F&quot;/&gt;&lt;wsp:rsid wsp:val=&quot;00F10C83&quot;/&gt;&lt;wsp:rsid wsp:val=&quot;00F11C1C&quot;/&gt;&lt;wsp:rsid wsp:val=&quot;00F1313C&quot;/&gt;&lt;wsp:rsid wsp:val=&quot;00F1525B&quot;/&gt;&lt;wsp:rsid wsp:val=&quot;00F15623&quot;/&gt;&lt;wsp:rsid wsp:val=&quot;00F159EE&quot;/&gt;&lt;wsp:rsid wsp:val=&quot;00F166A8&quot;/&gt;&lt;wsp:rsid wsp:val=&quot;00F16AA7&quot;/&gt;&lt;wsp:rsid wsp:val=&quot;00F16E61&quot;/&gt;&lt;wsp:rsid wsp:val=&quot;00F20057&quot;/&gt;&lt;wsp:rsid wsp:val=&quot;00F20086&quot;/&gt;&lt;wsp:rsid wsp:val=&quot;00F211B9&quot;/&gt;&lt;wsp:rsid wsp:val=&quot;00F21473&quot;/&gt;&lt;wsp:rsid wsp:val=&quot;00F21512&quot;/&gt;&lt;wsp:rsid wsp:val=&quot;00F21E19&quot;/&gt;&lt;wsp:rsid wsp:val=&quot;00F223BC&quot;/&gt;&lt;wsp:rsid wsp:val=&quot;00F22F44&quot;/&gt;&lt;wsp:rsid wsp:val=&quot;00F24568&quot;/&gt;&lt;wsp:rsid wsp:val=&quot;00F24D77&quot;/&gt;&lt;wsp:rsid wsp:val=&quot;00F25118&quot;/&gt;&lt;wsp:rsid wsp:val=&quot;00F25663&quot;/&gt;&lt;wsp:rsid wsp:val=&quot;00F256D4&quot;/&gt;&lt;wsp:rsid wsp:val=&quot;00F25A6F&quot;/&gt;&lt;wsp:rsid wsp:val=&quot;00F26990&quot;/&gt;&lt;wsp:rsid wsp:val=&quot;00F27536&quot;/&gt;&lt;wsp:rsid wsp:val=&quot;00F276A4&quot;/&gt;&lt;wsp:rsid wsp:val=&quot;00F27B0F&quot;/&gt;&lt;wsp:rsid wsp:val=&quot;00F31002&quot;/&gt;&lt;wsp:rsid wsp:val=&quot;00F32068&quot;/&gt;&lt;wsp:rsid wsp:val=&quot;00F34470&quot;/&gt;&lt;wsp:rsid wsp:val=&quot;00F34900&quot;/&gt;&lt;wsp:rsid wsp:val=&quot;00F355C6&quot;/&gt;&lt;wsp:rsid wsp:val=&quot;00F35C7B&quot;/&gt;&lt;wsp:rsid wsp:val=&quot;00F35E63&quot;/&gt;&lt;wsp:rsid wsp:val=&quot;00F35F24&quot;/&gt;&lt;wsp:rsid wsp:val=&quot;00F36696&quot;/&gt;&lt;wsp:rsid wsp:val=&quot;00F36E77&quot;/&gt;&lt;wsp:rsid wsp:val=&quot;00F401C8&quot;/&gt;&lt;wsp:rsid wsp:val=&quot;00F405AA&quot;/&gt;&lt;wsp:rsid wsp:val=&quot;00F40668&quot;/&gt;&lt;wsp:rsid wsp:val=&quot;00F40D24&quot;/&gt;&lt;wsp:rsid wsp:val=&quot;00F418CB&quot;/&gt;&lt;wsp:rsid wsp:val=&quot;00F41F3E&quot;/&gt;&lt;wsp:rsid wsp:val=&quot;00F42D67&quot;/&gt;&lt;wsp:rsid wsp:val=&quot;00F43054&quot;/&gt;&lt;wsp:rsid wsp:val=&quot;00F45469&quot;/&gt;&lt;wsp:rsid wsp:val=&quot;00F45E04&quot;/&gt;&lt;wsp:rsid wsp:val=&quot;00F46DF9&quot;/&gt;&lt;wsp:rsid wsp:val=&quot;00F474A9&quot;/&gt;&lt;wsp:rsid wsp:val=&quot;00F47536&quot;/&gt;&lt;wsp:rsid wsp:val=&quot;00F500D0&quot;/&gt;&lt;wsp:rsid wsp:val=&quot;00F50D41&quot;/&gt;&lt;wsp:rsid wsp:val=&quot;00F513E5&quot;/&gt;&lt;wsp:rsid wsp:val=&quot;00F51B30&quot;/&gt;&lt;wsp:rsid wsp:val=&quot;00F521EE&quot;/&gt;&lt;wsp:rsid wsp:val=&quot;00F523FA&quot;/&gt;&lt;wsp:rsid wsp:val=&quot;00F53022&quot;/&gt;&lt;wsp:rsid wsp:val=&quot;00F54859&quot;/&gt;&lt;wsp:rsid wsp:val=&quot;00F54AC5&quot;/&gt;&lt;wsp:rsid wsp:val=&quot;00F54C2D&quot;/&gt;&lt;wsp:rsid wsp:val=&quot;00F551D4&quot;/&gt;&lt;wsp:rsid wsp:val=&quot;00F551E3&quot;/&gt;&lt;wsp:rsid wsp:val=&quot;00F57FCE&quot;/&gt;&lt;wsp:rsid wsp:val=&quot;00F603AA&quot;/&gt;&lt;wsp:rsid wsp:val=&quot;00F60DED&quot;/&gt;&lt;wsp:rsid wsp:val=&quot;00F61779&quot;/&gt;&lt;wsp:rsid wsp:val=&quot;00F619AA&quot;/&gt;&lt;wsp:rsid wsp:val=&quot;00F620B1&quot;/&gt;&lt;wsp:rsid wsp:val=&quot;00F634A0&quot;/&gt;&lt;wsp:rsid wsp:val=&quot;00F64A5F&quot;/&gt;&lt;wsp:rsid wsp:val=&quot;00F65178&quot;/&gt;&lt;wsp:rsid wsp:val=&quot;00F66996&quot;/&gt;&lt;wsp:rsid wsp:val=&quot;00F672F8&quot;/&gt;&lt;wsp:rsid wsp:val=&quot;00F703D4&quot;/&gt;&lt;wsp:rsid wsp:val=&quot;00F709D8&quot;/&gt;&lt;wsp:rsid wsp:val=&quot;00F71E11&quot;/&gt;&lt;wsp:rsid wsp:val=&quot;00F732E1&quot;/&gt;&lt;wsp:rsid wsp:val=&quot;00F743A7&quot;/&gt;&lt;wsp:rsid wsp:val=&quot;00F74F33&quot;/&gt;&lt;wsp:rsid wsp:val=&quot;00F7501B&quot;/&gt;&lt;wsp:rsid wsp:val=&quot;00F75360&quot;/&gt;&lt;wsp:rsid wsp:val=&quot;00F755CD&quot;/&gt;&lt;wsp:rsid wsp:val=&quot;00F756DC&quot;/&gt;&lt;wsp:rsid wsp:val=&quot;00F7585A&quot;/&gt;&lt;wsp:rsid wsp:val=&quot;00F759E0&quot;/&gt;&lt;wsp:rsid wsp:val=&quot;00F75D7F&quot;/&gt;&lt;wsp:rsid wsp:val=&quot;00F76B04&quot;/&gt;&lt;wsp:rsid wsp:val=&quot;00F76B4A&quot;/&gt;&lt;wsp:rsid wsp:val=&quot;00F778F4&quot;/&gt;&lt;wsp:rsid wsp:val=&quot;00F7799E&quot;/&gt;&lt;wsp:rsid wsp:val=&quot;00F77A3B&quot;/&gt;&lt;wsp:rsid wsp:val=&quot;00F80A68&quot;/&gt;&lt;wsp:rsid wsp:val=&quot;00F80F0C&quot;/&gt;&lt;wsp:rsid wsp:val=&quot;00F81971&quot;/&gt;&lt;wsp:rsid wsp:val=&quot;00F81F65&quot;/&gt;&lt;wsp:rsid wsp:val=&quot;00F82431&quot;/&gt;&lt;wsp:rsid wsp:val=&quot;00F8288E&quot;/&gt;&lt;wsp:rsid wsp:val=&quot;00F82DE5&quot;/&gt;&lt;wsp:rsid wsp:val=&quot;00F82F44&quot;/&gt;&lt;wsp:rsid wsp:val=&quot;00F83235&quot;/&gt;&lt;wsp:rsid wsp:val=&quot;00F832ED&quot;/&gt;&lt;wsp:rsid wsp:val=&quot;00F837A2&quot;/&gt;&lt;wsp:rsid wsp:val=&quot;00F84347&quot;/&gt;&lt;wsp:rsid wsp:val=&quot;00F84B5C&quot;/&gt;&lt;wsp:rsid wsp:val=&quot;00F84C35&quot;/&gt;&lt;wsp:rsid wsp:val=&quot;00F8518C&quot;/&gt;&lt;wsp:rsid wsp:val=&quot;00F85552&quot;/&gt;&lt;wsp:rsid wsp:val=&quot;00F863D1&quot;/&gt;&lt;wsp:rsid wsp:val=&quot;00F86463&quot;/&gt;&lt;wsp:rsid wsp:val=&quot;00F8667E&quot;/&gt;&lt;wsp:rsid wsp:val=&quot;00F870D2&quot;/&gt;&lt;wsp:rsid wsp:val=&quot;00F90336&quot;/&gt;&lt;wsp:rsid wsp:val=&quot;00F91D70&quot;/&gt;&lt;wsp:rsid wsp:val=&quot;00F92DED&quot;/&gt;&lt;wsp:rsid wsp:val=&quot;00F94D09&quot;/&gt;&lt;wsp:rsid wsp:val=&quot;00F965A3&quot;/&gt;&lt;wsp:rsid wsp:val=&quot;00F966EA&quot;/&gt;&lt;wsp:rsid wsp:val=&quot;00FA15E2&quot;/&gt;&lt;wsp:rsid wsp:val=&quot;00FA1607&quot;/&gt;&lt;wsp:rsid wsp:val=&quot;00FA233B&quot;/&gt;&lt;wsp:rsid wsp:val=&quot;00FA26AD&quot;/&gt;&lt;wsp:rsid wsp:val=&quot;00FA2C1A&quot;/&gt;&lt;wsp:rsid wsp:val=&quot;00FA2CEF&quot;/&gt;&lt;wsp:rsid wsp:val=&quot;00FA4221&quot;/&gt;&lt;wsp:rsid wsp:val=&quot;00FA42AE&quot;/&gt;&lt;wsp:rsid wsp:val=&quot;00FA5458&quot;/&gt;&lt;wsp:rsid wsp:val=&quot;00FA5F5B&quot;/&gt;&lt;wsp:rsid wsp:val=&quot;00FA622F&quot;/&gt;&lt;wsp:rsid wsp:val=&quot;00FA69AB&quot;/&gt;&lt;wsp:rsid wsp:val=&quot;00FA6C0A&quot;/&gt;&lt;wsp:rsid wsp:val=&quot;00FA7138&quot;/&gt;&lt;wsp:rsid wsp:val=&quot;00FB096A&quot;/&gt;&lt;wsp:rsid wsp:val=&quot;00FB1A4A&quot;/&gt;&lt;wsp:rsid wsp:val=&quot;00FB24FB&quot;/&gt;&lt;wsp:rsid wsp:val=&quot;00FB307C&quot;/&gt;&lt;wsp:rsid wsp:val=&quot;00FB3BC4&quot;/&gt;&lt;wsp:rsid wsp:val=&quot;00FB3C15&quot;/&gt;&lt;wsp:rsid wsp:val=&quot;00FB4BB0&quot;/&gt;&lt;wsp:rsid wsp:val=&quot;00FB4E5D&quot;/&gt;&lt;wsp:rsid wsp:val=&quot;00FC0240&quot;/&gt;&lt;wsp:rsid wsp:val=&quot;00FC0D15&quot;/&gt;&lt;wsp:rsid wsp:val=&quot;00FC2154&quot;/&gt;&lt;wsp:rsid wsp:val=&quot;00FC2562&quot;/&gt;&lt;wsp:rsid wsp:val=&quot;00FC3089&quot;/&gt;&lt;wsp:rsid wsp:val=&quot;00FC40CF&quot;/&gt;&lt;wsp:rsid wsp:val=&quot;00FC50BC&quot;/&gt;&lt;wsp:rsid wsp:val=&quot;00FC518A&quot;/&gt;&lt;wsp:rsid wsp:val=&quot;00FC5F39&quot;/&gt;&lt;wsp:rsid wsp:val=&quot;00FC77AF&quot;/&gt;&lt;wsp:rsid wsp:val=&quot;00FD0C2A&quot;/&gt;&lt;wsp:rsid wsp:val=&quot;00FD0E69&quot;/&gt;&lt;wsp:rsid wsp:val=&quot;00FD196D&quot;/&gt;&lt;wsp:rsid wsp:val=&quot;00FD19C3&quot;/&gt;&lt;wsp:rsid wsp:val=&quot;00FD1B4A&quot;/&gt;&lt;wsp:rsid wsp:val=&quot;00FD20F4&quot;/&gt;&lt;wsp:rsid wsp:val=&quot;00FD2D77&quot;/&gt;&lt;wsp:rsid wsp:val=&quot;00FD3E40&quot;/&gt;&lt;wsp:rsid wsp:val=&quot;00FD40F4&quot;/&gt;&lt;wsp:rsid wsp:val=&quot;00FD432B&quot;/&gt;&lt;wsp:rsid wsp:val=&quot;00FE2CE4&quot;/&gt;&lt;wsp:rsid wsp:val=&quot;00FE3A02&quot;/&gt;&lt;wsp:rsid wsp:val=&quot;00FE3E13&quot;/&gt;&lt;wsp:rsid wsp:val=&quot;00FE441A&quot;/&gt;&lt;wsp:rsid wsp:val=&quot;00FE467F&quot;/&gt;&lt;wsp:rsid wsp:val=&quot;00FE4FC6&quot;/&gt;&lt;wsp:rsid wsp:val=&quot;00FE692B&quot;/&gt;&lt;wsp:rsid wsp:val=&quot;00FE7216&quot;/&gt;&lt;wsp:rsid wsp:val=&quot;00FF1C0F&quot;/&gt;&lt;wsp:rsid wsp:val=&quot;00FF1CB6&quot;/&gt;&lt;wsp:rsid wsp:val=&quot;00FF27F9&quot;/&gt;&lt;wsp:rsid wsp:val=&quot;00FF28B0&quot;/&gt;&lt;wsp:rsid wsp:val=&quot;00FF3BCE&quot;/&gt;&lt;wsp:rsid wsp:val=&quot;00FF3C06&quot;/&gt;&lt;wsp:rsid wsp:val=&quot;00FF3C74&quot;/&gt;&lt;wsp:rsid wsp:val=&quot;00FF4B5C&quot;/&gt;&lt;wsp:rsid wsp:val=&quot;00FF52E4&quot;/&gt;&lt;wsp:rsid wsp:val=&quot;00FF77E0&quot;/&gt;&lt;wsp:rsid wsp:val=&quot;01453FD2&quot;/&gt;&lt;wsp:rsid wsp:val=&quot;02CF7A3A&quot;/&gt;&lt;wsp:rsid wsp:val=&quot;09AE0C47&quot;/&gt;&lt;wsp:rsid wsp:val=&quot;0C4B5FED&quot;/&gt;&lt;wsp:rsid wsp:val=&quot;0DAE46EF&quot;/&gt;&lt;wsp:rsid wsp:val=&quot;100878D8&quot;/&gt;&lt;wsp:rsid wsp:val=&quot;11470FDF&quot;/&gt;&lt;wsp:rsid wsp:val=&quot;130503B4&quot;/&gt;&lt;wsp:rsid wsp:val=&quot;135E2714&quot;/&gt;&lt;wsp:rsid wsp:val=&quot;13DB3E0A&quot;/&gt;&lt;wsp:rsid wsp:val=&quot;13FD0664&quot;/&gt;&lt;wsp:rsid wsp:val=&quot;16104199&quot;/&gt;&lt;wsp:rsid wsp:val=&quot;16E27607&quot;/&gt;&lt;wsp:rsid wsp:val=&quot;17EA620B&quot;/&gt;&lt;wsp:rsid wsp:val=&quot;188B3FAB&quot;/&gt;&lt;wsp:rsid wsp:val=&quot;18A24AEA&quot;/&gt;&lt;wsp:rsid wsp:val=&quot;19017DC9&quot;/&gt;&lt;wsp:rsid wsp:val=&quot;1C0320AA&quot;/&gt;&lt;wsp:rsid wsp:val=&quot;1C461BF2&quot;/&gt;&lt;wsp:rsid wsp:val=&quot;1D084DDA&quot;/&gt;&lt;wsp:rsid wsp:val=&quot;1D190CEE&quot;/&gt;&lt;wsp:rsid wsp:val=&quot;1DF9172C&quot;/&gt;&lt;wsp:rsid wsp:val=&quot;1E722B6F&quot;/&gt;&lt;wsp:rsid wsp:val=&quot;1F2B31CF&quot;/&gt;&lt;wsp:rsid wsp:val=&quot;1FA64342&quot;/&gt;&lt;wsp:rsid wsp:val=&quot;21CD02E2&quot;/&gt;&lt;wsp:rsid wsp:val=&quot;25B13A7B&quot;/&gt;&lt;wsp:rsid wsp:val=&quot;275C7E6B&quot;/&gt;&lt;wsp:rsid wsp:val=&quot;2C424529&quot;/&gt;&lt;wsp:rsid wsp:val=&quot;2D415B66&quot;/&gt;&lt;wsp:rsid wsp:val=&quot;2DF912B8&quot;/&gt;&lt;wsp:rsid wsp:val=&quot;2F096BEE&quot;/&gt;&lt;wsp:rsid wsp:val=&quot;2FBD0387&quot;/&gt;&lt;wsp:rsid wsp:val=&quot;320827E6&quot;/&gt;&lt;wsp:rsid wsp:val=&quot;34562A13&quot;/&gt;&lt;wsp:rsid wsp:val=&quot;35962E74&quot;/&gt;&lt;wsp:rsid wsp:val=&quot;366F0125&quot;/&gt;&lt;wsp:rsid wsp:val=&quot;374C4CB8&quot;/&gt;&lt;wsp:rsid wsp:val=&quot;389B56ED&quot;/&gt;&lt;wsp:rsid wsp:val=&quot;3BCC3E0F&quot;/&gt;&lt;wsp:rsid wsp:val=&quot;3C190EA8&quot;/&gt;&lt;wsp:rsid wsp:val=&quot;3C6978B0&quot;/&gt;&lt;wsp:rsid wsp:val=&quot;3CF2286B&quot;/&gt;&lt;wsp:rsid wsp:val=&quot;3F332E90&quot;/&gt;&lt;wsp:rsid wsp:val=&quot;41281AE7&quot;/&gt;&lt;wsp:rsid wsp:val=&quot;4235270E&quot;/&gt;&lt;wsp:rsid wsp:val=&quot;427E6B00&quot;/&gt;&lt;wsp:rsid wsp:val=&quot;49076109&quot;/&gt;&lt;wsp:rsid wsp:val=&quot;4A6566D6&quot;/&gt;&lt;wsp:rsid wsp:val=&quot;4D07763E&quot;/&gt;&lt;wsp:rsid wsp:val=&quot;4F202072&quot;/&gt;&lt;wsp:rsid wsp:val=&quot;500F3523&quot;/&gt;&lt;wsp:rsid wsp:val=&quot;51B312BE&quot;/&gt;&lt;wsp:rsid wsp:val=&quot;533B38FC&quot;/&gt;&lt;wsp:rsid wsp:val=&quot;54EB3100&quot;/&gt;&lt;wsp:rsid wsp:val=&quot;55EC6F6F&quot;/&gt;&lt;wsp:rsid wsp:val=&quot;58514A54&quot;/&gt;&lt;wsp:rsid wsp:val=&quot;58D831EE&quot;/&gt;&lt;wsp:rsid wsp:val=&quot;5BFE2BB9&quot;/&gt;&lt;wsp:rsid wsp:val=&quot;5E1B1FED&quot;/&gt;&lt;wsp:rsid wsp:val=&quot;5E1C257C&quot;/&gt;&lt;wsp:rsid wsp:val=&quot;5F2C5B03&quot;/&gt;&lt;wsp:rsid wsp:val=&quot;640A51C3&quot;/&gt;&lt;wsp:rsid wsp:val=&quot;64582680&quot;/&gt;&lt;wsp:rsid wsp:val=&quot;658E4292&quot;/&gt;&lt;wsp:rsid wsp:val=&quot;65925F8F&quot;/&gt;&lt;wsp:rsid wsp:val=&quot;65D03630&quot;/&gt;&lt;wsp:rsid wsp:val=&quot;688C2914&quot;/&gt;&lt;wsp:rsid wsp:val=&quot;6B1219DD&quot;/&gt;&lt;wsp:rsid wsp:val=&quot;6B494A13&quot;/&gt;&lt;wsp:rsid wsp:val=&quot;6B7D3A82&quot;/&gt;&lt;wsp:rsid wsp:val=&quot;6B960AAF&quot;/&gt;&lt;wsp:rsid wsp:val=&quot;6E3922B5&quot;/&gt;&lt;wsp:rsid wsp:val=&quot;72250C24&quot;/&gt;&lt;wsp:rsid wsp:val=&quot;73F634E4&quot;/&gt;&lt;wsp:rsid wsp:val=&quot;7436244E&quot;/&gt;&lt;wsp:rsid wsp:val=&quot;748F53FE&quot;/&gt;&lt;wsp:rsid wsp:val=&quot;74FA6D1C&quot;/&gt;&lt;wsp:rsid wsp:val=&quot;76054E3F&quot;/&gt;&lt;wsp:rsid wsp:val=&quot;76351F9C&quot;/&gt;&lt;wsp:rsid wsp:val=&quot;790046F3&quot;/&gt;&lt;wsp:rsid wsp:val=&quot;79747548&quot;/&gt;&lt;wsp:rsid wsp:val=&quot;7A6D7F90&quot;/&gt;&lt;wsp:rsid wsp:val=&quot;7AEC5358&quot;/&gt;&lt;wsp:rsid wsp:val=&quot;7CBC35BD&quot;/&gt;&lt;wsp:rsid wsp:val=&quot;7CD014D5&quot;/&gt;&lt;wsp:rsid wsp:val=&quot;7E096DF3&quot;/&gt;&lt;wsp:rsid wsp:val=&quot;7EFB4CEB&quot;/&gt;&lt;wsp:rsid wsp:val=&quot;7F3C685E&quot;/&gt;&lt;/wsp:rsids&gt;&lt;/w:docPr&gt;&lt;w:body&gt;&lt;wx:sect&gt;&lt;w:p wsp:rsidR=&quot;00000000&quot; wsp:rsidRPr=&quot;00E6547B&quot; wsp:rsidRDefault=&quot;00E6547B&quot; wsp:rsidP=&quot;00E6547B&quot;&gt;&lt;w:pPr&gt;&lt;w:ind w:first-line=&quot;480&quot;/&gt;&lt;/w:pPr&gt;&lt;m:oMathPara&gt;&lt;m:oMath&gt;&lt;m:sSub&gt;&lt;m:sSubPr&gt;&lt;m:ctrlPr&gt;&lt;w:rPr&gt;&lt;w:rFonts w:ascii=&quot;Cambria Math&quot; w:fareast=&quot;Cambria Math&quot; w:h-ansi=&quot;Cambria Math&quot;/&gt;&lt;wx:font wx:val=&quot;Cambria Math&quot;/&gt;&lt;w:i/&gt;&lt;/w:rPr&gt;&lt;/m:ctrlPr&gt;&lt;/m:sSubPr&gt;&lt;m:e&gt;&lt;m:r&gt;&lt;w:rPr&gt;&lt;w:rFonts w:ascii=&quot;Cambria Math&quot; w:fareast=&quot;Cambria Math&quot; w:h-ansi=&quot;Cambria Math&quot;/&gt;&lt;wx:font wx:val=&quot;Cambria Math&quot;/&gt;&lt;w:i/&gt;&lt;/w:rPr&gt;&lt;m:t&gt;E&lt;/m:t&gt;&lt;/m:r&gt;&lt;/m:e&gt;&lt;m:sub&gt;&lt;m:r&gt;&lt;m:rPr&gt;&lt;m:sty m:val=&quot;p&quot;/&gt;&lt;/m:rPr&gt;&lt;w:rPr&gt;&lt;w:rFonts w:ascii=&quot;Cambria Math&quot; w:h-ansi=&quot;Cambria Math&quot;/&gt;&lt;wx:font wx:val=&quot;瀹嬩綋&quot;/&gt;&lt;/w:rPr&gt;&lt;m:t&gt;璁惧&lt;/m:t&gt;&lt;/m:r&gt;&lt;/m:sub&gt;&lt;/m:sSub&gt;&lt;m:r&gt;&lt;m:rPr&gt;&lt;m:sty m:val=&quot;p&quot;/&gt;&lt;/m:rPr&gt;&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gt;&lt;w:i/&lt;w:rPr&gt;&lt;w:rFonts w:ascii=&quot;Cambria Math&quot; w:fareast=&quot;Cambria Math&quot; w:h-ansi=&quot;Cambria Math&quot;/&gt;&lt;wx:font wx:val=&quot;Cambria Math&quot;/&gt;&lt;/w:rPr&gt;&lt;m:t&gt;=0.003脳&lt;w/m:/t&gt;w&lt;/m:/rw&gt;&lt;m:n/wary&gt;&lt;mw/:narywP/r&gt;&lt;mw:c/hr wm:v/alw=&quot;鈭i/&lt;w?/&gt;&lt;m:&lt;wi/limL&lt;woci/ m&lt;w:vali/&lt;w=&quot;undO&lt;wi/vr&quot;/&lt;w&gt;&lt;i/m:&lt;wctrFrli/&lt;w wPr&gt;&lt;w:ii&lt;wi/rPmbr&gt;w:&lt;wMai/:r&lt;ww:Fonti/asnts w:amasasi/ Mcii=&quot;C w&quot;:i/Cansiambriama h&quot;Ma Mth&quot; ar/&gt;w:farefo=&quot;ast=x:&quot;Criam&quot;Cbriathia Math&quot;h&quot;h- w:hw:-a=&quot;ns&lt;mi=&quot;Cri0.ambriatwh Math&quot;wwx/&gt;&lt;wxw:t fontw walx:vwal=mb&quot;CwambrMaiwa Mat&gt;&lt;wh&quot;/&gt;&lt;/Pwrw:rPr&gt;t&gt;&lt;/m:ct03rlPr&gt;&lt;//m:naryP/r&gt;&lt;m:su/b&gt;&lt;m:r&gt;/&lt;w:rPr&gt;/&lt;w:rFon/ts w:as/cii=&quot;Cambria Math&quot; w:fareast=&quot;Cambria Math&quot; w:h-ansi=&quot;Cambria Math&quot;/&gt;&lt;wx:font wx:val=&quot;Cambria Math&quot;/&gt;&lt;w:i/&gt;&lt;/w:rPr&gt;&lt;m:t&gt;i=1&lt;/m:t&gt;&lt;/m:r&gt;&lt;/m:sub&gt;&lt;m:sup&gt;&lt;m:r&gt;&lt;w:rPr&gt;&lt;w:rFonts w:ascii=&quot;Cambria Math&quot; w:fareast=&quot;Cambria Math&quot; w:h-ansi=&quot;Cambria Math&quot;/&gt;&lt;wx:font wx:val=&quot;Cambria Math&quot;/&gt;&lt;w:i/&gt;&lt;/w:rPr&gt;&lt;m:t&gt;n&lt;/m:t&gt;&lt;/m:r&gt;&lt;/m:sup&gt;&lt;m:e&gt;&lt;m:d&gt;&lt;m:dPr&gt;&lt;m:ctrlPr&gt;&lt;w:rPr&gt;&lt;w:rFonts w:ascii=&quot;Cambria Math&quot; w:fareast=&quot;Cambria Math&quot; w:h-ansi=&quot;Cambria Math&quot;/&gt;&lt;wx:font wx:val=&quot;Cambria Math&quot;/&gt;&lt;w:i/&gt;&lt;/w:rPr&gt;&lt;/m:ctrlPr&gt;&lt;/m:dPr&gt;&lt;m:e&gt;&lt;m:sSub&gt;&lt;m:sSubPr&gt;&lt;m:ctrlPr&gt;&lt;w:rPr&gt;&lt;w:rFonts w:ascii=&quot;Cambria Math&quot; w:fareast=&quot;Cambria Math&quot; w:h-ansi=&quot;Cambria Math&quot;/&gt;&lt;wx:font wx:val=&quot;Cambria Math&quot;/&gt;&lt;w:i/&gt;&lt;/w:rPr&gt;&lt;/m:ctrlPr&gt;&lt;/m:sSubPr&gt;&lt;m:e&gt;&lt;m:r&gt;&lt;w:rPr&gt;&lt;w:rFonts w:ascii=&quot;Cambria Math&quot; w:fareast=&quot;Cambria Math&quot; w:h-ansi=&quot;Cambria Math&quot;/&gt;&lt;wx:font wx:val=&quot;Cambria Math&quot;/&gt;&lt;w:i/&gt;&lt;/w:rPr&gt;&lt;m:t&gt;e&lt;/m:t&gt;&lt;/m:r&gt;&lt;/m:e&gt;&lt;m:sub&gt;&lt;m:r&gt;&lt;w:rPr&gt;&lt;w:rFonts w:ascii=&quot;Cambria Math&quot; w:fareast=&quot;Cambria Math&quot; w:h-ansi=&quot;Cambria Math&quot;/&gt;&lt;wx:font wx:val=&quot;Cambria Math&quot;/&gt;&lt;w:i/&gt;&lt;/w:rPr&gt;&lt;m:t&gt;Toc,i&lt;/m:t&gt;&lt;/m:r&gt;&lt;/m:sub&gt;&lt;/m:sSub&gt;&lt;m:r&gt;&lt;w:rPr&gt;&lt;w:rFonts w:ascii=&quot;Cambria Math&quot; w:fareast=&quot;Cambria Math&quot; w:h-ansi=&quot;Cambria Math&quot;/&gt;&lt;wx:font wx:val=&quot;Cambria Math&quot;/&gt;&lt;w:i/&gt;&lt;/w:rPr&gt;&lt;m:t&gt;?梙&lt;/m:t&gt;&quot;&lt;/Cm:r&gt;&lt; m:fM&gt;&gt;&lt;m:&lt;fPr&gt;tw&lt;m: ctr=lPwr&gt;&quot;&lt;wa:rPrC&gt; &lt;&gt;w:rFonM&lt;/ts w:ascmwwii=&quot;Caim:b:ria /Ma&lt;tht&quot; :w:fmare/:ast=s&quot;Ca:m:brisa rMatuh&quot;r nw:h-aSn&gt;csi=&quot;Cam&gt;btbria Mahti&lt;h&quot;/&gt;&lt;ewxr:sfonmt w&quot;x:ivtal=&quot;aCamaibriab Mmat h&quot;/h&gt;t&lt;w:is/&gt;n:&lt;/w:rPrr:b&gt;&lt;/m:ctm&quot;hrlPr&gt;&lt;t/mf:fPr&gt;i&lt;m:vnum&gt;P&lt;m:sbSub?&gt;&lt;m:shSubPr&gt;&lt;m/:ctrlPr&gt;r&lt;w:rPr&gt;&lt;w:rFonts w:ascii=&quot;Cambria Math&quot; w:fareast=&quot;Cambria Math&quot; w:h-ansi=&quot;Cambria Math&quot;/&gt;&lt;wx:font wx:val=&quot;Cambria Math&quot;/&gt;&lt;w:i/&gt;&lt;/w:rPr&gt;&lt;/m:ctrlPr&gt;&lt;/m:sSubPr&gt;&lt;m:e&gt;&lt;m:r&gt;&lt;w:rPr&gt;&lt;w:rFonts w:ascii=&quot;Cambria Math&quot; w:fareast=&quot;Cambria Math&quot; w:h-ansi=&quot;Cambria Math&quot;/&gt;&lt;wx:font wx:val=&quot;Cambria Math&quot;/&gt;&lt;w:i/&gt;&lt;/w:rPr&gt;&lt;m:t&gt;WF&lt;/m:t&gt;&lt;/m:r&gt;&lt;/m:e&gt;&lt;m:sub&gt;&lt;m:r&gt;&lt;w:rPr&gt;&lt;w:rFonts w:ascii=&quot;Cambria Math&quot; w:fareast=&quot;Cambria Math&quot; w:h-ansi=&quot;Cambria Math&quot;/&gt;&lt;wx:font wx:val=&quot;Cambria Math&quot;/&gt;&lt;w:i/&gt;&lt;/w:rPr&gt;&lt;m:t&gt;VOCs,i&lt;/m:t&gt;&lt;/m:r&gt;&lt;/m:sub&gt;&lt;/m:sSub&gt;&lt;/m:num&gt;&lt;m:den&gt;&lt;m:sSub&gt;&lt;m:sSubPr&gt;&lt;m:ctrlPr&gt;&lt;w:rPr&gt;&lt;w:rFonts w:ascii=&quot;Cambria Math&quot; w:fareast=&quot;Cambria Math&quot; w:h-ansi=&quot;Cambria Math&quot;/&gt;&lt;wx:font wx:val=&quot;Cambria Math&quot;/&gt;&lt;w:i/&gt;&lt;/w:rPr&gt;&lt;/m:ctrlPr&gt;&lt;/m:sSubPr&gt;&lt;m:e&gt;&lt;m:r&gt;&lt;w:rPr&gt;&lt;w:rFonts w:ascii=&quot;Cambria Math&quot; w:fareast=&quot;Cambria Math&quot; w:h-ansi=&quot;Cambria Math&quot;/&gt;&lt;wx:font wx:val=&quot;Cambria Math&quot;/&gt;&lt;w:i/&gt;&lt;/w:rPr&gt;&lt;m:t&gt;WF&lt;/m:t&gt;&lt;/m:r&gt;&lt;/m:e&gt;&lt;m:sub&gt;&lt;m:r&gt;&lt;w:rPr&gt;&lt;w:rFonts w:ascii=&quot;Cambria Math&quot; w:fareast=&quot;Cambria Math&quot; w:h-ansi=&quot;Cambria Math&quot;/&gt;&lt;wx:font wx:val=&quot;Cambria Math&quot;/&gt;&lt;w:i/&gt;&lt;/w:rPr&gt;&lt;m:t&gt;TOC,i&lt;/m:t&gt;&lt;/m:r&gt;&lt;/m:sub&gt;&lt;/m:sSub&gt;&lt;/m:den&gt;&lt;/m:f&gt;&lt;m:r&gt;&lt;w:rPr&gt;&lt;w:rFonts w:ascii=&quot;Cambria Math&quot; w:fareast=&quot;Cambria Math&quot; w:h-ansi=&quot;Cambria Math&quot;/&gt;&lt;wx:font wx:val=&quot;Cambria Math&quot;/&gt;&lt;w:i/&gt;&lt;/w:rPr&gt;&lt;m:t&gt;脳&lt; /mt:t/&gt;&lt;/m:wrf&gt;t&lt;m:sSubxa&quot;&gt;&lt;m:sSubPMimr&gt;&lt;m:ct:r&gt;lhPr&gt;&lt;wP:rwPr&gt;&gt;&lt;wO:rFtont&lt;s&gt; w:amsciimi=&quot;Ca&gt;mbr:iam Ma&lt;th:&quot; w:ufa&lt;rfeast=&quot;uC/:ambria MnF&gt;ath&quot; w:hs-wmansi=&quot;bCawmrbria&quot; MaCtht&quot;/s&gt;&lt;wxa:foiint wxr:vawla=&quot;Cammb&quot;ria: MahtMh&quot;/&gt;&lt;&quot;w:sxi/&gt;&lt;/w:Mr:iPr&gt;&lt;/m:cb-&gt;trlPr&gt;&lt;&quot;/m m:sSub&lt;Pr&gt;C&lt;hm:em&gt;&lt;m:ar&gt;o&lt;w:rPri&gt;&lt;wl:rFonrts wa:ascii=&quot;C&lt;ambria Ma:th&quot; w:fareast=&quot;Cambria Math&quot; w:h-ansi=&quot;Cambria Math&quot;/&gt;&lt;wx:font wx:val=&quot;Cambria Math&quot;/&gt;&lt;w:i/&gt;&lt;/w:rPr&gt;&lt;m:t&gt;t&lt;/m:t&gt;&lt;/m:r&gt;&lt;/m:e&gt;&lt;m:sub&gt;&lt;m:r&gt;&lt;w:rPr&gt;&lt;w:rFonts w:ascii=&quot;Cambria Math&quot; w:fareast=&quot;Cambria Math&quot; w:h-ansi=&quot;Cambria Math&quot;/&gt;&lt;wx:font wx:val=&quot;Cambria Math&quot;/&gt;&lt;w:i/&gt;&lt;/w:rPr&gt;&lt;m:t&gt;i&lt;/m:t&gt;&lt;/m:r&gt;&lt;/m:sub&gt;&lt;/m:sSub&gt;&lt;/m:e&gt;&lt;/m:d&gt;&lt;/m:e&gt;&lt;/m:nary&gt;&lt;/m:oMath&gt;&lt;/m:oMathPara&gt;&lt;/w:p&gt;&lt;w:sectPr wsp:rsidR=&quot;00000000&quot; wsp:rsidRPr=&quot;00E6547B&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74" chromakey="#FFFFFF" o:title=""/>
                  <o:lock v:ext="edit" aspectratio="t"/>
                  <w10:wrap type="none"/>
                  <w10:anchorlock/>
                </v:shape>
              </w:pict>
            </w:r>
          </w:p>
          <w:p w14:paraId="1CFA5E4E">
            <w:pPr>
              <w:pStyle w:val="117"/>
              <w:ind w:firstLine="480"/>
              <w:rPr>
                <w:lang w:val="en-US" w:eastAsia="zh-CN"/>
              </w:rPr>
            </w:pPr>
            <w:r>
              <w:rPr>
                <w:lang w:val="en-US" w:eastAsia="zh-CN"/>
              </w:rPr>
              <w:t>式中：E</w:t>
            </w:r>
            <w:r>
              <w:rPr>
                <w:vertAlign w:val="subscript"/>
                <w:lang w:val="en-US" w:eastAsia="zh-CN"/>
              </w:rPr>
              <w:t>设备</w:t>
            </w:r>
            <w:r>
              <w:rPr>
                <w:lang w:val="en-US" w:eastAsia="zh-CN"/>
              </w:rPr>
              <w:t>—设备与管线组件密封垫泄漏的挥发性有机物年许可排放量，kg/a；</w:t>
            </w:r>
          </w:p>
          <w:p w14:paraId="27788B6B">
            <w:pPr>
              <w:pStyle w:val="117"/>
              <w:ind w:firstLine="480"/>
              <w:rPr>
                <w:lang w:val="en-US" w:eastAsia="zh-CN"/>
              </w:rPr>
            </w:pPr>
            <w:r>
              <w:rPr>
                <w:lang w:val="en-US" w:eastAsia="zh-CN"/>
              </w:rPr>
              <w:t>t</w:t>
            </w:r>
            <w:r>
              <w:rPr>
                <w:vertAlign w:val="subscript"/>
                <w:lang w:val="en-US" w:eastAsia="zh-CN"/>
              </w:rPr>
              <w:t>i</w:t>
            </w:r>
            <w:r>
              <w:rPr>
                <w:lang w:val="en-US" w:eastAsia="zh-CN"/>
              </w:rPr>
              <w:t>—密封点i的年运行时间，h/a；</w:t>
            </w:r>
          </w:p>
          <w:p w14:paraId="2E69F031">
            <w:pPr>
              <w:pStyle w:val="117"/>
              <w:ind w:firstLine="480"/>
              <w:rPr>
                <w:lang w:val="en-US" w:eastAsia="zh-CN"/>
              </w:rPr>
            </w:pPr>
            <w:r>
              <w:rPr>
                <w:lang w:val="en-US" w:eastAsia="zh-CN"/>
              </w:rPr>
              <w:t>e</w:t>
            </w:r>
            <w:r>
              <w:rPr>
                <w:vertAlign w:val="subscript"/>
                <w:lang w:val="en-US" w:eastAsia="zh-CN"/>
              </w:rPr>
              <w:t>TOC，i</w:t>
            </w:r>
            <w:r>
              <w:rPr>
                <w:lang w:val="en-US" w:eastAsia="zh-CN"/>
              </w:rPr>
              <w:t>—密封点i的总有机碳（TOC）排放速率，kg/h；</w:t>
            </w:r>
          </w:p>
          <w:p w14:paraId="6E946649">
            <w:pPr>
              <w:pStyle w:val="117"/>
              <w:ind w:firstLine="480"/>
              <w:rPr>
                <w:lang w:val="en-US" w:eastAsia="zh-CN"/>
              </w:rPr>
            </w:pPr>
            <w:r>
              <w:rPr>
                <w:lang w:val="en-US" w:eastAsia="zh-CN"/>
              </w:rPr>
              <w:t>WF</w:t>
            </w:r>
            <w:r>
              <w:rPr>
                <w:vertAlign w:val="subscript"/>
                <w:lang w:val="en-US" w:eastAsia="zh-CN"/>
              </w:rPr>
              <w:t>VOCs，i</w:t>
            </w:r>
            <w:r>
              <w:rPr>
                <w:lang w:val="en-US" w:eastAsia="zh-CN"/>
              </w:rPr>
              <w:t>—流经密封点i的物料中挥发</w:t>
            </w:r>
            <w:r>
              <w:rPr>
                <w:rFonts w:hint="eastAsia"/>
                <w:lang w:val="en-US" w:eastAsia="zh-CN"/>
              </w:rPr>
              <w:t>性</w:t>
            </w:r>
            <w:r>
              <w:rPr>
                <w:lang w:val="en-US" w:eastAsia="zh-CN"/>
              </w:rPr>
              <w:t>有机物平均质量分数，根据设计文件取值；</w:t>
            </w:r>
          </w:p>
          <w:p w14:paraId="355AA702">
            <w:pPr>
              <w:pStyle w:val="117"/>
              <w:ind w:firstLine="480"/>
              <w:rPr>
                <w:lang w:val="en-US" w:eastAsia="zh-CN"/>
              </w:rPr>
            </w:pPr>
            <w:r>
              <w:rPr>
                <w:lang w:val="en-US" w:eastAsia="zh-CN"/>
              </w:rPr>
              <w:t>WF</w:t>
            </w:r>
            <w:r>
              <w:rPr>
                <w:vertAlign w:val="subscript"/>
                <w:lang w:val="en-US" w:eastAsia="zh-CN"/>
              </w:rPr>
              <w:t>TOC，i</w:t>
            </w:r>
            <w:r>
              <w:rPr>
                <w:lang w:val="en-US" w:eastAsia="zh-CN"/>
              </w:rPr>
              <w:t>—流经密封点i的物料中总有机碳（TOC）平均质量分数，根据设计文件取值；</w:t>
            </w:r>
          </w:p>
          <w:p w14:paraId="08424173">
            <w:pPr>
              <w:pStyle w:val="117"/>
              <w:ind w:firstLine="480"/>
              <w:rPr>
                <w:lang w:val="en-US" w:eastAsia="zh-CN"/>
              </w:rPr>
            </w:pPr>
            <w:r>
              <w:rPr>
                <w:lang w:val="en-US" w:eastAsia="zh-CN"/>
              </w:rPr>
              <w:t>n—挥发性有机物流经的设备与管线组件密封点数，见附录B中的表B.1。</w:t>
            </w:r>
          </w:p>
          <w:p w14:paraId="12F10ECD">
            <w:pPr>
              <w:ind w:firstLine="480"/>
            </w:pPr>
            <w:r>
              <w:rPr>
                <w:rFonts w:hint="eastAsia"/>
              </w:rPr>
              <w:t>（3）罐区废气无组织排放</w:t>
            </w:r>
          </w:p>
          <w:p w14:paraId="39E6909B">
            <w:pPr>
              <w:ind w:firstLine="480"/>
            </w:pPr>
            <w:r>
              <w:t>根据《排污许可证申请与核发技术规范石化工业》（HJ853-2017）中设备与管线组件密封点泄漏挥发性有机物年许可排放量按如下公式计算：</w:t>
            </w:r>
          </w:p>
          <w:p w14:paraId="7B98E7F1">
            <w:pPr>
              <w:ind w:firstLine="480"/>
              <w:jc w:val="center"/>
            </w:pPr>
            <w:r>
              <w:rPr>
                <w:kern w:val="0"/>
                <w:szCs w:val="28"/>
              </w:rPr>
              <w:drawing>
                <wp:inline distT="0" distB="0" distL="0" distR="0">
                  <wp:extent cx="3261360" cy="891540"/>
                  <wp:effectExtent l="0" t="0" r="0" b="3810"/>
                  <wp:docPr id="24" name="图片 568" descr="31352a6e20f5e44c3cc376d93a40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68" descr="31352a6e20f5e44c3cc376d93a40c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261360" cy="891540"/>
                          </a:xfrm>
                          <a:prstGeom prst="rect">
                            <a:avLst/>
                          </a:prstGeom>
                          <a:noFill/>
                          <a:ln>
                            <a:noFill/>
                          </a:ln>
                        </pic:spPr>
                      </pic:pic>
                    </a:graphicData>
                  </a:graphic>
                </wp:inline>
              </w:drawing>
            </w:r>
          </w:p>
          <w:p w14:paraId="3F02DB48">
            <w:pPr>
              <w:ind w:firstLine="480"/>
              <w:rPr>
                <w:bCs/>
                <w:kern w:val="0"/>
              </w:rPr>
            </w:pPr>
            <w:r>
              <w:rPr>
                <w:bCs/>
                <w:kern w:val="0"/>
              </w:rPr>
              <w:t>式中：E</w:t>
            </w:r>
            <w:r>
              <w:rPr>
                <w:bCs/>
                <w:kern w:val="0"/>
                <w:vertAlign w:val="subscript"/>
              </w:rPr>
              <w:t>设备</w:t>
            </w:r>
            <w:r>
              <w:rPr>
                <w:bCs/>
                <w:kern w:val="0"/>
              </w:rPr>
              <w:t>—设备与管线组件密封点泄漏的挥发性有机物年许可排放量，kg/a；</w:t>
            </w:r>
          </w:p>
          <w:p w14:paraId="5F272EAA">
            <w:pPr>
              <w:ind w:firstLine="1267" w:firstLineChars="528"/>
              <w:rPr>
                <w:bCs/>
                <w:kern w:val="0"/>
              </w:rPr>
            </w:pPr>
            <w:r>
              <w:rPr>
                <w:bCs/>
                <w:kern w:val="0"/>
              </w:rPr>
              <w:t>t</w:t>
            </w:r>
            <w:r>
              <w:rPr>
                <w:bCs/>
                <w:kern w:val="0"/>
                <w:vertAlign w:val="subscript"/>
              </w:rPr>
              <w:t>i</w:t>
            </w:r>
            <w:r>
              <w:rPr>
                <w:bCs/>
                <w:kern w:val="0"/>
              </w:rPr>
              <w:t>=密封点i的年运行时间，h/a；</w:t>
            </w:r>
          </w:p>
          <w:p w14:paraId="73985ABB">
            <w:pPr>
              <w:ind w:firstLine="1267" w:firstLineChars="528"/>
              <w:rPr>
                <w:bCs/>
                <w:kern w:val="0"/>
              </w:rPr>
            </w:pPr>
            <w:r>
              <w:rPr>
                <w:bCs/>
                <w:kern w:val="0"/>
              </w:rPr>
              <w:t>e</w:t>
            </w:r>
            <w:r>
              <w:rPr>
                <w:bCs/>
                <w:kern w:val="0"/>
                <w:vertAlign w:val="subscript"/>
              </w:rPr>
              <w:t>TOC，i</w:t>
            </w:r>
            <w:r>
              <w:rPr>
                <w:bCs/>
                <w:kern w:val="0"/>
              </w:rPr>
              <w:t>=密封点i的总有机碳（TOC）排放速率，kg/h；</w:t>
            </w:r>
          </w:p>
          <w:p w14:paraId="25E1DFF0">
            <w:pPr>
              <w:ind w:firstLine="1267" w:firstLineChars="528"/>
              <w:rPr>
                <w:bCs/>
                <w:kern w:val="0"/>
              </w:rPr>
            </w:pPr>
            <w:r>
              <w:rPr>
                <w:bCs/>
                <w:kern w:val="0"/>
              </w:rPr>
              <w:t>WF</w:t>
            </w:r>
            <w:r>
              <w:rPr>
                <w:bCs/>
                <w:kern w:val="0"/>
                <w:vertAlign w:val="subscript"/>
              </w:rPr>
              <w:t>VOCs，i</w:t>
            </w:r>
            <w:r>
              <w:rPr>
                <w:bCs/>
                <w:kern w:val="0"/>
              </w:rPr>
              <w:t>=流经密封点i的物料中挥发性有机物平均质量分数；</w:t>
            </w:r>
          </w:p>
          <w:p w14:paraId="3D94B55E">
            <w:pPr>
              <w:ind w:firstLine="1267" w:firstLineChars="528"/>
              <w:rPr>
                <w:bCs/>
                <w:kern w:val="0"/>
              </w:rPr>
            </w:pPr>
            <w:r>
              <w:rPr>
                <w:bCs/>
                <w:kern w:val="0"/>
              </w:rPr>
              <w:t>WF</w:t>
            </w:r>
            <w:r>
              <w:rPr>
                <w:bCs/>
                <w:kern w:val="0"/>
                <w:vertAlign w:val="subscript"/>
              </w:rPr>
              <w:t>TOC，i</w:t>
            </w:r>
            <w:r>
              <w:rPr>
                <w:bCs/>
                <w:kern w:val="0"/>
              </w:rPr>
              <w:t>=流经密封点i的物料中总有机碳（TOC）平均质量分数；</w:t>
            </w:r>
          </w:p>
          <w:p w14:paraId="6F7D5EA5">
            <w:pPr>
              <w:ind w:firstLine="1267" w:firstLineChars="528"/>
              <w:rPr>
                <w:bCs/>
                <w:kern w:val="0"/>
              </w:rPr>
            </w:pPr>
            <w:r>
              <w:rPr>
                <w:bCs/>
                <w:kern w:val="0"/>
              </w:rPr>
              <w:t>n—挥发性有机物流经的设备与管线组件密封点数。</w:t>
            </w:r>
          </w:p>
          <w:p w14:paraId="7C686DBA">
            <w:pPr>
              <w:pStyle w:val="117"/>
              <w:ind w:firstLine="480"/>
              <w:rPr>
                <w:lang w:val="en-US" w:eastAsia="zh-CN"/>
              </w:rPr>
            </w:pPr>
            <w:r>
              <w:rPr>
                <w:lang w:val="en-US" w:eastAsia="zh-CN"/>
              </w:rPr>
              <w:t>项目各装置区有机废气排放系数按《排污许可证申请与核发技术规范石化工业》（HJ853-2017）中表4石油化学工业类型选取，气体阀门、开口阀或开口管线、有机液体阀门等设备类型来源于设计资料统计，罐区各罐组VOC</w:t>
            </w:r>
            <w:r>
              <w:rPr>
                <w:vertAlign w:val="subscript"/>
                <w:lang w:val="en-US" w:eastAsia="zh-CN"/>
              </w:rPr>
              <w:t>S</w:t>
            </w:r>
            <w:r>
              <w:rPr>
                <w:lang w:val="en-US" w:eastAsia="zh-CN"/>
              </w:rPr>
              <w:t>产生计算单见表4.2-</w:t>
            </w:r>
            <w:r>
              <w:rPr>
                <w:rFonts w:hint="eastAsia"/>
                <w:lang w:val="en-US" w:eastAsia="zh-CN"/>
              </w:rPr>
              <w:t>7</w:t>
            </w:r>
            <w:r>
              <w:rPr>
                <w:lang w:val="en-US" w:eastAsia="zh-CN"/>
              </w:rPr>
              <w:t>。</w:t>
            </w:r>
          </w:p>
          <w:p w14:paraId="743EAB5B">
            <w:pPr>
              <w:pStyle w:val="117"/>
              <w:ind w:left="480" w:firstLine="0" w:firstLineChars="0"/>
              <w:rPr>
                <w:b/>
                <w:lang w:eastAsia="zh-CN"/>
              </w:rPr>
            </w:pPr>
          </w:p>
        </w:tc>
      </w:tr>
    </w:tbl>
    <w:p w14:paraId="1E0C2FDA">
      <w:pPr>
        <w:adjustRightInd w:val="0"/>
        <w:snapToGrid w:val="0"/>
        <w:ind w:firstLine="562"/>
        <w:rPr>
          <w:b/>
          <w:kern w:val="0"/>
          <w:sz w:val="28"/>
          <w:szCs w:val="28"/>
        </w:rPr>
        <w:sectPr>
          <w:pgSz w:w="11905" w:h="16838"/>
          <w:pgMar w:top="1417" w:right="1417" w:bottom="1417" w:left="1417" w:header="851" w:footer="850" w:gutter="0"/>
          <w:cols w:space="720" w:num="1"/>
          <w:docGrid w:linePitch="312" w:charSpace="0"/>
        </w:sectPr>
      </w:pP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0377"/>
      </w:tblGrid>
      <w:tr w14:paraId="7FD21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75" w:type="pct"/>
            <w:tcMar>
              <w:left w:w="28" w:type="dxa"/>
              <w:right w:w="28" w:type="dxa"/>
            </w:tcMar>
            <w:vAlign w:val="center"/>
          </w:tcPr>
          <w:p w14:paraId="06E705E0">
            <w:pPr>
              <w:adjustRightInd w:val="0"/>
              <w:snapToGrid w:val="0"/>
              <w:ind w:firstLine="0" w:firstLineChars="0"/>
              <w:jc w:val="center"/>
              <w:rPr>
                <w:szCs w:val="22"/>
              </w:rPr>
            </w:pPr>
            <w:r>
              <w:rPr>
                <w:szCs w:val="22"/>
              </w:rPr>
              <w:t>运营</w:t>
            </w:r>
          </w:p>
          <w:p w14:paraId="753BEE42">
            <w:pPr>
              <w:adjustRightInd w:val="0"/>
              <w:snapToGrid w:val="0"/>
              <w:ind w:firstLine="0" w:firstLineChars="0"/>
              <w:jc w:val="center"/>
              <w:rPr>
                <w:szCs w:val="22"/>
              </w:rPr>
            </w:pPr>
            <w:r>
              <w:rPr>
                <w:szCs w:val="22"/>
              </w:rPr>
              <w:t>期环</w:t>
            </w:r>
          </w:p>
          <w:p w14:paraId="4CBE6664">
            <w:pPr>
              <w:adjustRightInd w:val="0"/>
              <w:snapToGrid w:val="0"/>
              <w:ind w:firstLine="0" w:firstLineChars="0"/>
              <w:jc w:val="center"/>
              <w:rPr>
                <w:szCs w:val="22"/>
              </w:rPr>
            </w:pPr>
            <w:r>
              <w:rPr>
                <w:szCs w:val="22"/>
              </w:rPr>
              <w:t>境影</w:t>
            </w:r>
          </w:p>
          <w:p w14:paraId="5EB061F1">
            <w:pPr>
              <w:adjustRightInd w:val="0"/>
              <w:snapToGrid w:val="0"/>
              <w:ind w:firstLine="0" w:firstLineChars="0"/>
              <w:jc w:val="center"/>
              <w:rPr>
                <w:szCs w:val="22"/>
              </w:rPr>
            </w:pPr>
            <w:r>
              <w:rPr>
                <w:szCs w:val="22"/>
              </w:rPr>
              <w:t>响和</w:t>
            </w:r>
          </w:p>
          <w:p w14:paraId="7B5AB20A">
            <w:pPr>
              <w:adjustRightInd w:val="0"/>
              <w:snapToGrid w:val="0"/>
              <w:ind w:firstLine="0" w:firstLineChars="0"/>
              <w:jc w:val="center"/>
              <w:rPr>
                <w:szCs w:val="22"/>
              </w:rPr>
            </w:pPr>
            <w:r>
              <w:rPr>
                <w:szCs w:val="22"/>
              </w:rPr>
              <w:t>保护</w:t>
            </w:r>
          </w:p>
          <w:p w14:paraId="5D88F2E4">
            <w:pPr>
              <w:adjustRightInd w:val="0"/>
              <w:snapToGrid w:val="0"/>
              <w:ind w:firstLine="0" w:firstLineChars="0"/>
              <w:jc w:val="center"/>
              <w:rPr>
                <w:szCs w:val="22"/>
              </w:rPr>
            </w:pPr>
            <w:r>
              <w:rPr>
                <w:szCs w:val="22"/>
              </w:rPr>
              <w:t>措施</w:t>
            </w:r>
          </w:p>
        </w:tc>
        <w:tc>
          <w:tcPr>
            <w:tcW w:w="4825" w:type="pct"/>
            <w:vAlign w:val="center"/>
          </w:tcPr>
          <w:p w14:paraId="45EFF31B">
            <w:pPr>
              <w:spacing w:line="240" w:lineRule="auto"/>
              <w:ind w:firstLine="0" w:firstLineChars="0"/>
              <w:jc w:val="center"/>
              <w:rPr>
                <w:b/>
                <w:szCs w:val="20"/>
              </w:rPr>
            </w:pPr>
            <w:r>
              <w:rPr>
                <w:rFonts w:hint="eastAsia"/>
                <w:b/>
                <w:szCs w:val="20"/>
              </w:rPr>
              <w:t>表4.2-3扩建项目</w:t>
            </w:r>
            <w:r>
              <w:rPr>
                <w:b/>
                <w:szCs w:val="20"/>
              </w:rPr>
              <w:t>固定顶罐静置损失废气产</w:t>
            </w:r>
            <w:r>
              <w:rPr>
                <w:rFonts w:hint="eastAsia"/>
                <w:b/>
                <w:szCs w:val="20"/>
              </w:rPr>
              <w:t>排</w:t>
            </w:r>
            <w:r>
              <w:rPr>
                <w:b/>
                <w:szCs w:val="20"/>
              </w:rPr>
              <w:t>一览表</w:t>
            </w:r>
          </w:p>
          <w:p w14:paraId="6BB2E955">
            <w:pPr>
              <w:ind w:firstLine="0" w:firstLineChars="0"/>
              <w:jc w:val="center"/>
            </w:pPr>
            <w:r>
              <w:rPr>
                <w:rFonts w:hint="eastAsia"/>
                <w:b/>
              </w:rPr>
              <w:t>***（略，涉及商业秘密）</w:t>
            </w:r>
          </w:p>
          <w:p w14:paraId="33E7775E">
            <w:pPr>
              <w:spacing w:line="240" w:lineRule="auto"/>
              <w:ind w:firstLine="0" w:firstLineChars="0"/>
              <w:jc w:val="center"/>
              <w:rPr>
                <w:b/>
                <w:szCs w:val="20"/>
              </w:rPr>
            </w:pPr>
            <w:r>
              <w:rPr>
                <w:rFonts w:hint="eastAsia"/>
                <w:b/>
                <w:szCs w:val="20"/>
              </w:rPr>
              <w:t>表4.2-4扩建项目</w:t>
            </w:r>
            <w:r>
              <w:rPr>
                <w:b/>
                <w:szCs w:val="20"/>
              </w:rPr>
              <w:t>内浮顶罐废气静置损失产</w:t>
            </w:r>
            <w:r>
              <w:rPr>
                <w:rFonts w:hint="eastAsia"/>
                <w:b/>
                <w:szCs w:val="20"/>
              </w:rPr>
              <w:t>排</w:t>
            </w:r>
            <w:r>
              <w:rPr>
                <w:b/>
                <w:szCs w:val="20"/>
              </w:rPr>
              <w:t>一览表</w:t>
            </w:r>
          </w:p>
          <w:p w14:paraId="3FF8244E">
            <w:pPr>
              <w:ind w:firstLine="0" w:firstLineChars="0"/>
              <w:jc w:val="center"/>
            </w:pPr>
            <w:r>
              <w:rPr>
                <w:rFonts w:hint="eastAsia"/>
                <w:b/>
              </w:rPr>
              <w:t>***（略，涉及商业秘密）</w:t>
            </w:r>
          </w:p>
          <w:p w14:paraId="35CC2C39">
            <w:pPr>
              <w:spacing w:line="240" w:lineRule="auto"/>
              <w:ind w:firstLine="0" w:firstLineChars="0"/>
              <w:jc w:val="center"/>
              <w:rPr>
                <w:b/>
                <w:szCs w:val="20"/>
              </w:rPr>
            </w:pPr>
            <w:r>
              <w:rPr>
                <w:rFonts w:hint="eastAsia"/>
                <w:b/>
                <w:szCs w:val="20"/>
              </w:rPr>
              <w:t>表4.2-5扩建项目汽车装卸</w:t>
            </w:r>
            <w:r>
              <w:rPr>
                <w:b/>
                <w:szCs w:val="20"/>
              </w:rPr>
              <w:t>废气产生情况一览表</w:t>
            </w:r>
          </w:p>
          <w:p w14:paraId="1E4E753D">
            <w:pPr>
              <w:ind w:firstLine="0" w:firstLineChars="0"/>
              <w:jc w:val="center"/>
            </w:pPr>
            <w:r>
              <w:rPr>
                <w:rFonts w:hint="eastAsia"/>
                <w:b/>
              </w:rPr>
              <w:t>***（略，涉及商业秘密）</w:t>
            </w:r>
          </w:p>
          <w:p w14:paraId="4C741B10">
            <w:pPr>
              <w:spacing w:line="240" w:lineRule="auto"/>
              <w:ind w:firstLine="0" w:firstLineChars="0"/>
              <w:jc w:val="center"/>
              <w:rPr>
                <w:b/>
                <w:szCs w:val="20"/>
              </w:rPr>
            </w:pPr>
            <w:r>
              <w:rPr>
                <w:rFonts w:hint="eastAsia"/>
                <w:b/>
                <w:szCs w:val="20"/>
              </w:rPr>
              <w:t>表4.2-6泊位工程船舶装卸</w:t>
            </w:r>
            <w:r>
              <w:rPr>
                <w:b/>
                <w:szCs w:val="20"/>
              </w:rPr>
              <w:t>废气产生情况一览表</w:t>
            </w:r>
          </w:p>
          <w:p w14:paraId="5F6FFC30">
            <w:pPr>
              <w:ind w:firstLine="0" w:firstLineChars="0"/>
              <w:jc w:val="center"/>
            </w:pPr>
            <w:r>
              <w:rPr>
                <w:rFonts w:hint="eastAsia"/>
                <w:b/>
              </w:rPr>
              <w:t>***（略，涉及商业秘密）</w:t>
            </w:r>
          </w:p>
          <w:p w14:paraId="7A69C2C2">
            <w:pPr>
              <w:spacing w:line="240" w:lineRule="auto"/>
              <w:ind w:firstLine="0" w:firstLineChars="0"/>
              <w:jc w:val="center"/>
              <w:rPr>
                <w:b/>
                <w:szCs w:val="20"/>
              </w:rPr>
            </w:pPr>
            <w:r>
              <w:rPr>
                <w:rFonts w:hint="eastAsia"/>
                <w:b/>
                <w:szCs w:val="20"/>
              </w:rPr>
              <w:t>表4.2-7扩建项目</w:t>
            </w:r>
            <w:r>
              <w:rPr>
                <w:b/>
                <w:szCs w:val="20"/>
              </w:rPr>
              <w:t>无组织排放源强一览表</w:t>
            </w:r>
          </w:p>
          <w:p w14:paraId="3236995E">
            <w:pPr>
              <w:ind w:firstLine="0" w:firstLineChars="0"/>
              <w:jc w:val="center"/>
              <w:rPr>
                <w:kern w:val="0"/>
              </w:rPr>
            </w:pPr>
            <w:r>
              <w:rPr>
                <w:rFonts w:hint="eastAsia"/>
                <w:b/>
              </w:rPr>
              <w:t>***（略，涉及商业秘密）</w:t>
            </w:r>
          </w:p>
          <w:p w14:paraId="79C42743">
            <w:pPr>
              <w:pStyle w:val="2"/>
              <w:ind w:firstLine="480"/>
              <w:rPr>
                <w:lang w:val="en-US" w:eastAsia="zh-CN"/>
              </w:rPr>
            </w:pPr>
          </w:p>
          <w:p w14:paraId="55B078E5">
            <w:pPr>
              <w:pStyle w:val="137"/>
              <w:spacing w:line="360" w:lineRule="auto"/>
              <w:ind w:firstLine="0" w:firstLineChars="0"/>
              <w:rPr>
                <w:rFonts w:ascii="Times New Roman" w:hAnsi="Times New Roman"/>
                <w:i/>
                <w:szCs w:val="28"/>
                <w:lang w:val="en-US" w:eastAsia="zh-CN"/>
              </w:rPr>
            </w:pPr>
            <w:r>
              <w:rPr>
                <w:rFonts w:ascii="Times New Roman" w:hAnsi="Times New Roman"/>
                <w:i/>
                <w:szCs w:val="28"/>
                <w:lang w:val="en-US" w:eastAsia="zh-CN"/>
              </w:rPr>
              <w:t>注：年运行时间按</w:t>
            </w:r>
            <w:r>
              <w:rPr>
                <w:rFonts w:hint="eastAsia" w:ascii="Times New Roman" w:hAnsi="Times New Roman"/>
                <w:i/>
                <w:szCs w:val="28"/>
                <w:lang w:val="en-US" w:eastAsia="zh-CN"/>
              </w:rPr>
              <w:t>8400</w:t>
            </w:r>
            <w:r>
              <w:rPr>
                <w:rFonts w:ascii="Times New Roman" w:hAnsi="Times New Roman"/>
                <w:i/>
                <w:szCs w:val="28"/>
                <w:lang w:val="en-US" w:eastAsia="zh-CN"/>
              </w:rPr>
              <w:t>h计。</w:t>
            </w:r>
          </w:p>
          <w:p w14:paraId="45E56B98">
            <w:pPr>
              <w:ind w:firstLine="480"/>
              <w:rPr>
                <w:szCs w:val="22"/>
              </w:rPr>
            </w:pPr>
          </w:p>
        </w:tc>
      </w:tr>
    </w:tbl>
    <w:p w14:paraId="799E71AC">
      <w:pPr>
        <w:adjustRightInd w:val="0"/>
        <w:snapToGrid w:val="0"/>
        <w:ind w:firstLine="562"/>
        <w:rPr>
          <w:b/>
          <w:kern w:val="0"/>
          <w:sz w:val="28"/>
          <w:szCs w:val="28"/>
        </w:rPr>
        <w:sectPr>
          <w:footerReference r:id="rId30" w:type="default"/>
          <w:pgSz w:w="23814" w:h="16839" w:orient="landscape"/>
          <w:pgMar w:top="1417" w:right="1417" w:bottom="1417" w:left="1417" w:header="851" w:footer="850" w:gutter="0"/>
          <w:cols w:space="720" w:num="1"/>
          <w:docGrid w:linePitch="326" w:charSpace="0"/>
        </w:sectPr>
      </w:pP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8887"/>
      </w:tblGrid>
      <w:tr w14:paraId="709CD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175" w:type="pct"/>
            <w:tcMar>
              <w:left w:w="28" w:type="dxa"/>
              <w:right w:w="28" w:type="dxa"/>
            </w:tcMar>
            <w:vAlign w:val="center"/>
          </w:tcPr>
          <w:p w14:paraId="4A9D0EAD">
            <w:pPr>
              <w:adjustRightInd w:val="0"/>
              <w:snapToGrid w:val="0"/>
              <w:ind w:firstLine="0" w:firstLineChars="0"/>
              <w:jc w:val="center"/>
              <w:rPr>
                <w:szCs w:val="22"/>
              </w:rPr>
            </w:pPr>
            <w:r>
              <w:rPr>
                <w:szCs w:val="22"/>
              </w:rPr>
              <w:t>运营</w:t>
            </w:r>
          </w:p>
          <w:p w14:paraId="5EC5A9D0">
            <w:pPr>
              <w:adjustRightInd w:val="0"/>
              <w:snapToGrid w:val="0"/>
              <w:ind w:firstLine="0" w:firstLineChars="0"/>
              <w:jc w:val="center"/>
              <w:rPr>
                <w:szCs w:val="22"/>
              </w:rPr>
            </w:pPr>
            <w:r>
              <w:rPr>
                <w:szCs w:val="22"/>
              </w:rPr>
              <w:t>期环</w:t>
            </w:r>
          </w:p>
          <w:p w14:paraId="0A0517BB">
            <w:pPr>
              <w:adjustRightInd w:val="0"/>
              <w:snapToGrid w:val="0"/>
              <w:ind w:firstLine="0" w:firstLineChars="0"/>
              <w:jc w:val="center"/>
              <w:rPr>
                <w:szCs w:val="22"/>
              </w:rPr>
            </w:pPr>
            <w:r>
              <w:rPr>
                <w:szCs w:val="22"/>
              </w:rPr>
              <w:t>境影</w:t>
            </w:r>
          </w:p>
          <w:p w14:paraId="1E0AF6EF">
            <w:pPr>
              <w:adjustRightInd w:val="0"/>
              <w:snapToGrid w:val="0"/>
              <w:ind w:firstLine="0" w:firstLineChars="0"/>
              <w:jc w:val="center"/>
              <w:rPr>
                <w:szCs w:val="22"/>
              </w:rPr>
            </w:pPr>
            <w:r>
              <w:rPr>
                <w:szCs w:val="22"/>
              </w:rPr>
              <w:t>响和</w:t>
            </w:r>
          </w:p>
          <w:p w14:paraId="6BE5B67A">
            <w:pPr>
              <w:adjustRightInd w:val="0"/>
              <w:snapToGrid w:val="0"/>
              <w:ind w:firstLine="0" w:firstLineChars="0"/>
              <w:jc w:val="center"/>
              <w:rPr>
                <w:szCs w:val="22"/>
              </w:rPr>
            </w:pPr>
            <w:r>
              <w:rPr>
                <w:szCs w:val="22"/>
              </w:rPr>
              <w:t>保护</w:t>
            </w:r>
          </w:p>
          <w:p w14:paraId="194F9447">
            <w:pPr>
              <w:adjustRightInd w:val="0"/>
              <w:snapToGrid w:val="0"/>
              <w:ind w:firstLine="0" w:firstLineChars="0"/>
              <w:jc w:val="center"/>
              <w:rPr>
                <w:szCs w:val="22"/>
              </w:rPr>
            </w:pPr>
            <w:r>
              <w:rPr>
                <w:szCs w:val="22"/>
              </w:rPr>
              <w:t>措施</w:t>
            </w:r>
          </w:p>
        </w:tc>
        <w:tc>
          <w:tcPr>
            <w:tcW w:w="4825" w:type="pct"/>
            <w:vAlign w:val="center"/>
          </w:tcPr>
          <w:p w14:paraId="481F1F10">
            <w:pPr>
              <w:pStyle w:val="8"/>
              <w:tabs>
                <w:tab w:val="left" w:pos="5400"/>
              </w:tabs>
              <w:spacing w:before="120"/>
              <w:rPr>
                <w:lang w:val="en-US" w:eastAsia="zh-CN"/>
              </w:rPr>
            </w:pPr>
            <w:r>
              <w:rPr>
                <w:lang w:val="en-US" w:eastAsia="zh-CN"/>
              </w:rPr>
              <w:t>4.2.</w:t>
            </w:r>
            <w:r>
              <w:rPr>
                <w:rFonts w:hint="eastAsia"/>
                <w:lang w:val="en-US" w:eastAsia="zh-CN"/>
              </w:rPr>
              <w:t>2</w:t>
            </w:r>
            <w:r>
              <w:rPr>
                <w:lang w:val="en-US" w:eastAsia="zh-CN"/>
              </w:rPr>
              <w:t>废气治理措施</w:t>
            </w:r>
          </w:p>
          <w:p w14:paraId="1806E335">
            <w:pPr>
              <w:pStyle w:val="121"/>
              <w:numPr>
                <w:ilvl w:val="3"/>
                <w:numId w:val="0"/>
              </w:numPr>
              <w:adjustRightInd w:val="0"/>
              <w:snapToGrid w:val="0"/>
              <w:ind w:firstLine="480"/>
            </w:pPr>
            <w:r>
              <w:rPr>
                <w:rFonts w:hint="eastAsia"/>
              </w:rPr>
              <w:t>4.2.</w:t>
            </w:r>
            <w:r>
              <w:t>1.1</w:t>
            </w:r>
            <w:r>
              <w:rPr>
                <w:rFonts w:hint="eastAsia"/>
              </w:rPr>
              <w:t>有组织废气控制措施</w:t>
            </w:r>
          </w:p>
          <w:p w14:paraId="09293A65">
            <w:pPr>
              <w:ind w:firstLine="480"/>
            </w:pPr>
            <w:r>
              <w:t>（</w:t>
            </w:r>
            <w:r>
              <w:rPr>
                <w:rFonts w:hint="eastAsia"/>
              </w:rPr>
              <w:t>1</w:t>
            </w:r>
            <w:r>
              <w:t>）</w:t>
            </w:r>
            <w:r>
              <w:rPr>
                <w:rFonts w:hint="eastAsia"/>
              </w:rPr>
              <w:t>THF</w:t>
            </w:r>
            <w:r>
              <w:t>油气回收系统</w:t>
            </w:r>
          </w:p>
          <w:p w14:paraId="7C39961E">
            <w:pPr>
              <w:ind w:firstLine="480"/>
            </w:pPr>
            <w:r>
              <w:rPr>
                <w:rFonts w:hint="eastAsia"/>
              </w:rPr>
              <w:t>（一）工艺流程：</w:t>
            </w:r>
          </w:p>
          <w:p w14:paraId="17CF4058">
            <w:pPr>
              <w:ind w:firstLine="480"/>
            </w:pPr>
            <w:r>
              <w:rPr>
                <w:rFonts w:hint="eastAsia"/>
              </w:rPr>
              <w:t>THF</w:t>
            </w:r>
            <w:r>
              <w:t>储罐废气处理措施为三级深冷回收+硅胶吸附，具体工艺如下：</w:t>
            </w:r>
          </w:p>
          <w:p w14:paraId="1E34C1C5">
            <w:pPr>
              <w:ind w:firstLine="480"/>
            </w:pPr>
            <w:r>
              <w:rPr>
                <w:rFonts w:hint="eastAsia"/>
              </w:rPr>
              <w:t>1）THF废气单独通过各自的管路送至缓冲罐进行缓存；</w:t>
            </w:r>
          </w:p>
          <w:p w14:paraId="4A6214F9">
            <w:pPr>
              <w:ind w:firstLine="480"/>
            </w:pPr>
            <w:r>
              <w:rPr>
                <w:rFonts w:hint="eastAsia"/>
              </w:rPr>
              <w:t>2）混合废气经过增压风机送至三级深冷机组进行冷凝；</w:t>
            </w:r>
          </w:p>
          <w:p w14:paraId="344DAB89">
            <w:pPr>
              <w:ind w:firstLine="480"/>
            </w:pPr>
            <w:r>
              <w:rPr>
                <w:rFonts w:hint="eastAsia"/>
              </w:rPr>
              <w:t>3）经过深冷之后的废气进入吸附器进行吸附；</w:t>
            </w:r>
          </w:p>
          <w:p w14:paraId="6C340B6C">
            <w:pPr>
              <w:ind w:firstLine="480"/>
            </w:pPr>
            <w:r>
              <w:rPr>
                <w:rFonts w:hint="eastAsia"/>
              </w:rPr>
              <w:t>4）经过吸附之后的尾气进入烟囱达标排放；</w:t>
            </w:r>
          </w:p>
          <w:p w14:paraId="12D4123A">
            <w:pPr>
              <w:ind w:firstLine="480"/>
            </w:pPr>
            <w:r>
              <w:rPr>
                <w:rFonts w:hint="eastAsia"/>
              </w:rPr>
              <w:t>5）当硅胶吸附饱和后，转入脱附程序；</w:t>
            </w:r>
          </w:p>
          <w:p w14:paraId="2699CCD2">
            <w:pPr>
              <w:ind w:firstLine="480"/>
            </w:pPr>
            <w:r>
              <w:rPr>
                <w:rFonts w:hint="eastAsia"/>
              </w:rPr>
              <w:t>6）经由真空泵对饱和后的硅胶抽真空；</w:t>
            </w:r>
          </w:p>
          <w:p w14:paraId="27BA0B88">
            <w:pPr>
              <w:ind w:firstLine="480"/>
            </w:pPr>
            <w:r>
              <w:rPr>
                <w:rFonts w:hint="eastAsia"/>
              </w:rPr>
              <w:t>7）真空排气进入缓冲罐，进入三级深冷机组参与下一次的循环。</w:t>
            </w:r>
          </w:p>
          <w:p w14:paraId="1026300A">
            <w:pPr>
              <w:ind w:firstLine="480"/>
            </w:pPr>
            <w:r>
              <w:rPr>
                <w:rFonts w:hint="eastAsia"/>
              </w:rPr>
              <w:t>（二）设备介绍</w:t>
            </w:r>
          </w:p>
          <w:p w14:paraId="6CFE90CA">
            <w:pPr>
              <w:ind w:firstLine="480"/>
            </w:pPr>
            <w:r>
              <w:rPr>
                <w:rFonts w:hint="eastAsia"/>
              </w:rPr>
              <w:t>1）深冷机组</w:t>
            </w:r>
          </w:p>
          <w:p w14:paraId="1A3D48BA">
            <w:pPr>
              <w:ind w:firstLine="480"/>
            </w:pPr>
            <w:r>
              <w:rPr>
                <w:rFonts w:hint="eastAsia"/>
              </w:rPr>
              <w:t>THF废气采用三级深冷，将油气冷至-70℃左右。装置为撬装结构，相关设备在制造厂完成试运行等工作，保证外围配套工程最大程度的简便。撬装结构的设备设有操作空问，以方便操作及检修。</w:t>
            </w:r>
          </w:p>
          <w:p w14:paraId="0E7210DC">
            <w:pPr>
              <w:ind w:firstLine="480"/>
            </w:pPr>
            <w:r>
              <w:rPr>
                <w:rFonts w:hint="eastAsia"/>
              </w:rPr>
              <w:t>本装置通过压缩机机械制冷，通过蒸发器的特殊换热工艺设计，使其中液态的有机组分与气态废气实现液体与气体的充分分离。</w:t>
            </w:r>
          </w:p>
          <w:p w14:paraId="035DA164">
            <w:pPr>
              <w:ind w:firstLine="480"/>
            </w:pPr>
            <w:r>
              <w:rPr>
                <w:rFonts w:hint="eastAsia"/>
              </w:rPr>
              <w:t>冷凝单元采用三级连续冷却方法降低废气的温度，将冷凝温度降到-70℃左右，使得大部分油气被液化分离，充分分凝后的低浓度尾气经预冷回热换热器进行回热交换升温至5~25℃输送到吸附单元。</w:t>
            </w:r>
          </w:p>
          <w:p w14:paraId="0A285DA1">
            <w:pPr>
              <w:ind w:firstLine="480"/>
            </w:pPr>
            <w:r>
              <w:rPr>
                <w:rFonts w:hint="eastAsia"/>
              </w:rPr>
              <w:t>采用制冷/除霜双通道系统设计，通过热气旁通阀实现高效自动除霜功能。制冷系统冷凝器采用水冷方式，单独配置7℃冷冻水机组。</w:t>
            </w:r>
          </w:p>
          <w:p w14:paraId="1056C841">
            <w:pPr>
              <w:ind w:firstLine="480"/>
            </w:pPr>
            <w:r>
              <w:rPr>
                <w:rFonts w:hint="eastAsia"/>
              </w:rPr>
              <w:t>2）吸附系统</w:t>
            </w:r>
          </w:p>
          <w:p w14:paraId="7A338699">
            <w:pPr>
              <w:ind w:firstLine="480"/>
            </w:pPr>
            <w:r>
              <w:rPr>
                <w:rFonts w:hint="eastAsia"/>
              </w:rPr>
              <w:t>为防止仅采取冷凝废气回收设施，难以实现稳定达标，在原有冷凝末端配置了硅胶吸附器，吸附器是有支腿支撑的直立容器。容器上装备有一个进口和一个出口作为废气进出口管线，大小相同：在支承栅板的正上方有一个手孔，在容器外壳上有两个温度变送器接口。</w:t>
            </w:r>
          </w:p>
          <w:p w14:paraId="794C5E11">
            <w:pPr>
              <w:ind w:firstLine="480"/>
            </w:pPr>
            <w:r>
              <w:rPr>
                <w:rFonts w:hint="eastAsia"/>
              </w:rPr>
              <w:t>由于四氢呋喃属于极性气体，因此吸附剂材料选用硅胶，硅胶是一种高活性、多孔性、无定形的二氧化硅（SiO</w:t>
            </w:r>
            <w:r>
              <w:rPr>
                <w:rFonts w:hint="eastAsia"/>
                <w:vertAlign w:val="subscript"/>
              </w:rPr>
              <w:t>2</w:t>
            </w:r>
            <w:r>
              <w:rPr>
                <w:rFonts w:hint="eastAsia"/>
              </w:rPr>
              <w:t>n·H</w:t>
            </w:r>
            <w:r>
              <w:rPr>
                <w:rFonts w:hint="eastAsia"/>
                <w:vertAlign w:val="subscript"/>
              </w:rPr>
              <w:t>2</w:t>
            </w:r>
            <w:r>
              <w:rPr>
                <w:rFonts w:hint="eastAsia"/>
              </w:rPr>
              <w:t>O），它并非我们日常生活中所说的“硅橡胶”，而是一种刚性固体。由于其内部具有丰富的纳米级孔隙结构，使其成为一种非常优异的吸附剂。</w:t>
            </w:r>
          </w:p>
          <w:p w14:paraId="61F11DC7">
            <w:pPr>
              <w:ind w:firstLine="480"/>
            </w:pPr>
            <w:r>
              <w:rPr>
                <w:rFonts w:hint="eastAsia"/>
              </w:rPr>
              <w:t>硅胶优点：</w:t>
            </w:r>
          </w:p>
          <w:p w14:paraId="5F9BA311">
            <w:pPr>
              <w:ind w:firstLine="480"/>
            </w:pPr>
            <w:r>
              <w:rPr>
                <w:rFonts w:hint="eastAsia"/>
              </w:rPr>
              <w:t>1化学成分：主要成分是二氧化硅，化学性质稳定，不燃烧、不爆炸。</w:t>
            </w:r>
          </w:p>
          <w:p w14:paraId="1CA7D3FF">
            <w:pPr>
              <w:ind w:firstLine="480"/>
            </w:pPr>
            <w:r>
              <w:rPr>
                <w:rFonts w:hint="eastAsia"/>
              </w:rPr>
              <w:t>2物理结构：内部是由硅羟基相互连接形成的三维网状结构，布满大小不同的孔洞，其吸附性能很大程度上取决于这些孔隙的尺寸和分布。</w:t>
            </w:r>
          </w:p>
          <w:p w14:paraId="68019E92">
            <w:pPr>
              <w:ind w:firstLine="480"/>
            </w:pPr>
            <w:r>
              <w:rPr>
                <w:rFonts w:hint="eastAsia"/>
              </w:rPr>
              <w:t>3表面性质：表面含有大量的硅羟基（-Si-OH），这些极性基团使其对极性分子（如水、醇类）具有极强的亲和力。因此，硅胶是典型的极性吸附剂。</w:t>
            </w:r>
          </w:p>
          <w:p w14:paraId="13C1D8E6">
            <w:pPr>
              <w:ind w:firstLine="480"/>
            </w:pPr>
            <w:r>
              <w:rPr>
                <w:rFonts w:hint="eastAsia"/>
              </w:rPr>
              <w:t>4化学惰性：对大多数物质呈化学惰性，不会与吸附质发生反应（除强碱和氢氟酸外），保证了被吸附物质的稳定性。</w:t>
            </w:r>
          </w:p>
          <w:p w14:paraId="3E1F18C4">
            <w:pPr>
              <w:ind w:firstLine="480"/>
            </w:pPr>
            <w:r>
              <w:rPr>
                <w:rFonts w:hint="eastAsia"/>
              </w:rPr>
              <w:t>5热稳定性好：可承受较高温度（通常再生温度在120-180℃），使其能够通过加热轻松再生，重复使用。</w:t>
            </w:r>
          </w:p>
          <w:p w14:paraId="0510398C">
            <w:pPr>
              <w:ind w:firstLine="480"/>
            </w:pPr>
            <w:r>
              <w:rPr>
                <w:rFonts w:hint="eastAsia"/>
              </w:rPr>
              <w:t>6机械强度高：具有一定的硬度，在装填和使用过程中不易破碎粉化，床层压降稳定。</w:t>
            </w:r>
          </w:p>
          <w:p w14:paraId="43644B93">
            <w:pPr>
              <w:ind w:firstLine="480"/>
            </w:pPr>
            <w:r>
              <w:rPr>
                <w:rFonts w:hint="eastAsia"/>
              </w:rPr>
              <w:t>7无毒无味：适用于食品、药品和精密电子等对纯度要求高的领域。8价格低廉：原料易得，生产成本相对较低。</w:t>
            </w:r>
          </w:p>
          <w:p w14:paraId="18D723DC">
            <w:pPr>
              <w:ind w:firstLine="480"/>
            </w:pPr>
            <w:r>
              <w:t>（</w:t>
            </w:r>
            <w:r>
              <w:rPr>
                <w:rFonts w:hint="eastAsia"/>
              </w:rPr>
              <w:t>2</w:t>
            </w:r>
            <w:r>
              <w:t>）</w:t>
            </w:r>
            <w:r>
              <w:rPr>
                <w:rFonts w:hint="eastAsia"/>
              </w:rPr>
              <w:t>BDO/MA储罐废气处理</w:t>
            </w:r>
          </w:p>
          <w:p w14:paraId="2E2D069F">
            <w:pPr>
              <w:ind w:firstLine="480"/>
            </w:pPr>
            <w:r>
              <w:rPr>
                <w:rFonts w:hint="eastAsia"/>
              </w:rPr>
              <w:t>（一）工艺流程：</w:t>
            </w:r>
          </w:p>
          <w:p w14:paraId="58D48576">
            <w:pPr>
              <w:ind w:firstLine="480"/>
            </w:pPr>
            <w:r>
              <w:rPr>
                <w:rFonts w:hint="eastAsia"/>
              </w:rPr>
              <w:t>BDO/MA储罐废气</w:t>
            </w:r>
            <w:r>
              <w:t>处理措施为</w:t>
            </w:r>
            <w:r>
              <w:rPr>
                <w:rFonts w:hint="eastAsia"/>
              </w:rPr>
              <w:t>水洗塔+碱洗塔+活性炭吸附</w:t>
            </w:r>
            <w:r>
              <w:t>，具体工艺如下：</w:t>
            </w:r>
          </w:p>
          <w:p w14:paraId="18F8F8EB">
            <w:pPr>
              <w:ind w:firstLine="480"/>
            </w:pPr>
            <w:r>
              <w:t>1</w:t>
            </w:r>
            <w:r>
              <w:rPr>
                <w:rFonts w:hint="eastAsia"/>
              </w:rPr>
              <w:t>）BDO/MA废气单独通过各自的管路送至缓冲罐进行缓存；</w:t>
            </w:r>
          </w:p>
          <w:p w14:paraId="119F0BBF">
            <w:pPr>
              <w:ind w:firstLine="480"/>
            </w:pPr>
            <w:r>
              <w:rPr>
                <w:rFonts w:hint="eastAsia"/>
              </w:rPr>
              <w:t>2）缓冲罐废气经过增压风机送至水洗塔、碱洗塔，去除废气当中的污染物；</w:t>
            </w:r>
          </w:p>
          <w:p w14:paraId="2499D77D">
            <w:pPr>
              <w:ind w:firstLine="480"/>
            </w:pPr>
            <w:r>
              <w:rPr>
                <w:rFonts w:hint="eastAsia"/>
              </w:rPr>
              <w:t>3）当BDO单独排放时，运行水洗+碱洗+吸附工艺，降低碱液消耗量；</w:t>
            </w:r>
          </w:p>
          <w:p w14:paraId="4C7EE714">
            <w:pPr>
              <w:ind w:firstLine="480"/>
            </w:pPr>
            <w:r>
              <w:rPr>
                <w:rFonts w:hint="eastAsia"/>
              </w:rPr>
              <w:t>4）当MA参与排放时，通过阀门切换运行碱洗+水洗+吸附工艺；</w:t>
            </w:r>
          </w:p>
          <w:p w14:paraId="504F4F39">
            <w:pPr>
              <w:ind w:firstLine="480"/>
            </w:pPr>
            <w:r>
              <w:rPr>
                <w:rFonts w:hint="eastAsia"/>
              </w:rPr>
              <w:t>5）经过水洗+碱洗之后的废气含有少量有机物，进入吸附器进行吸附；</w:t>
            </w:r>
          </w:p>
          <w:p w14:paraId="42F19068">
            <w:pPr>
              <w:ind w:firstLine="480"/>
            </w:pPr>
            <w:r>
              <w:rPr>
                <w:rFonts w:hint="eastAsia"/>
              </w:rPr>
              <w:t>6）经过吸附后的废气进入排气筒达标排放；</w:t>
            </w:r>
          </w:p>
          <w:p w14:paraId="75155D15">
            <w:pPr>
              <w:ind w:firstLine="480"/>
            </w:pPr>
            <w:r>
              <w:rPr>
                <w:rFonts w:hint="eastAsia"/>
              </w:rPr>
              <w:t>7）当吸附器A饱和后转为脱附工序，采用真空泵抽真空（辅助加热氮气进行升温），抽取尾气经冷却器送至缓冲罐，参与再一次的循环；</w:t>
            </w:r>
          </w:p>
          <w:p w14:paraId="17B59123">
            <w:pPr>
              <w:ind w:firstLine="480"/>
            </w:pPr>
            <w:r>
              <w:rPr>
                <w:rFonts w:hint="eastAsia"/>
              </w:rPr>
              <w:t>8）碱液通过碱液泵送至碱洗塔当中；</w:t>
            </w:r>
          </w:p>
          <w:p w14:paraId="1F1C16E6">
            <w:pPr>
              <w:ind w:firstLine="480"/>
            </w:pPr>
            <w:r>
              <w:rPr>
                <w:rFonts w:hint="eastAsia"/>
              </w:rPr>
              <w:t>9）生产水与冷凝水在稀释水池进行混合，由补水泵送至水洗塔/碱洗塔当中；</w:t>
            </w:r>
          </w:p>
          <w:p w14:paraId="1B7B414A">
            <w:pPr>
              <w:ind w:firstLine="480"/>
            </w:pPr>
            <w:r>
              <w:rPr>
                <w:rFonts w:hint="eastAsia"/>
              </w:rPr>
              <w:t>10）水洗塔及碱洗塔排出的废液送至污水池，并调节pH；</w:t>
            </w:r>
          </w:p>
          <w:p w14:paraId="26877A0E">
            <w:pPr>
              <w:ind w:firstLine="480"/>
            </w:pPr>
            <w:r>
              <w:rPr>
                <w:rFonts w:hint="eastAsia"/>
              </w:rPr>
              <w:t>11）当污水池液位达到设定值时，由废水泵送至万景污水处理站。</w:t>
            </w:r>
          </w:p>
          <w:p w14:paraId="1A0A4DF8">
            <w:pPr>
              <w:ind w:firstLine="480"/>
            </w:pPr>
            <w:r>
              <w:rPr>
                <w:rFonts w:hint="eastAsia"/>
              </w:rPr>
              <w:t>（二）设备介绍</w:t>
            </w:r>
          </w:p>
          <w:p w14:paraId="78E92889">
            <w:pPr>
              <w:ind w:firstLine="480"/>
            </w:pPr>
            <w:r>
              <w:rPr>
                <w:rFonts w:hint="eastAsia"/>
              </w:rPr>
              <w:t>1）水洗塔/碱洗塔</w:t>
            </w:r>
          </w:p>
          <w:p w14:paraId="17F2B165">
            <w:pPr>
              <w:ind w:firstLine="480"/>
            </w:pPr>
            <w:r>
              <w:rPr>
                <w:rFonts w:hint="eastAsia"/>
              </w:rPr>
              <w:t>1工作机理</w:t>
            </w:r>
          </w:p>
          <w:p w14:paraId="379BC53A">
            <w:pPr>
              <w:ind w:firstLine="480"/>
            </w:pPr>
            <w:r>
              <w:rPr>
                <w:rFonts w:hint="eastAsia"/>
              </w:rPr>
              <w:t>吸收塔选用填料塔，填料塔为连续接触式的气液传质设备。在圆筒形塔体内部，分段装有若干段填料。</w:t>
            </w:r>
          </w:p>
          <w:p w14:paraId="643D1A88">
            <w:pPr>
              <w:ind w:firstLine="480"/>
            </w:pPr>
            <w:r>
              <w:rPr>
                <w:rFonts w:hint="eastAsia"/>
              </w:rPr>
              <w:t>填料堆积于支撑装置上，液体由塔顶入口管进入分布器，均匀喷淋在填料表面上并在重力作用下向下流动，气体在压强差的推动下，由支承板下方气体入口管进入塔内，通过填料间的空隙由塔的顶部排出。</w:t>
            </w:r>
          </w:p>
          <w:p w14:paraId="0FAB2D01">
            <w:pPr>
              <w:ind w:firstLine="480"/>
            </w:pPr>
            <w:r>
              <w:rPr>
                <w:rFonts w:hint="eastAsia"/>
              </w:rPr>
              <w:t>填料塔内气液两相呈逆流流动，气体和液体在填料表面上进行传质和传热，两相的组成沿塔高连续变化。</w:t>
            </w:r>
          </w:p>
          <w:p w14:paraId="605F1971">
            <w:pPr>
              <w:ind w:firstLine="480"/>
            </w:pPr>
            <w:r>
              <w:rPr>
                <w:rFonts w:hint="eastAsia"/>
              </w:rPr>
              <w:t>2填料塔结构</w:t>
            </w:r>
          </w:p>
          <w:p w14:paraId="179E1454">
            <w:pPr>
              <w:ind w:firstLine="480"/>
            </w:pPr>
            <w:r>
              <w:rPr>
                <w:rFonts w:hint="eastAsia"/>
              </w:rPr>
              <w:t>填料塔的结构主要由筒体、进出料口、分布器、填料层和进出气口等几部分组成。筒体由不锈钢制成，内部表面经过抛光处理，以提高塔体的耐腐蚀性和气体流动性。进出料口位于塔体的顶部和底部，通常由阀门、旋塞等组成，以控制进出料流量。</w:t>
            </w:r>
          </w:p>
          <w:p w14:paraId="09B4A58F">
            <w:pPr>
              <w:ind w:firstLine="480"/>
            </w:pPr>
            <w:r>
              <w:rPr>
                <w:rFonts w:hint="eastAsia"/>
              </w:rPr>
              <w:t>分布器是填料塔的关键部件，它位于填料层的下方，主要用于将液体均匀地分布到填料层中，以确保液体和填料之间的接触面积最大化。</w:t>
            </w:r>
          </w:p>
          <w:p w14:paraId="487F87BD">
            <w:pPr>
              <w:ind w:firstLine="480"/>
            </w:pPr>
            <w:r>
              <w:rPr>
                <w:rFonts w:hint="eastAsia"/>
              </w:rPr>
              <w:t>填料层位于塔体内部，填料的种类和形状不同，具有不同的分离和反应特性，以满足不同的工艺需求。进出气口通常位于塔体的顶部，主要用于排出处理后的气体。</w:t>
            </w:r>
          </w:p>
          <w:p w14:paraId="5584F7B7">
            <w:pPr>
              <w:ind w:firstLine="480"/>
            </w:pPr>
            <w:r>
              <w:rPr>
                <w:rFonts w:hint="eastAsia"/>
              </w:rPr>
              <w:t>3填料的选型</w:t>
            </w:r>
          </w:p>
          <w:p w14:paraId="2AADEB0F">
            <w:pPr>
              <w:ind w:firstLine="480"/>
            </w:pPr>
            <w:r>
              <w:rPr>
                <w:rFonts w:hint="eastAsia"/>
              </w:rPr>
              <w:t>常用填料大致分为两大类：散堆填料和规整填料。</w:t>
            </w:r>
          </w:p>
          <w:p w14:paraId="1BC0BD2A">
            <w:pPr>
              <w:ind w:firstLine="480"/>
            </w:pPr>
            <w:r>
              <w:rPr>
                <w:rFonts w:hint="eastAsia"/>
              </w:rPr>
              <w:t>a、工业塔常用的散装填料主要类型有拉西环、鲍尔环、阶梯环、鞍形环。</w:t>
            </w:r>
          </w:p>
          <w:p w14:paraId="2AEEE280">
            <w:pPr>
              <w:ind w:firstLine="480"/>
            </w:pPr>
            <w:r>
              <w:rPr>
                <w:rFonts w:hint="eastAsia"/>
              </w:rPr>
              <w:t>尺寸有DN16、DN25、DN38、DN50、DN76等几种规格。</w:t>
            </w:r>
          </w:p>
          <w:p w14:paraId="78C8921E">
            <w:pPr>
              <w:ind w:firstLine="480"/>
            </w:pPr>
            <w:r>
              <w:rPr>
                <w:rFonts w:hint="eastAsia"/>
              </w:rPr>
              <w:t>同类填料，尺寸越小，分离效率越高，但阻力增加，通量减少，填料费用也增加很多。而大尺寸的填料应用于小直径塔中，又会产生液体分布不良及严重的壁流，使塔的分离效率降低。</w:t>
            </w:r>
          </w:p>
          <w:p w14:paraId="71943DE6">
            <w:pPr>
              <w:ind w:firstLine="480"/>
            </w:pPr>
            <w:r>
              <w:rPr>
                <w:rFonts w:hint="eastAsia"/>
              </w:rPr>
              <w:t>b、工业塔常用的规整填料有栅板、θ网环、波纹填料。</w:t>
            </w:r>
          </w:p>
          <w:p w14:paraId="2A0DD8EC">
            <w:pPr>
              <w:ind w:firstLine="480"/>
            </w:pPr>
            <w:r>
              <w:rPr>
                <w:rFonts w:hint="eastAsia"/>
              </w:rPr>
              <w:t>工业上常用规整填料的型号和规格的表示方法很多，国内习惯用比表面积表示，主要有125、150、250、350、500、700等几种规格。</w:t>
            </w:r>
          </w:p>
          <w:p w14:paraId="5D18BA3E">
            <w:pPr>
              <w:ind w:firstLine="480"/>
            </w:pPr>
            <w:r>
              <w:rPr>
                <w:rFonts w:hint="eastAsia"/>
              </w:rPr>
              <w:t>同种类型的规整填料，其比表面积越大，传质效率越高，但阻力增加，通量减少，填料费用也明显增加。</w:t>
            </w:r>
          </w:p>
          <w:p w14:paraId="7AD17575">
            <w:pPr>
              <w:ind w:firstLine="480"/>
            </w:pPr>
            <w:r>
              <w:rPr>
                <w:rFonts w:hint="eastAsia"/>
              </w:rPr>
              <w:t>扩建项目当中MA冰点较高，进入水洗塔低温区域可能会产生晶体，因此选用散堆填料，选择金属材质的鲍尔环。</w:t>
            </w:r>
          </w:p>
          <w:p w14:paraId="79EE1F86">
            <w:pPr>
              <w:ind w:firstLine="480"/>
            </w:pPr>
            <w:r>
              <w:rPr>
                <w:rFonts w:hint="eastAsia"/>
              </w:rPr>
              <w:t>2）吸附系统</w:t>
            </w:r>
          </w:p>
          <w:p w14:paraId="7231B396">
            <w:pPr>
              <w:ind w:firstLine="480"/>
            </w:pPr>
            <w:r>
              <w:rPr>
                <w:rFonts w:hint="eastAsia"/>
              </w:rPr>
              <w:t>为防止仅采取“水洗+碱洗”废气处理设施，难以实现稳定达标，在原有塔末端配置了活性炭吸附器，吸附器是有支腿支撑的直立容器。容器上装备有一个进口和一个出口作为废气进出口管线，大小相同；在活性炭支承栅板的正上方有一个手孔，在顶部排气管路上有一个吹洗气体接口，在容器外壳上有两个温度变送器接口。</w:t>
            </w:r>
          </w:p>
          <w:p w14:paraId="67981692">
            <w:pPr>
              <w:ind w:firstLine="480"/>
            </w:pPr>
            <w:r>
              <w:rPr>
                <w:rFonts w:hint="eastAsia"/>
              </w:rPr>
              <w:t>活性炭是一种很细小的炭粒，但有很大的表面积，而且炭粒中还有更细小的孔一一毛细管。这种毛细管具有很强的吸附能力。由于炭粒的比表面积很大，所以能与气体（杂质）充分接触，当这些气体（杂质）碰到毛细管就被吸附，起到净化作用。活性炭的吸附过程分两种：物理吸附和化学吸附。物理吸附是同偶极之间的作用，和氢键为主的弱范德华力有关，这种吸附是可逆的。化学吸附是不可逆的，它是以价键力相结合的过程。</w:t>
            </w:r>
          </w:p>
          <w:p w14:paraId="4FB11163">
            <w:pPr>
              <w:ind w:firstLine="480"/>
            </w:pPr>
            <w:r>
              <w:rPr>
                <w:rFonts w:hint="eastAsia"/>
              </w:rPr>
              <w:t>在空气净化领域中普遍认为大风量、低浓度有机废气的净化是个难题，这类废气的特点是排风量大、废气中同时存在几种污染物而且每种浓度都较低，一般在1g/m³以下，这种情况下采用回收或直接燃烧的方法是不经济的，而活性炭吸附性能好、脱附速率快，完全满足了工艺使用要求。活性炭具有比较面积大，通孔阻力小，微孔发达，高吸附容量，使用寿命长等特点，在空气污染治理中普遍应用。</w:t>
            </w:r>
          </w:p>
          <w:p w14:paraId="2D3B1FB2">
            <w:pPr>
              <w:ind w:firstLine="480"/>
            </w:pPr>
            <w:r>
              <w:rPr>
                <w:rFonts w:hint="eastAsia"/>
              </w:rPr>
              <w:t>吸附现象是发生在两个不同相界面的现象，吸附过程就是在界面上的扩散过程，是发生在固体表面的吸附，这是由于固体表面存在着剩余的吸引力而引起的。吸附可分为物理吸附和化学吸附；物理吸附亦称范德华吸附，是由于吸附剂与吸附质分子之间的静电力或范德华引力导致物理吸附引起的，当固体和气体之间的分子引力大于气体分子之间的引力时，即使气体的压力低于与操作温度相对应的饱和蒸汽压，气体分子也会冷凝在固体表面上，物理吸附是一种放热过程。化学吸附亦称活性炭吸附，是由于吸附剂表面与吸附质分子间的化学反应力导致化学吸附，它涉及分子中化学键的破坏和重新结合，因此，化学吸附过程的吸附热较物理吸附过程大。在吸附过程中，物理吸附和化学吸附之间没有严格的界限，同一物质在较低温度下可能发生物理吸附，而在较高温度下往往是化学吸附。</w:t>
            </w:r>
          </w:p>
          <w:p w14:paraId="1412ADB0">
            <w:pPr>
              <w:ind w:firstLine="480"/>
            </w:pPr>
            <w:r>
              <w:rPr>
                <w:rFonts w:hint="eastAsia"/>
              </w:rPr>
              <w:t>吸附饱和的活性炭用真空脱附，解析出来的污染物被带出活性炭塔进入前端水洗塔进行再次吸收处理，当吸附器脱附完成后切换至吸附状况，从而完成一个操作循环。</w:t>
            </w:r>
          </w:p>
          <w:p w14:paraId="676665EF">
            <w:pPr>
              <w:pStyle w:val="2"/>
              <w:ind w:firstLine="480"/>
              <w:rPr>
                <w:lang w:val="en-US" w:eastAsia="zh-CN"/>
              </w:rPr>
            </w:pPr>
            <w:r>
              <w:rPr>
                <w:rFonts w:hint="eastAsia"/>
                <w:lang w:val="en-US" w:eastAsia="zh-CN"/>
              </w:rPr>
              <w:t>（3）危险废物贮存库废气处理</w:t>
            </w:r>
          </w:p>
          <w:p w14:paraId="0ABAEC56">
            <w:pPr>
              <w:ind w:firstLine="480"/>
            </w:pPr>
            <w:r>
              <w:rPr>
                <w:rFonts w:hint="eastAsia"/>
              </w:rPr>
              <w:t>扩建项目建设一座危险废物贮存库。废气主要污染物为VOCs，采用二级活性炭吸附处理后，通过1根15m高排气筒排放。</w:t>
            </w:r>
          </w:p>
          <w:p w14:paraId="65B96467">
            <w:pPr>
              <w:pStyle w:val="2"/>
              <w:ind w:firstLine="480"/>
              <w:rPr>
                <w:lang w:val="en-US" w:eastAsia="zh-CN"/>
              </w:rPr>
            </w:pPr>
            <w:r>
              <w:rPr>
                <w:rFonts w:hint="eastAsia"/>
                <w:lang w:val="en-US" w:eastAsia="zh-CN"/>
              </w:rPr>
              <w:t>目前，挥发性有机废气治理方法主要为燃烧法、吸附法、吸收法、生物处理法、冷凝法等。其中吸附法以其处理能力强、吸附效率高的优点成为应用较为广泛的有机废气处理方法。活性炭微孔结构高度发达，具有很大的比表面积，由表面效应所产生的吸附作用是活性炭吸附最明显的特征之一。活性炭主要特点有：活性炭是非极性的吸附剂，能选择吸附非极性物质；活性炭是疏水性的吸附剂，在有水或水蒸气存在的情况下仍能发挥作用；活性炭孔径分布广，能够吸附分子大小不同的物质；活性炭的化学稳定性和热稳定性优于硅胶等其它吸附剂。</w:t>
            </w:r>
          </w:p>
          <w:p w14:paraId="4942E69D">
            <w:pPr>
              <w:pStyle w:val="3"/>
              <w:ind w:firstLine="480"/>
            </w:pPr>
            <w:r>
              <w:rPr>
                <w:rFonts w:hint="eastAsia"/>
              </w:rPr>
              <w:t>危险废物贮存库废气中VOCs浓度较低，拟采用活性炭吸附的方法处理有机废气。有文献报道（有机废气治理技术及其新进展，田森林等，环境科学动态，2000年第1期），活性炭对低浓度有机废气的吸附效率可达80%以上，扩建项目危险废物贮存库低浓度有机废气经二级活性炭吸附处理后，有机废气的处理效率在80%以上，排放浓度可以满足</w:t>
            </w:r>
            <w:r>
              <w:t>《</w:t>
            </w:r>
            <w:r>
              <w:rPr>
                <w:rFonts w:hint="eastAsia"/>
              </w:rPr>
              <w:t>工业企业挥发性有机物排放标准》（DB35/1782-2018）表1中排放限值。因此危险废物贮存库废气采用活性炭吸附处理是可行的。</w:t>
            </w:r>
          </w:p>
          <w:p w14:paraId="15D212A7">
            <w:pPr>
              <w:pStyle w:val="121"/>
              <w:numPr>
                <w:ilvl w:val="3"/>
                <w:numId w:val="0"/>
              </w:numPr>
              <w:adjustRightInd w:val="0"/>
              <w:snapToGrid w:val="0"/>
              <w:ind w:firstLine="480"/>
            </w:pPr>
            <w:r>
              <w:rPr>
                <w:rFonts w:hint="eastAsia"/>
              </w:rPr>
              <w:t>4.2.1.2</w:t>
            </w:r>
            <w:r>
              <w:t>挥发性有机物无组织排放</w:t>
            </w:r>
          </w:p>
          <w:p w14:paraId="4A796980">
            <w:pPr>
              <w:ind w:firstLine="480"/>
            </w:pPr>
            <w:r>
              <w:t>（1）无组织废气控制措施</w:t>
            </w:r>
          </w:p>
          <w:p w14:paraId="398B83F6">
            <w:pPr>
              <w:ind w:firstLine="480"/>
            </w:pPr>
            <w:r>
              <w:rPr>
                <w:rFonts w:hint="eastAsia"/>
              </w:rPr>
              <w:t>A</w:t>
            </w:r>
            <w:r>
              <w:t>、减少无组织排放控制措施：</w:t>
            </w:r>
          </w:p>
          <w:p w14:paraId="43992259">
            <w:pPr>
              <w:ind w:firstLine="480"/>
            </w:pPr>
            <w:r>
              <w:rPr>
                <w:rFonts w:hint="eastAsia"/>
              </w:rPr>
              <w:t>①</w:t>
            </w:r>
            <w:r>
              <w:t>对于</w:t>
            </w:r>
            <w:r>
              <w:rPr>
                <w:rFonts w:hint="eastAsia"/>
              </w:rPr>
              <w:t>罐区产生的</w:t>
            </w:r>
            <w:r>
              <w:t>废气等，应进行收集净化处理，避免直接放空。正常工况时采用集中收集净化后有组织排放</w:t>
            </w:r>
            <w:r>
              <w:rPr>
                <w:rFonts w:hint="eastAsia"/>
              </w:rPr>
              <w:t>；</w:t>
            </w:r>
          </w:p>
          <w:p w14:paraId="24B22A79">
            <w:pPr>
              <w:ind w:firstLine="480"/>
            </w:pPr>
            <w:r>
              <w:rPr>
                <w:rFonts w:hint="eastAsia"/>
              </w:rPr>
              <w:t>②</w:t>
            </w:r>
            <w:r>
              <w:t>对</w:t>
            </w:r>
            <w:r>
              <w:rPr>
                <w:rFonts w:hint="eastAsia"/>
              </w:rPr>
              <w:t>罐区</w:t>
            </w:r>
            <w:r>
              <w:t>管线法兰、阀门、泵、压缩机、开口阀或开口管线、泄压设备等可能泄漏点应开展泄漏检测与修复（LDAR），根据《工业企业挥发性有机物泄漏检测与修复技术指南》（HJ1230—2021）的规定，建立“泄漏检测与修复”管理制度</w:t>
            </w:r>
            <w:r>
              <w:rPr>
                <w:rFonts w:hint="eastAsia"/>
              </w:rPr>
              <w:t>。</w:t>
            </w:r>
          </w:p>
          <w:p w14:paraId="7F696F6F">
            <w:pPr>
              <w:ind w:firstLine="480"/>
            </w:pPr>
            <w:r>
              <w:rPr>
                <w:rFonts w:hint="eastAsia"/>
              </w:rPr>
              <w:t>B</w:t>
            </w:r>
            <w:r>
              <w:t>、罐区大小呼吸无组织废气控制：</w:t>
            </w:r>
          </w:p>
          <w:p w14:paraId="043D3C3C">
            <w:pPr>
              <w:ind w:firstLine="480"/>
            </w:pPr>
            <w:r>
              <w:rPr>
                <w:rFonts w:hint="eastAsia"/>
              </w:rPr>
              <w:t>①</w:t>
            </w:r>
            <w:r>
              <w:t>挥发性有机液体储存设施应在符合安全等相关规范的前提下，采用压力罐、低温罐、高效密封的浮顶罐。</w:t>
            </w:r>
          </w:p>
          <w:p w14:paraId="543A53DC">
            <w:pPr>
              <w:ind w:firstLine="480"/>
            </w:pPr>
            <w:r>
              <w:rPr>
                <w:rFonts w:hint="eastAsia"/>
              </w:rPr>
              <w:t>②</w:t>
            </w:r>
            <w:r>
              <w:t>对于各拱顶罐，储罐废气收集后送</w:t>
            </w:r>
            <w:r>
              <w:rPr>
                <w:rFonts w:hint="eastAsia"/>
              </w:rPr>
              <w:t>废气处理设施</w:t>
            </w:r>
            <w:r>
              <w:t>处置。</w:t>
            </w:r>
          </w:p>
          <w:p w14:paraId="290E6C0B">
            <w:pPr>
              <w:ind w:firstLine="480"/>
            </w:pPr>
            <w:r>
              <w:rPr>
                <w:rFonts w:hint="eastAsia"/>
              </w:rPr>
              <w:t>C</w:t>
            </w:r>
            <w:r>
              <w:t>、减少挥发性有机液体装载逸散控制措施：</w:t>
            </w:r>
          </w:p>
          <w:p w14:paraId="4343C8B7">
            <w:pPr>
              <w:ind w:firstLine="480"/>
            </w:pPr>
            <w:r>
              <w:t>挥发性有机液体装卸应采取全密闭、液下装载等方式。顶部浸没式装载出料口距离罐底高度小于200mm。</w:t>
            </w:r>
          </w:p>
          <w:p w14:paraId="7D3743D3">
            <w:pPr>
              <w:ind w:firstLine="480"/>
            </w:pPr>
            <w:r>
              <w:t>由上述分析可知，扩建项目针对挥发性有机废气进行收集后分别设置</w:t>
            </w:r>
            <w:r>
              <w:rPr>
                <w:rFonts w:hint="eastAsia"/>
              </w:rPr>
              <w:t>油气回收</w:t>
            </w:r>
            <w:r>
              <w:t>、洗涤净化</w:t>
            </w:r>
            <w:r>
              <w:rPr>
                <w:rFonts w:hint="eastAsia"/>
              </w:rPr>
              <w:t>、活性炭吸附</w:t>
            </w:r>
            <w:r>
              <w:t>等，净化后尾气由排气筒高空有组织排放。并从生产工艺选择、设备选型开始，到日常</w:t>
            </w:r>
            <w:r>
              <w:fldChar w:fldCharType="begin"/>
            </w:r>
            <w:r>
              <w:instrText xml:space="preserve"> HYPERLINK "http://air.chinaep-tech.com/papers/32922.htm" </w:instrText>
            </w:r>
            <w:r>
              <w:fldChar w:fldCharType="separate"/>
            </w:r>
            <w:r>
              <w:t>管</w:t>
            </w:r>
            <w:r>
              <w:fldChar w:fldCharType="end"/>
            </w:r>
            <w:r>
              <w:t>理、采取控制和治理技术入手，切实地有针对性地采取有效防治措施，最大限度减少无组织排放。</w:t>
            </w:r>
          </w:p>
          <w:p w14:paraId="77281657">
            <w:pPr>
              <w:ind w:firstLine="480"/>
            </w:pPr>
            <w:r>
              <w:t>（2）挥发性有机物无组织排放控制措施符合性分析</w:t>
            </w:r>
          </w:p>
          <w:p w14:paraId="32D7C872">
            <w:pPr>
              <w:ind w:firstLine="480"/>
            </w:pPr>
            <w:r>
              <w:rPr>
                <w:rFonts w:hint="eastAsia"/>
              </w:rPr>
              <w:t>扩建</w:t>
            </w:r>
            <w:r>
              <w:t>无组织废气主要为挥发性有机废气，无组织挥发性有机废气控制措施执行《挥发性有机物无组织排放控制标准》（GB37822-2019），本次评价主要分析VOCs物料储存、物料转移和输送、工艺过程、设备与管线组件、敞开液面等各无组织废气产排节点采取的控制措施与（GB37822-2019）的符合性，具体见</w:t>
            </w:r>
            <w:r>
              <w:rPr>
                <w:rFonts w:hint="eastAsia"/>
              </w:rPr>
              <w:t>表4.2-10</w:t>
            </w:r>
            <w:r>
              <w:t>。根据表可知，VOCs物料储存、转移和输送无组织排放控制措施，工艺过程、设备与管线组件VOCs泄漏控制措施，敞开液面VOCs无组织排放控制措施等均能满足《挥发性有机物无组织排放控制标准》（GB37822-2019）中的控制要求。</w:t>
            </w:r>
          </w:p>
        </w:tc>
      </w:tr>
    </w:tbl>
    <w:p w14:paraId="322B97C1">
      <w:pPr>
        <w:adjustRightInd w:val="0"/>
        <w:snapToGrid w:val="0"/>
        <w:ind w:firstLine="562"/>
        <w:rPr>
          <w:b/>
          <w:kern w:val="0"/>
          <w:sz w:val="28"/>
          <w:szCs w:val="28"/>
        </w:rPr>
        <w:sectPr>
          <w:footerReference r:id="rId31" w:type="default"/>
          <w:pgSz w:w="11907" w:h="16839"/>
          <w:pgMar w:top="1417" w:right="1417" w:bottom="1417" w:left="1417" w:header="851" w:footer="850" w:gutter="0"/>
          <w:cols w:space="720" w:num="1"/>
          <w:docGrid w:linePitch="326" w:charSpace="0"/>
        </w:sectPr>
      </w:pP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20820"/>
      </w:tblGrid>
      <w:tr w14:paraId="0B5A8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8" w:hRule="atLeast"/>
          <w:jc w:val="center"/>
        </w:trPr>
        <w:tc>
          <w:tcPr>
            <w:tcW w:w="70" w:type="pct"/>
            <w:tcMar>
              <w:left w:w="28" w:type="dxa"/>
              <w:right w:w="28" w:type="dxa"/>
            </w:tcMar>
            <w:vAlign w:val="center"/>
          </w:tcPr>
          <w:p w14:paraId="6141DC16">
            <w:pPr>
              <w:adjustRightInd w:val="0"/>
              <w:snapToGrid w:val="0"/>
              <w:ind w:firstLine="0" w:firstLineChars="0"/>
              <w:jc w:val="center"/>
              <w:rPr>
                <w:szCs w:val="22"/>
              </w:rPr>
            </w:pPr>
            <w:r>
              <w:rPr>
                <w:szCs w:val="22"/>
              </w:rPr>
              <w:t>运营</w:t>
            </w:r>
          </w:p>
          <w:p w14:paraId="253AC9B8">
            <w:pPr>
              <w:adjustRightInd w:val="0"/>
              <w:snapToGrid w:val="0"/>
              <w:ind w:firstLine="0" w:firstLineChars="0"/>
              <w:jc w:val="center"/>
              <w:rPr>
                <w:szCs w:val="22"/>
              </w:rPr>
            </w:pPr>
            <w:r>
              <w:rPr>
                <w:szCs w:val="22"/>
              </w:rPr>
              <w:t>期环</w:t>
            </w:r>
          </w:p>
          <w:p w14:paraId="623530C3">
            <w:pPr>
              <w:adjustRightInd w:val="0"/>
              <w:snapToGrid w:val="0"/>
              <w:ind w:firstLine="0" w:firstLineChars="0"/>
              <w:jc w:val="center"/>
              <w:rPr>
                <w:szCs w:val="22"/>
              </w:rPr>
            </w:pPr>
            <w:r>
              <w:rPr>
                <w:szCs w:val="22"/>
              </w:rPr>
              <w:t>境影</w:t>
            </w:r>
          </w:p>
          <w:p w14:paraId="6BDB6220">
            <w:pPr>
              <w:adjustRightInd w:val="0"/>
              <w:snapToGrid w:val="0"/>
              <w:ind w:firstLine="0" w:firstLineChars="0"/>
              <w:jc w:val="center"/>
              <w:rPr>
                <w:szCs w:val="22"/>
              </w:rPr>
            </w:pPr>
            <w:r>
              <w:rPr>
                <w:szCs w:val="22"/>
              </w:rPr>
              <w:t>响和</w:t>
            </w:r>
          </w:p>
          <w:p w14:paraId="25C40343">
            <w:pPr>
              <w:adjustRightInd w:val="0"/>
              <w:snapToGrid w:val="0"/>
              <w:ind w:firstLine="0" w:firstLineChars="0"/>
              <w:jc w:val="center"/>
              <w:rPr>
                <w:szCs w:val="22"/>
              </w:rPr>
            </w:pPr>
            <w:r>
              <w:rPr>
                <w:szCs w:val="22"/>
              </w:rPr>
              <w:t>保护</w:t>
            </w:r>
          </w:p>
          <w:p w14:paraId="6D29C6D9">
            <w:pPr>
              <w:adjustRightInd w:val="0"/>
              <w:snapToGrid w:val="0"/>
              <w:ind w:firstLine="0" w:firstLineChars="0"/>
              <w:jc w:val="center"/>
              <w:rPr>
                <w:szCs w:val="22"/>
              </w:rPr>
            </w:pPr>
            <w:r>
              <w:rPr>
                <w:szCs w:val="22"/>
              </w:rPr>
              <w:t>措施</w:t>
            </w:r>
          </w:p>
        </w:tc>
        <w:tc>
          <w:tcPr>
            <w:tcW w:w="4930" w:type="pct"/>
            <w:vAlign w:val="center"/>
          </w:tcPr>
          <w:p w14:paraId="56F5E01A">
            <w:pPr>
              <w:spacing w:line="240" w:lineRule="auto"/>
              <w:ind w:firstLine="0" w:firstLineChars="0"/>
              <w:jc w:val="center"/>
              <w:rPr>
                <w:b/>
                <w:szCs w:val="20"/>
              </w:rPr>
            </w:pPr>
            <w:r>
              <w:rPr>
                <w:b/>
                <w:szCs w:val="20"/>
              </w:rPr>
              <w:t>表4.2</w:t>
            </w:r>
            <w:r>
              <w:rPr>
                <w:rFonts w:hint="eastAsia"/>
                <w:b/>
                <w:szCs w:val="20"/>
              </w:rPr>
              <w:t>-7扩建项目</w:t>
            </w:r>
            <w:r>
              <w:rPr>
                <w:b/>
                <w:szCs w:val="20"/>
              </w:rPr>
              <w:t>废气污染源产</w:t>
            </w:r>
            <w:r>
              <w:rPr>
                <w:rFonts w:hint="eastAsia"/>
                <w:b/>
                <w:szCs w:val="20"/>
              </w:rPr>
              <w:t>排</w:t>
            </w:r>
            <w:r>
              <w:rPr>
                <w:b/>
                <w:szCs w:val="20"/>
              </w:rPr>
              <w:t>情况一览表</w:t>
            </w:r>
          </w:p>
          <w:p w14:paraId="5330BAA1">
            <w:pPr>
              <w:ind w:firstLine="0" w:firstLineChars="0"/>
              <w:jc w:val="center"/>
              <w:rPr>
                <w:kern w:val="0"/>
              </w:rPr>
            </w:pPr>
            <w:r>
              <w:rPr>
                <w:rFonts w:hint="eastAsia"/>
                <w:b/>
              </w:rPr>
              <w:t>***（略，涉及商业秘密）</w:t>
            </w:r>
          </w:p>
          <w:p w14:paraId="2543F768">
            <w:pPr>
              <w:pStyle w:val="8"/>
              <w:tabs>
                <w:tab w:val="left" w:pos="5400"/>
              </w:tabs>
              <w:spacing w:before="120"/>
              <w:rPr>
                <w:lang w:val="en-US" w:eastAsia="zh-CN"/>
              </w:rPr>
            </w:pPr>
            <w:r>
              <w:rPr>
                <w:lang w:val="en-US" w:eastAsia="zh-CN"/>
              </w:rPr>
              <w:t>4.2.</w:t>
            </w:r>
            <w:r>
              <w:rPr>
                <w:rFonts w:hint="eastAsia"/>
                <w:lang w:val="en-US" w:eastAsia="zh-CN"/>
              </w:rPr>
              <w:t>3</w:t>
            </w:r>
            <w:r>
              <w:rPr>
                <w:lang w:val="en-US" w:eastAsia="zh-CN"/>
              </w:rPr>
              <w:t>废气</w:t>
            </w:r>
            <w:r>
              <w:rPr>
                <w:rFonts w:hint="eastAsia"/>
                <w:lang w:val="en-US" w:eastAsia="zh-CN"/>
              </w:rPr>
              <w:t>非正常工况排放分析</w:t>
            </w:r>
          </w:p>
          <w:p w14:paraId="7AB9DD8A">
            <w:pPr>
              <w:ind w:firstLine="480"/>
            </w:pPr>
            <w:r>
              <w:rPr>
                <w:rFonts w:hint="eastAsia"/>
              </w:rPr>
              <w:t>根据《环境影响评价技术导则大气环境》（</w:t>
            </w:r>
            <w:r>
              <w:t>HJ 2.2-2018</w:t>
            </w:r>
            <w:r>
              <w:rPr>
                <w:rFonts w:hint="eastAsia"/>
              </w:rPr>
              <w:t>），废气非正常工况指生产过程中开停车（工、炉）、设备检修、工艺设备运转异常等非正常工况下的污染物排放，以及污染物排放控制措施达不到应有效率等情况下的排放。</w:t>
            </w:r>
          </w:p>
          <w:p w14:paraId="0B9E664F">
            <w:pPr>
              <w:ind w:firstLine="480"/>
            </w:pPr>
            <w:r>
              <w:rPr>
                <w:rFonts w:hint="eastAsia"/>
              </w:rPr>
              <w:t>（1）工艺设备运转异常</w:t>
            </w:r>
            <w:r>
              <w:t>污染物排放分析</w:t>
            </w:r>
          </w:p>
          <w:p w14:paraId="5A088722">
            <w:pPr>
              <w:pStyle w:val="2"/>
              <w:ind w:firstLine="480"/>
              <w:rPr>
                <w:lang w:val="en-US" w:eastAsia="zh-CN"/>
              </w:rPr>
            </w:pPr>
            <w:r>
              <w:rPr>
                <w:rFonts w:hint="eastAsia"/>
                <w:lang w:val="en-US" w:eastAsia="zh-CN"/>
              </w:rPr>
              <w:t>扩建项目采用的生产工艺较为成熟可靠，国内同类装置运行多年经验证明，项目生产装置的设备和管道无非正常的跑冒滴漏现象，是安全可靠的。压力容器的设计、制作、安装和使用均委托有资质单位，按国家相关规范执行。同时为减少事故排放，防止运行过程中由于生产装置超压而进行的放空排放，在关键设备上设置先进的压力检测装置，同时加大管理力度，设备和仪器定期检查核对，将事故降至最低程度，保证安全、可靠的生产。因此，由工艺设备达不到设计要求而出现的排污风险相对较小。</w:t>
            </w:r>
          </w:p>
          <w:p w14:paraId="158D1EC0">
            <w:pPr>
              <w:ind w:firstLine="480"/>
            </w:pPr>
            <w:r>
              <w:t>（</w:t>
            </w:r>
            <w:r>
              <w:rPr>
                <w:rFonts w:hint="eastAsia"/>
              </w:rPr>
              <w:t>2</w:t>
            </w:r>
            <w:r>
              <w:t>）开停车及</w:t>
            </w:r>
            <w:r>
              <w:rPr>
                <w:rFonts w:hint="eastAsia"/>
              </w:rPr>
              <w:t>设备</w:t>
            </w:r>
            <w:r>
              <w:t>检修期污染物排放分析</w:t>
            </w:r>
          </w:p>
          <w:p w14:paraId="0486E863">
            <w:pPr>
              <w:pStyle w:val="2"/>
              <w:ind w:firstLine="480"/>
              <w:rPr>
                <w:lang w:val="en-US" w:eastAsia="zh-CN"/>
              </w:rPr>
            </w:pPr>
            <w:r>
              <w:rPr>
                <w:rFonts w:hint="eastAsia"/>
              </w:rPr>
              <w:t>扩建项目</w:t>
            </w:r>
            <w:r>
              <w:rPr>
                <w:rFonts w:hint="eastAsia"/>
                <w:lang w:eastAsia="zh-CN"/>
              </w:rPr>
              <w:t>在</w:t>
            </w:r>
            <w:r>
              <w:rPr>
                <w:rFonts w:hint="eastAsia"/>
              </w:rPr>
              <w:t>开停车及设备检修</w:t>
            </w:r>
            <w:r>
              <w:rPr>
                <w:rFonts w:hint="eastAsia"/>
                <w:lang w:eastAsia="zh-CN"/>
              </w:rPr>
              <w:t>时</w:t>
            </w:r>
            <w:r>
              <w:rPr>
                <w:rFonts w:hint="eastAsia"/>
              </w:rPr>
              <w:t>等非正常工况下</w:t>
            </w:r>
            <w:r>
              <w:rPr>
                <w:rFonts w:hint="eastAsia"/>
                <w:lang w:eastAsia="zh-CN"/>
              </w:rPr>
              <w:t>产生的储罐置换</w:t>
            </w:r>
            <w:r>
              <w:rPr>
                <w:rFonts w:hint="eastAsia"/>
              </w:rPr>
              <w:t>废气主要为</w:t>
            </w:r>
            <w:r>
              <w:rPr>
                <w:rFonts w:hint="eastAsia"/>
                <w:lang w:eastAsia="zh-CN"/>
              </w:rPr>
              <w:t>退料、</w:t>
            </w:r>
            <w:r>
              <w:rPr>
                <w:rFonts w:hint="eastAsia"/>
              </w:rPr>
              <w:t>吹扫</w:t>
            </w:r>
            <w:r>
              <w:rPr>
                <w:rFonts w:hint="eastAsia"/>
                <w:lang w:eastAsia="zh-CN"/>
              </w:rPr>
              <w:t>、清洗</w:t>
            </w:r>
            <w:r>
              <w:rPr>
                <w:rFonts w:hint="eastAsia"/>
              </w:rPr>
              <w:t>过程中含有机废气的氮气</w:t>
            </w:r>
            <w:r>
              <w:rPr>
                <w:rFonts w:hint="eastAsia"/>
                <w:lang w:eastAsia="zh-CN"/>
              </w:rPr>
              <w:t>，均</w:t>
            </w:r>
            <w:r>
              <w:rPr>
                <w:rFonts w:hint="eastAsia"/>
              </w:rPr>
              <w:t>引入</w:t>
            </w:r>
            <w:r>
              <w:rPr>
                <w:rFonts w:hint="eastAsia"/>
                <w:lang w:val="en-US" w:eastAsia="zh-CN"/>
              </w:rPr>
              <w:t>各废气处理设施进行处理达标排放。</w:t>
            </w:r>
          </w:p>
          <w:p w14:paraId="081881C0">
            <w:pPr>
              <w:ind w:firstLine="480"/>
            </w:pPr>
            <w:r>
              <w:rPr>
                <w:rFonts w:hint="eastAsia"/>
              </w:rPr>
              <w:t>（3）污染物排放控制措施达不到应有效率时</w:t>
            </w:r>
            <w:r>
              <w:t>污染物排放分析</w:t>
            </w:r>
          </w:p>
          <w:p w14:paraId="12F49F63">
            <w:pPr>
              <w:ind w:firstLine="480"/>
            </w:pPr>
            <w:r>
              <w:rPr>
                <w:rFonts w:hint="eastAsia"/>
              </w:rPr>
              <w:t>非正常情况下废气排放影响较大的是各废气处理设施出现故障时的污染物排放。经分析扩建项目各废气处理设施非正常排放情况主要为：</w:t>
            </w:r>
          </w:p>
          <w:p w14:paraId="03A8EBB7">
            <w:pPr>
              <w:ind w:firstLine="480"/>
            </w:pPr>
            <w:r>
              <w:rPr>
                <w:rFonts w:hint="eastAsia"/>
              </w:rPr>
              <w:t>①情景一：MA储</w:t>
            </w:r>
            <w:r>
              <w:t>罐</w:t>
            </w:r>
            <w:r>
              <w:rPr>
                <w:rFonts w:hint="eastAsia"/>
              </w:rPr>
              <w:t>废气处理系统故障，当水洗塔+碱</w:t>
            </w:r>
            <w:r>
              <w:t>洗塔</w:t>
            </w:r>
            <w:r>
              <w:rPr>
                <w:rFonts w:hint="eastAsia"/>
              </w:rPr>
              <w:t>故障、活性炭吸附处理运行正常时，水洗及碱洗废水未能及时排出，由于水洗及碱洗废水仍可吸收MA，则水洗塔+碱洗塔处理效率下降至为20%，活性炭吸附处理效率不变，综合处理效率下降至60%，作为非正常工况污染源；</w:t>
            </w:r>
          </w:p>
          <w:p w14:paraId="6E42CE21">
            <w:pPr>
              <w:ind w:firstLine="480"/>
            </w:pPr>
            <w:r>
              <w:rPr>
                <w:rFonts w:hint="eastAsia"/>
              </w:rPr>
              <w:t>②情景二：</w:t>
            </w:r>
            <w:bookmarkStart w:id="35" w:name="OLE_LINK38"/>
            <w:bookmarkStart w:id="36" w:name="OLE_LINK35"/>
            <w:r>
              <w:rPr>
                <w:rFonts w:hint="eastAsia"/>
              </w:rPr>
              <w:t>BDO</w:t>
            </w:r>
            <w:bookmarkEnd w:id="35"/>
            <w:bookmarkEnd w:id="36"/>
            <w:r>
              <w:rPr>
                <w:rFonts w:hint="eastAsia"/>
              </w:rPr>
              <w:t>储</w:t>
            </w:r>
            <w:r>
              <w:t>罐</w:t>
            </w:r>
            <w:r>
              <w:rPr>
                <w:rFonts w:hint="eastAsia"/>
              </w:rPr>
              <w:t>废气处理系统故障，当水洗塔+碱</w:t>
            </w:r>
            <w:r>
              <w:t>洗塔</w:t>
            </w:r>
            <w:r>
              <w:rPr>
                <w:rFonts w:hint="eastAsia"/>
              </w:rPr>
              <w:t>故障、活性炭吸附处理运行正常时，水洗及碱洗废水未能及时排出，由于水洗及碱洗废水仍可吸收MA，则水洗塔+碱洗塔处理效率下降至为20%，活性炭吸附处理效率不变，综合处理效率下降至60%，作为非正常工况污染源。</w:t>
            </w:r>
          </w:p>
          <w:p w14:paraId="3E42C7CB">
            <w:pPr>
              <w:ind w:firstLine="480"/>
            </w:pPr>
            <w:r>
              <w:rPr>
                <w:rFonts w:hint="eastAsia"/>
              </w:rPr>
              <w:t>③情景三：THF储</w:t>
            </w:r>
            <w:r>
              <w:t>罐油气回收系统</w:t>
            </w:r>
            <w:r>
              <w:rPr>
                <w:rFonts w:hint="eastAsia"/>
              </w:rPr>
              <w:t>故障，当油气冷凝发生故障，硅胶吸附处理运行正常时，由于THF产生浓度较高，硅胶吸附能力随之下降，则综合处理效率下降至30%，作为非正常工况污染源。</w:t>
            </w:r>
          </w:p>
          <w:p w14:paraId="3D136FBB">
            <w:pPr>
              <w:ind w:firstLine="480"/>
            </w:pPr>
            <w:r>
              <w:rPr>
                <w:rFonts w:hint="eastAsia"/>
              </w:rPr>
              <w:t>④情景四：MA装车废气处理系统故障，当水洗塔+碱</w:t>
            </w:r>
            <w:r>
              <w:t>洗塔</w:t>
            </w:r>
            <w:r>
              <w:rPr>
                <w:rFonts w:hint="eastAsia"/>
              </w:rPr>
              <w:t>故障、活性炭吸附处理运行正常时，水洗及碱洗废水未能及时排出，由于水洗及碱洗废水仍可吸收MA，则水洗塔+碱洗塔处理效率下降至为20%，活性炭吸附处理效率不变，综合处理效率下降至60%，作为非正常工况污染源；</w:t>
            </w:r>
          </w:p>
          <w:p w14:paraId="357756C1">
            <w:pPr>
              <w:ind w:firstLine="480"/>
            </w:pPr>
            <w:r>
              <w:rPr>
                <w:rFonts w:hint="eastAsia"/>
              </w:rPr>
              <w:t>⑤情景五：</w:t>
            </w:r>
            <w:r>
              <w:t>BDO装车</w:t>
            </w:r>
            <w:r>
              <w:rPr>
                <w:rFonts w:hint="eastAsia"/>
              </w:rPr>
              <w:t>废气处理系统故障，当水洗塔+碱</w:t>
            </w:r>
            <w:r>
              <w:t>洗塔</w:t>
            </w:r>
            <w:r>
              <w:rPr>
                <w:rFonts w:hint="eastAsia"/>
              </w:rPr>
              <w:t>故障、活性炭吸附处理运行正常时，水洗及碱洗废水未能及时排出，由于水洗及碱洗废水仍可吸收MA，则水洗塔+碱洗塔处理效率下降至为20%，活性炭吸附处理效率不变，综合处理效率下降至60%，作为非正常工况污染源。</w:t>
            </w:r>
          </w:p>
          <w:p w14:paraId="01289515">
            <w:pPr>
              <w:ind w:firstLine="480"/>
            </w:pPr>
            <w:r>
              <w:rPr>
                <w:rFonts w:hint="eastAsia"/>
              </w:rPr>
              <w:t>⑥情景六：</w:t>
            </w:r>
            <w:r>
              <w:t>THF装车油气回收系统</w:t>
            </w:r>
            <w:r>
              <w:rPr>
                <w:rFonts w:hint="eastAsia"/>
              </w:rPr>
              <w:t>故障，当油气冷凝发生故障，硅胶吸附处理运行正常时，由于THF产生浓度较高，硅胶吸附能力随之下降，则综合处理效率下降至30%，作为非正常工况污染源。</w:t>
            </w:r>
          </w:p>
          <w:p w14:paraId="73289EC6">
            <w:pPr>
              <w:ind w:firstLine="480"/>
            </w:pPr>
            <w:r>
              <w:rPr>
                <w:rFonts w:hint="eastAsia"/>
              </w:rPr>
              <w:t>⑦情景七：</w:t>
            </w:r>
            <w:r>
              <w:t>BDO装</w:t>
            </w:r>
            <w:r>
              <w:rPr>
                <w:rFonts w:hint="eastAsia"/>
              </w:rPr>
              <w:t>船废气处理系统故障，当水洗塔+碱</w:t>
            </w:r>
            <w:r>
              <w:t>洗塔</w:t>
            </w:r>
            <w:r>
              <w:rPr>
                <w:rFonts w:hint="eastAsia"/>
              </w:rPr>
              <w:t>故障、活性炭吸附处理运行正常时，水洗及碱洗废水未能及时排出，由于水洗及碱洗废水仍可吸收MA，则水洗塔+碱洗塔处理效率下降至为20%，活性炭吸附处理效率不变，综合处理效率下降至60%，作为非正常工况污染源。</w:t>
            </w:r>
          </w:p>
          <w:p w14:paraId="1F04D5C8">
            <w:pPr>
              <w:ind w:firstLine="480"/>
            </w:pPr>
            <w:r>
              <w:rPr>
                <w:rFonts w:hint="eastAsia"/>
              </w:rPr>
              <w:t>⑧情景八：</w:t>
            </w:r>
            <w:r>
              <w:t>危险废物贮存库活性炭吸附</w:t>
            </w:r>
            <w:r>
              <w:rPr>
                <w:rFonts w:hint="eastAsia"/>
              </w:rPr>
              <w:t>装置故障，采用二级活性炭吸附装置，当一级活性炭吸附失效，非甲烷总烃的处理效率下降至50%，作为非正常工况污染源。</w:t>
            </w:r>
          </w:p>
          <w:p w14:paraId="3C678FD1">
            <w:pPr>
              <w:spacing w:line="240" w:lineRule="auto"/>
              <w:ind w:firstLine="0" w:firstLineChars="0"/>
              <w:jc w:val="center"/>
              <w:rPr>
                <w:b/>
                <w:szCs w:val="20"/>
              </w:rPr>
            </w:pPr>
            <w:r>
              <w:rPr>
                <w:rFonts w:hint="eastAsia"/>
                <w:b/>
                <w:szCs w:val="20"/>
              </w:rPr>
              <w:t>.</w:t>
            </w:r>
            <w:r>
              <w:rPr>
                <w:b/>
                <w:szCs w:val="20"/>
              </w:rPr>
              <w:t>表4.2-</w:t>
            </w:r>
            <w:r>
              <w:rPr>
                <w:rFonts w:hint="eastAsia"/>
                <w:b/>
                <w:szCs w:val="20"/>
              </w:rPr>
              <w:t>8扩建项目非正常工况废气排放情况</w:t>
            </w:r>
          </w:p>
          <w:p w14:paraId="4067B76A">
            <w:pPr>
              <w:ind w:firstLine="0" w:firstLineChars="0"/>
              <w:jc w:val="center"/>
              <w:rPr>
                <w:kern w:val="0"/>
              </w:rPr>
            </w:pPr>
            <w:r>
              <w:rPr>
                <w:rFonts w:hint="eastAsia"/>
                <w:b/>
              </w:rPr>
              <w:t>***（略，涉及商业秘密）</w:t>
            </w:r>
          </w:p>
          <w:p w14:paraId="4C037B30">
            <w:pPr>
              <w:pStyle w:val="2"/>
              <w:ind w:firstLine="480"/>
              <w:rPr>
                <w:lang w:val="en-US" w:eastAsia="zh-CN"/>
              </w:rPr>
            </w:pPr>
          </w:p>
          <w:p w14:paraId="6609EC01">
            <w:pPr>
              <w:ind w:firstLine="480"/>
            </w:pPr>
            <w:r>
              <w:rPr>
                <w:rFonts w:hint="eastAsia"/>
              </w:rPr>
              <w:t>扩建项目在污染物排放控制措施达不到应有效率时，MA、BDO、THF、非甲烷总烃非正常工况排放对周围大气环境影响增大。本评价建议建设单位在实际生产运行中应做好设备的维护和保养，确保设备稳定运行，一旦发生非正常工况，应及时在保证安全的情况下停止排污，严禁超标排放。</w:t>
            </w:r>
          </w:p>
          <w:p w14:paraId="297E7327">
            <w:pPr>
              <w:pStyle w:val="8"/>
              <w:tabs>
                <w:tab w:val="left" w:pos="5400"/>
              </w:tabs>
              <w:spacing w:before="120"/>
              <w:rPr>
                <w:lang w:val="en-US" w:eastAsia="zh-CN"/>
              </w:rPr>
            </w:pPr>
            <w:r>
              <w:rPr>
                <w:lang w:val="en-US" w:eastAsia="zh-CN"/>
              </w:rPr>
              <w:t>4.2.</w:t>
            </w:r>
            <w:r>
              <w:rPr>
                <w:rFonts w:hint="eastAsia"/>
                <w:lang w:val="en-US" w:eastAsia="zh-CN"/>
              </w:rPr>
              <w:t>4</w:t>
            </w:r>
            <w:r>
              <w:rPr>
                <w:lang w:val="en-US" w:eastAsia="zh-CN"/>
              </w:rPr>
              <w:t>废气达标分析</w:t>
            </w:r>
          </w:p>
          <w:p w14:paraId="08825C8A">
            <w:pPr>
              <w:ind w:firstLine="480"/>
            </w:pPr>
            <w:r>
              <w:t>项目废气达标排放分析见</w:t>
            </w:r>
            <w:r>
              <w:rPr>
                <w:rFonts w:hint="eastAsia"/>
              </w:rPr>
              <w:t>下表</w:t>
            </w:r>
            <w:r>
              <w:t>。</w:t>
            </w:r>
          </w:p>
          <w:p w14:paraId="5A436E31">
            <w:pPr>
              <w:spacing w:line="240" w:lineRule="auto"/>
              <w:ind w:firstLine="0" w:firstLineChars="0"/>
              <w:jc w:val="center"/>
              <w:rPr>
                <w:b/>
                <w:szCs w:val="20"/>
              </w:rPr>
            </w:pPr>
            <w:r>
              <w:rPr>
                <w:b/>
                <w:szCs w:val="20"/>
              </w:rPr>
              <w:t>表4.2-</w:t>
            </w:r>
            <w:r>
              <w:rPr>
                <w:rFonts w:hint="eastAsia"/>
                <w:b/>
                <w:szCs w:val="20"/>
              </w:rPr>
              <w:t>9扩建后项目</w:t>
            </w:r>
            <w:r>
              <w:rPr>
                <w:b/>
                <w:szCs w:val="20"/>
              </w:rPr>
              <w:t>大气污染物达标排放一览表</w:t>
            </w:r>
          </w:p>
          <w:p w14:paraId="001794F1">
            <w:pPr>
              <w:pStyle w:val="2"/>
              <w:ind w:firstLine="482"/>
              <w:jc w:val="center"/>
              <w:rPr>
                <w:lang w:val="en-US" w:eastAsia="zh-CN"/>
              </w:rPr>
            </w:pPr>
            <w:r>
              <w:rPr>
                <w:rFonts w:hint="eastAsia"/>
                <w:b/>
              </w:rPr>
              <w:t>***（略，涉及商业秘密）</w:t>
            </w:r>
          </w:p>
          <w:p w14:paraId="39C1B4CC">
            <w:pPr>
              <w:pStyle w:val="2"/>
              <w:ind w:firstLine="480"/>
              <w:rPr>
                <w:lang w:val="en-US" w:eastAsia="zh-CN"/>
              </w:rPr>
            </w:pPr>
          </w:p>
          <w:p w14:paraId="40FEC3B8">
            <w:pPr>
              <w:pStyle w:val="3"/>
              <w:ind w:firstLine="480"/>
              <w:rPr>
                <w:szCs w:val="24"/>
              </w:rPr>
            </w:pPr>
            <w:r>
              <w:rPr>
                <w:szCs w:val="24"/>
              </w:rPr>
              <w:t>根据</w:t>
            </w:r>
            <w:r>
              <w:rPr>
                <w:rFonts w:hint="eastAsia"/>
                <w:szCs w:val="24"/>
              </w:rPr>
              <w:t>上表可知</w:t>
            </w:r>
            <w:r>
              <w:rPr>
                <w:szCs w:val="24"/>
              </w:rPr>
              <w:t>，扩建项目所产生的有机废气经处理后</w:t>
            </w:r>
            <w:r>
              <w:rPr>
                <w:rFonts w:hint="eastAsia"/>
                <w:szCs w:val="24"/>
              </w:rPr>
              <w:t>，</w:t>
            </w:r>
            <w:r>
              <w:rPr>
                <w:szCs w:val="24"/>
              </w:rPr>
              <w:t>顺酐</w:t>
            </w:r>
            <w:r>
              <w:rPr>
                <w:rFonts w:hint="eastAsia"/>
                <w:szCs w:val="24"/>
              </w:rPr>
              <w:t>（MA）</w:t>
            </w:r>
            <w:r>
              <w:rPr>
                <w:szCs w:val="24"/>
              </w:rPr>
              <w:t>、四氢呋喃（THF）废气排放</w:t>
            </w:r>
            <w:r>
              <w:rPr>
                <w:rFonts w:hint="eastAsia"/>
                <w:szCs w:val="24"/>
              </w:rPr>
              <w:t>符合</w:t>
            </w:r>
            <w:r>
              <w:rPr>
                <w:szCs w:val="24"/>
              </w:rPr>
              <w:t>《石油化学工业污染物排放标准》（GB31571-2015）及其修改单表6</w:t>
            </w:r>
            <w:r>
              <w:rPr>
                <w:rFonts w:hint="eastAsia"/>
                <w:szCs w:val="24"/>
              </w:rPr>
              <w:t>中</w:t>
            </w:r>
            <w:r>
              <w:rPr>
                <w:szCs w:val="24"/>
              </w:rPr>
              <w:t>的标准。</w:t>
            </w:r>
            <w:r>
              <w:rPr>
                <w:rFonts w:hint="eastAsia"/>
                <w:szCs w:val="24"/>
              </w:rPr>
              <w:t>非</w:t>
            </w:r>
            <w:r>
              <w:rPr>
                <w:szCs w:val="24"/>
              </w:rPr>
              <w:t>甲烷</w:t>
            </w:r>
            <w:r>
              <w:rPr>
                <w:rFonts w:hint="eastAsia"/>
                <w:szCs w:val="24"/>
              </w:rPr>
              <w:t>总</w:t>
            </w:r>
            <w:r>
              <w:rPr>
                <w:szCs w:val="24"/>
              </w:rPr>
              <w:t>烃</w:t>
            </w:r>
            <w:r>
              <w:rPr>
                <w:rFonts w:hint="eastAsia"/>
                <w:szCs w:val="24"/>
              </w:rPr>
              <w:t>（1,4-丁二醇（BDO））</w:t>
            </w:r>
            <w:r>
              <w:rPr>
                <w:szCs w:val="24"/>
              </w:rPr>
              <w:t>排放</w:t>
            </w:r>
            <w:r>
              <w:rPr>
                <w:rFonts w:hint="eastAsia"/>
                <w:szCs w:val="24"/>
              </w:rPr>
              <w:t>符合</w:t>
            </w:r>
            <w:r>
              <w:rPr>
                <w:szCs w:val="24"/>
              </w:rPr>
              <w:t>《</w:t>
            </w:r>
            <w:r>
              <w:rPr>
                <w:rFonts w:hint="eastAsia"/>
                <w:szCs w:val="24"/>
              </w:rPr>
              <w:t>工业企业挥发性有机物排放标准》（DB35/1782-2018）表1中排放限值。</w:t>
            </w:r>
            <w:r>
              <w:rPr>
                <w:szCs w:val="24"/>
              </w:rPr>
              <w:t>对周边大气环境影响较小。</w:t>
            </w:r>
          </w:p>
          <w:p w14:paraId="39FF1A05">
            <w:pPr>
              <w:pStyle w:val="68"/>
              <w:ind w:firstLine="480"/>
              <w:rPr>
                <w:sz w:val="24"/>
                <w:szCs w:val="24"/>
                <w:lang w:val="en-US" w:eastAsia="zh-CN"/>
              </w:rPr>
            </w:pPr>
            <w:bookmarkStart w:id="37" w:name="_Ref106818818"/>
            <w:r>
              <w:rPr>
                <w:rFonts w:hint="eastAsia"/>
                <w:sz w:val="24"/>
                <w:szCs w:val="24"/>
                <w:lang w:val="en-US" w:eastAsia="zh-CN"/>
              </w:rPr>
              <w:t>表4.2-10扩建项目</w:t>
            </w:r>
            <w:r>
              <w:rPr>
                <w:sz w:val="24"/>
                <w:szCs w:val="24"/>
                <w:lang w:val="en-US" w:eastAsia="zh-CN"/>
              </w:rPr>
              <w:t>工艺过程VOCs与无组织排放控制措施与（GB37822-2019）符合性</w:t>
            </w:r>
            <w:bookmarkEnd w:id="37"/>
            <w:r>
              <w:rPr>
                <w:sz w:val="24"/>
                <w:szCs w:val="24"/>
                <w:lang w:val="en-US" w:eastAsia="zh-CN"/>
              </w:rPr>
              <w:t>分析</w:t>
            </w:r>
          </w:p>
          <w:p w14:paraId="5C240942">
            <w:pPr>
              <w:pStyle w:val="2"/>
              <w:ind w:firstLine="482"/>
              <w:jc w:val="center"/>
              <w:rPr>
                <w:lang w:val="en-US" w:eastAsia="zh-CN"/>
              </w:rPr>
            </w:pPr>
            <w:r>
              <w:rPr>
                <w:rFonts w:hint="eastAsia"/>
                <w:b/>
              </w:rPr>
              <w:t>***（略，涉及商业秘密）</w:t>
            </w:r>
          </w:p>
          <w:p w14:paraId="5B080F1B">
            <w:pPr>
              <w:ind w:firstLine="480"/>
            </w:pPr>
          </w:p>
          <w:p w14:paraId="431B15C8">
            <w:pPr>
              <w:adjustRightInd w:val="0"/>
              <w:snapToGrid w:val="0"/>
              <w:ind w:firstLine="0" w:firstLineChars="0"/>
              <w:rPr>
                <w:szCs w:val="22"/>
              </w:rPr>
            </w:pPr>
          </w:p>
        </w:tc>
      </w:tr>
    </w:tbl>
    <w:p w14:paraId="74F2C5C9">
      <w:pPr>
        <w:adjustRightInd w:val="0"/>
        <w:snapToGrid w:val="0"/>
        <w:ind w:firstLine="562"/>
        <w:rPr>
          <w:b/>
          <w:kern w:val="0"/>
          <w:sz w:val="28"/>
          <w:szCs w:val="28"/>
        </w:rPr>
        <w:sectPr>
          <w:footerReference r:id="rId32" w:type="default"/>
          <w:pgSz w:w="23814" w:h="16839" w:orient="landscape"/>
          <w:pgMar w:top="1417" w:right="1417" w:bottom="1417" w:left="1417" w:header="851" w:footer="850" w:gutter="0"/>
          <w:cols w:space="720" w:num="1"/>
          <w:docGrid w:linePitch="326"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755"/>
      </w:tblGrid>
      <w:tr w14:paraId="6FF2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1" w:hRule="atLeast"/>
          <w:jc w:val="center"/>
        </w:trPr>
        <w:tc>
          <w:tcPr>
            <w:tcW w:w="534" w:type="dxa"/>
            <w:vAlign w:val="center"/>
          </w:tcPr>
          <w:p w14:paraId="3B345599">
            <w:pPr>
              <w:adjustRightInd w:val="0"/>
              <w:snapToGrid w:val="0"/>
              <w:ind w:firstLine="0" w:firstLineChars="0"/>
              <w:jc w:val="center"/>
              <w:rPr>
                <w:szCs w:val="22"/>
              </w:rPr>
            </w:pPr>
            <w:r>
              <w:rPr>
                <w:szCs w:val="22"/>
              </w:rPr>
              <w:t>运营</w:t>
            </w:r>
          </w:p>
          <w:p w14:paraId="4F6C723B">
            <w:pPr>
              <w:adjustRightInd w:val="0"/>
              <w:snapToGrid w:val="0"/>
              <w:ind w:firstLine="0" w:firstLineChars="0"/>
              <w:jc w:val="center"/>
              <w:rPr>
                <w:szCs w:val="22"/>
              </w:rPr>
            </w:pPr>
            <w:r>
              <w:rPr>
                <w:szCs w:val="22"/>
              </w:rPr>
              <w:t>期环</w:t>
            </w:r>
          </w:p>
          <w:p w14:paraId="6E8FA462">
            <w:pPr>
              <w:adjustRightInd w:val="0"/>
              <w:snapToGrid w:val="0"/>
              <w:ind w:firstLine="0" w:firstLineChars="0"/>
              <w:jc w:val="center"/>
              <w:rPr>
                <w:szCs w:val="22"/>
              </w:rPr>
            </w:pPr>
            <w:r>
              <w:rPr>
                <w:szCs w:val="22"/>
              </w:rPr>
              <w:t>境影</w:t>
            </w:r>
          </w:p>
          <w:p w14:paraId="45F606DF">
            <w:pPr>
              <w:adjustRightInd w:val="0"/>
              <w:snapToGrid w:val="0"/>
              <w:ind w:firstLine="0" w:firstLineChars="0"/>
              <w:jc w:val="center"/>
              <w:rPr>
                <w:szCs w:val="22"/>
              </w:rPr>
            </w:pPr>
            <w:r>
              <w:rPr>
                <w:szCs w:val="22"/>
              </w:rPr>
              <w:t>响和</w:t>
            </w:r>
          </w:p>
          <w:p w14:paraId="4483C71A">
            <w:pPr>
              <w:adjustRightInd w:val="0"/>
              <w:snapToGrid w:val="0"/>
              <w:ind w:firstLine="0" w:firstLineChars="0"/>
              <w:jc w:val="center"/>
              <w:rPr>
                <w:szCs w:val="22"/>
              </w:rPr>
            </w:pPr>
            <w:r>
              <w:rPr>
                <w:szCs w:val="22"/>
              </w:rPr>
              <w:t>保护</w:t>
            </w:r>
          </w:p>
          <w:p w14:paraId="20300FCC">
            <w:pPr>
              <w:adjustRightInd w:val="0"/>
              <w:snapToGrid w:val="0"/>
              <w:ind w:firstLine="0" w:firstLineChars="0"/>
              <w:rPr>
                <w:b/>
                <w:kern w:val="0"/>
                <w:sz w:val="28"/>
                <w:szCs w:val="28"/>
              </w:rPr>
            </w:pPr>
            <w:r>
              <w:rPr>
                <w:szCs w:val="22"/>
              </w:rPr>
              <w:t>措施</w:t>
            </w:r>
          </w:p>
        </w:tc>
        <w:tc>
          <w:tcPr>
            <w:tcW w:w="8755" w:type="dxa"/>
            <w:vAlign w:val="center"/>
          </w:tcPr>
          <w:p w14:paraId="25CFEBF7">
            <w:pPr>
              <w:pStyle w:val="8"/>
              <w:tabs>
                <w:tab w:val="left" w:pos="5400"/>
              </w:tabs>
              <w:spacing w:before="120"/>
              <w:rPr>
                <w:lang w:val="en-US" w:eastAsia="zh-CN"/>
              </w:rPr>
            </w:pPr>
            <w:r>
              <w:rPr>
                <w:rFonts w:hint="eastAsia"/>
                <w:lang w:val="en-US" w:eastAsia="zh-CN"/>
              </w:rPr>
              <w:t>4.2.5</w:t>
            </w:r>
            <w:r>
              <w:rPr>
                <w:lang w:val="en-US" w:eastAsia="zh-CN"/>
              </w:rPr>
              <w:t>大气污染物排放量核算</w:t>
            </w:r>
          </w:p>
          <w:p w14:paraId="43144987">
            <w:pPr>
              <w:snapToGrid w:val="0"/>
              <w:ind w:firstLine="480"/>
            </w:pPr>
            <w:r>
              <w:rPr>
                <w:rFonts w:hint="eastAsia"/>
              </w:rPr>
              <w:t>MA、BDO、THF废气为挥发性有机物,根据</w:t>
            </w:r>
            <w:r>
              <w:t>《石油化学工业污染物排放标准》（GB31571-2015）及其修改单</w:t>
            </w:r>
            <w:r>
              <w:rPr>
                <w:rFonts w:hint="eastAsia"/>
              </w:rPr>
              <w:t>第3.12条，本标准使用“非甲烷总烃（NMHC）”作为排气筒和厂界挥发性有机物排放的综合控制指标。因此MA、BDO、THF均以非甲烷总烃计。</w:t>
            </w:r>
          </w:p>
          <w:p w14:paraId="2BF39B01">
            <w:pPr>
              <w:snapToGrid w:val="0"/>
              <w:ind w:firstLine="480"/>
            </w:pPr>
            <w:r>
              <w:t>大气污染物年排放量包括项目各有组织排放源和无组织排放和无组织排放在正常排放条件下的预测排放量之和。污染物年排放量公式如下：</w:t>
            </w:r>
          </w:p>
          <w:p w14:paraId="74E104F1">
            <w:pPr>
              <w:pStyle w:val="2"/>
              <w:ind w:firstLine="0" w:firstLineChars="0"/>
              <w:jc w:val="center"/>
              <w:rPr>
                <w:lang w:val="en-US" w:eastAsia="zh-CN"/>
              </w:rPr>
            </w:pPr>
            <w:r>
              <w:rPr>
                <w:lang w:val="en-US" w:eastAsia="zh-CN"/>
              </w:rPr>
              <w:drawing>
                <wp:inline distT="0" distB="0" distL="0" distR="0">
                  <wp:extent cx="5113020" cy="4114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113020" cy="411480"/>
                          </a:xfrm>
                          <a:prstGeom prst="rect">
                            <a:avLst/>
                          </a:prstGeom>
                          <a:noFill/>
                          <a:ln>
                            <a:noFill/>
                          </a:ln>
                        </pic:spPr>
                      </pic:pic>
                    </a:graphicData>
                  </a:graphic>
                </wp:inline>
              </w:drawing>
            </w:r>
          </w:p>
          <w:p w14:paraId="094EE71A">
            <w:pPr>
              <w:snapToGrid w:val="0"/>
              <w:ind w:firstLine="480"/>
            </w:pPr>
            <w:r>
              <w:t>式中：E年排放——项目年排放量，t/a；</w:t>
            </w:r>
          </w:p>
          <w:p w14:paraId="73B6748F">
            <w:pPr>
              <w:snapToGrid w:val="0"/>
              <w:ind w:firstLine="480"/>
            </w:pPr>
            <w:r>
              <w:t>Mi有组织——第i个有组织排放源排放速率，kg/h；</w:t>
            </w:r>
          </w:p>
          <w:p w14:paraId="7C1D2DE6">
            <w:pPr>
              <w:snapToGrid w:val="0"/>
              <w:ind w:firstLine="480"/>
            </w:pPr>
            <w:r>
              <w:t>Ｈi有组织——第i个有组织排放源年有效排放小时数，h/a；</w:t>
            </w:r>
          </w:p>
          <w:p w14:paraId="6AF717CD">
            <w:pPr>
              <w:snapToGrid w:val="0"/>
              <w:ind w:firstLine="480"/>
            </w:pPr>
            <w:r>
              <w:t>Mj无组织——第j个无组织排放源排放速率，kg/h；</w:t>
            </w:r>
          </w:p>
          <w:p w14:paraId="194E3179">
            <w:pPr>
              <w:snapToGrid w:val="0"/>
              <w:ind w:firstLine="480"/>
            </w:pPr>
            <w:r>
              <w:t>Ｈj无组织——第j个无组织排放源全年有效排放小时数，h/a。</w:t>
            </w:r>
          </w:p>
          <w:p w14:paraId="3F5025D1">
            <w:pPr>
              <w:pStyle w:val="68"/>
              <w:ind w:firstLine="480"/>
              <w:rPr>
                <w:sz w:val="24"/>
                <w:szCs w:val="24"/>
                <w:lang w:val="en-US" w:eastAsia="zh-CN"/>
              </w:rPr>
            </w:pPr>
            <w:r>
              <w:rPr>
                <w:rFonts w:hint="eastAsia"/>
                <w:sz w:val="24"/>
                <w:szCs w:val="24"/>
                <w:lang w:val="en-US" w:eastAsia="zh-CN"/>
              </w:rPr>
              <w:t>表4.2-11</w:t>
            </w:r>
            <w:r>
              <w:rPr>
                <w:sz w:val="24"/>
                <w:szCs w:val="24"/>
                <w:lang w:val="en-US" w:eastAsia="zh-CN"/>
              </w:rPr>
              <w:t>大气污染物有组织排放量核算表</w:t>
            </w:r>
          </w:p>
          <w:p w14:paraId="757141A7">
            <w:pPr>
              <w:pStyle w:val="2"/>
              <w:ind w:firstLine="482"/>
              <w:jc w:val="center"/>
              <w:rPr>
                <w:lang w:val="en-US" w:eastAsia="zh-CN"/>
              </w:rPr>
            </w:pPr>
            <w:r>
              <w:rPr>
                <w:rFonts w:hint="eastAsia"/>
                <w:b/>
              </w:rPr>
              <w:t>***（略，涉及商业秘密）</w:t>
            </w:r>
          </w:p>
          <w:p w14:paraId="72566FDD">
            <w:pPr>
              <w:pStyle w:val="68"/>
              <w:ind w:firstLine="480"/>
              <w:rPr>
                <w:sz w:val="24"/>
                <w:szCs w:val="24"/>
                <w:lang w:val="en-US" w:eastAsia="zh-CN"/>
              </w:rPr>
            </w:pPr>
          </w:p>
          <w:p w14:paraId="5027E716">
            <w:pPr>
              <w:pStyle w:val="68"/>
              <w:ind w:firstLine="480"/>
              <w:rPr>
                <w:sz w:val="24"/>
                <w:szCs w:val="24"/>
                <w:lang w:val="en-US" w:eastAsia="zh-CN"/>
              </w:rPr>
            </w:pPr>
            <w:r>
              <w:rPr>
                <w:rFonts w:hint="eastAsia"/>
                <w:sz w:val="24"/>
                <w:szCs w:val="24"/>
                <w:lang w:val="en-US" w:eastAsia="zh-CN"/>
              </w:rPr>
              <w:t>表4.2-12</w:t>
            </w:r>
            <w:r>
              <w:rPr>
                <w:sz w:val="24"/>
                <w:szCs w:val="24"/>
                <w:lang w:val="en-US" w:eastAsia="zh-CN"/>
              </w:rPr>
              <w:t>大气污染物无组织排放量核算表</w:t>
            </w:r>
          </w:p>
          <w:p w14:paraId="6A545077">
            <w:pPr>
              <w:pStyle w:val="2"/>
              <w:ind w:firstLine="482"/>
              <w:jc w:val="center"/>
            </w:pPr>
            <w:r>
              <w:rPr>
                <w:rFonts w:hint="eastAsia"/>
                <w:b/>
              </w:rPr>
              <w:t>***（略，涉及商业秘密）</w:t>
            </w:r>
          </w:p>
          <w:p w14:paraId="591E674E">
            <w:pPr>
              <w:pStyle w:val="68"/>
              <w:ind w:firstLine="480"/>
              <w:rPr>
                <w:sz w:val="24"/>
                <w:szCs w:val="24"/>
                <w:lang w:val="en-US" w:eastAsia="zh-CN"/>
              </w:rPr>
            </w:pPr>
          </w:p>
          <w:p w14:paraId="4E6E69B5">
            <w:pPr>
              <w:pStyle w:val="68"/>
              <w:ind w:firstLine="480"/>
              <w:rPr>
                <w:sz w:val="24"/>
                <w:szCs w:val="24"/>
                <w:lang w:val="en-US" w:eastAsia="zh-CN"/>
              </w:rPr>
            </w:pPr>
            <w:r>
              <w:rPr>
                <w:rFonts w:hint="eastAsia"/>
                <w:sz w:val="24"/>
                <w:szCs w:val="24"/>
                <w:lang w:val="en-US" w:eastAsia="zh-CN"/>
              </w:rPr>
              <w:t>表4.2-13</w:t>
            </w:r>
            <w:r>
              <w:rPr>
                <w:sz w:val="24"/>
                <w:szCs w:val="24"/>
                <w:lang w:val="en-US" w:eastAsia="zh-CN"/>
              </w:rPr>
              <w:t>大气污染物年排放量核算表</w:t>
            </w:r>
          </w:p>
          <w:p w14:paraId="02B9B397">
            <w:pPr>
              <w:pStyle w:val="2"/>
              <w:ind w:firstLine="482"/>
              <w:jc w:val="center"/>
              <w:rPr>
                <w:lang w:val="en-US" w:eastAsia="zh-CN"/>
              </w:rPr>
            </w:pPr>
            <w:r>
              <w:rPr>
                <w:rFonts w:hint="eastAsia"/>
                <w:b/>
              </w:rPr>
              <w:t>***（略，涉及商业秘密）</w:t>
            </w:r>
          </w:p>
          <w:p w14:paraId="682F2959">
            <w:pPr>
              <w:ind w:firstLine="480"/>
            </w:pPr>
          </w:p>
          <w:p w14:paraId="7217A88C">
            <w:pPr>
              <w:pStyle w:val="3"/>
              <w:ind w:firstLine="480"/>
            </w:pPr>
          </w:p>
          <w:p w14:paraId="17A21B74">
            <w:pPr>
              <w:adjustRightInd w:val="0"/>
              <w:snapToGrid w:val="0"/>
              <w:ind w:firstLine="0" w:firstLineChars="0"/>
              <w:rPr>
                <w:b/>
                <w:kern w:val="0"/>
                <w:sz w:val="28"/>
                <w:szCs w:val="28"/>
              </w:rPr>
            </w:pPr>
          </w:p>
        </w:tc>
      </w:tr>
    </w:tbl>
    <w:p w14:paraId="766CBCCA">
      <w:pPr>
        <w:adjustRightInd w:val="0"/>
        <w:snapToGrid w:val="0"/>
        <w:ind w:firstLine="562"/>
        <w:rPr>
          <w:b/>
          <w:kern w:val="0"/>
          <w:sz w:val="28"/>
          <w:szCs w:val="28"/>
        </w:rPr>
        <w:sectPr>
          <w:footerReference r:id="rId33" w:type="default"/>
          <w:pgSz w:w="11907" w:h="16839"/>
          <w:pgMar w:top="1417" w:right="1417" w:bottom="1417" w:left="1417" w:header="851" w:footer="850" w:gutter="0"/>
          <w:cols w:space="720" w:num="1"/>
          <w:docGrid w:linePitch="326" w:charSpace="0"/>
        </w:sectPr>
      </w:pPr>
    </w:p>
    <w:tbl>
      <w:tblPr>
        <w:tblStyle w:val="30"/>
        <w:tblW w:w="0" w:type="auto"/>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2"/>
        <w:gridCol w:w="8855"/>
      </w:tblGrid>
      <w:tr w14:paraId="4F31EB3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64" w:hRule="atLeast"/>
          <w:jc w:val="center"/>
        </w:trPr>
        <w:tc>
          <w:tcPr>
            <w:tcW w:w="352" w:type="dxa"/>
            <w:tcMar>
              <w:left w:w="28" w:type="dxa"/>
              <w:right w:w="28" w:type="dxa"/>
            </w:tcMar>
            <w:vAlign w:val="center"/>
          </w:tcPr>
          <w:p w14:paraId="303D85CB">
            <w:pPr>
              <w:adjustRightInd w:val="0"/>
              <w:snapToGrid w:val="0"/>
              <w:ind w:firstLine="0" w:firstLineChars="0"/>
              <w:jc w:val="center"/>
              <w:rPr>
                <w:szCs w:val="22"/>
              </w:rPr>
            </w:pPr>
            <w:r>
              <w:rPr>
                <w:szCs w:val="22"/>
              </w:rPr>
              <w:t>运营</w:t>
            </w:r>
          </w:p>
          <w:p w14:paraId="6427CD8B">
            <w:pPr>
              <w:adjustRightInd w:val="0"/>
              <w:snapToGrid w:val="0"/>
              <w:ind w:firstLine="0" w:firstLineChars="0"/>
              <w:jc w:val="center"/>
              <w:rPr>
                <w:szCs w:val="22"/>
              </w:rPr>
            </w:pPr>
            <w:r>
              <w:rPr>
                <w:szCs w:val="22"/>
              </w:rPr>
              <w:t>期环</w:t>
            </w:r>
          </w:p>
          <w:p w14:paraId="611553F6">
            <w:pPr>
              <w:adjustRightInd w:val="0"/>
              <w:snapToGrid w:val="0"/>
              <w:ind w:firstLine="0" w:firstLineChars="0"/>
              <w:jc w:val="center"/>
              <w:rPr>
                <w:szCs w:val="22"/>
              </w:rPr>
            </w:pPr>
            <w:r>
              <w:rPr>
                <w:szCs w:val="22"/>
              </w:rPr>
              <w:t>境影</w:t>
            </w:r>
          </w:p>
          <w:p w14:paraId="7B7E49C4">
            <w:pPr>
              <w:adjustRightInd w:val="0"/>
              <w:snapToGrid w:val="0"/>
              <w:ind w:firstLine="0" w:firstLineChars="0"/>
              <w:jc w:val="center"/>
              <w:rPr>
                <w:szCs w:val="22"/>
              </w:rPr>
            </w:pPr>
            <w:r>
              <w:rPr>
                <w:szCs w:val="22"/>
              </w:rPr>
              <w:t>响和</w:t>
            </w:r>
          </w:p>
          <w:p w14:paraId="3B43900B">
            <w:pPr>
              <w:adjustRightInd w:val="0"/>
              <w:snapToGrid w:val="0"/>
              <w:ind w:firstLine="0" w:firstLineChars="0"/>
              <w:jc w:val="center"/>
              <w:rPr>
                <w:szCs w:val="22"/>
              </w:rPr>
            </w:pPr>
            <w:r>
              <w:rPr>
                <w:szCs w:val="22"/>
              </w:rPr>
              <w:t>保护</w:t>
            </w:r>
          </w:p>
          <w:p w14:paraId="146A0CED">
            <w:pPr>
              <w:adjustRightInd w:val="0"/>
              <w:snapToGrid w:val="0"/>
              <w:ind w:firstLine="0" w:firstLineChars="0"/>
              <w:jc w:val="center"/>
              <w:rPr>
                <w:szCs w:val="22"/>
              </w:rPr>
            </w:pPr>
            <w:r>
              <w:rPr>
                <w:szCs w:val="22"/>
              </w:rPr>
              <w:t>措施</w:t>
            </w:r>
          </w:p>
        </w:tc>
        <w:tc>
          <w:tcPr>
            <w:tcW w:w="8855" w:type="dxa"/>
            <w:vAlign w:val="center"/>
          </w:tcPr>
          <w:p w14:paraId="4B179325">
            <w:pPr>
              <w:pStyle w:val="7"/>
              <w:tabs>
                <w:tab w:val="left" w:pos="5400"/>
              </w:tabs>
              <w:spacing w:before="120"/>
            </w:pPr>
            <w:r>
              <w:t>4.3运营期水环境影响和保护措施</w:t>
            </w:r>
          </w:p>
          <w:p w14:paraId="3DACFA09">
            <w:pPr>
              <w:pStyle w:val="8"/>
              <w:tabs>
                <w:tab w:val="left" w:pos="5400"/>
              </w:tabs>
              <w:spacing w:before="120"/>
              <w:rPr>
                <w:lang w:val="en-US" w:eastAsia="zh-CN"/>
              </w:rPr>
            </w:pPr>
            <w:r>
              <w:rPr>
                <w:lang w:val="en-US" w:eastAsia="zh-CN"/>
              </w:rPr>
              <w:t>4.3.1废水污染源强分析</w:t>
            </w:r>
          </w:p>
          <w:p w14:paraId="7C453D3F">
            <w:pPr>
              <w:ind w:firstLine="482"/>
              <w:outlineLvl w:val="3"/>
              <w:rPr>
                <w:b/>
                <w:szCs w:val="22"/>
              </w:rPr>
            </w:pPr>
            <w:r>
              <w:rPr>
                <w:b/>
                <w:szCs w:val="22"/>
              </w:rPr>
              <w:t>（1）生活污水</w:t>
            </w:r>
          </w:p>
          <w:p w14:paraId="4652FA08">
            <w:pPr>
              <w:ind w:firstLine="480"/>
            </w:pPr>
            <w:r>
              <w:rPr>
                <w:rFonts w:hint="eastAsia"/>
              </w:rPr>
              <w:t>扩建项目新增员工</w:t>
            </w:r>
            <w:bookmarkStart w:id="38" w:name="OLE_LINK24"/>
            <w:bookmarkStart w:id="39" w:name="OLE_LINK25"/>
            <w:r>
              <w:rPr>
                <w:rFonts w:hint="eastAsia"/>
              </w:rPr>
              <w:t>40</w:t>
            </w:r>
            <w:r>
              <w:t>人</w:t>
            </w:r>
            <w:bookmarkEnd w:id="38"/>
            <w:bookmarkEnd w:id="39"/>
            <w:r>
              <w:t>，</w:t>
            </w:r>
            <w:r>
              <w:rPr>
                <w:rFonts w:hint="eastAsia"/>
              </w:rPr>
              <w:t>四</w:t>
            </w:r>
            <w:r>
              <w:t>班</w:t>
            </w:r>
            <w:r>
              <w:rPr>
                <w:rFonts w:hint="eastAsia"/>
              </w:rPr>
              <w:t>三</w:t>
            </w:r>
            <w:r>
              <w:t>运转，</w:t>
            </w:r>
            <w:r>
              <w:rPr>
                <w:rFonts w:hint="eastAsia"/>
              </w:rPr>
              <w:t>则每班劳动定员为10人，每班工作时长为8小时，因此每天按劳动定员10人进行生活用水量及生活污水量计算。根据</w:t>
            </w:r>
            <w:r>
              <w:t>《福建省行业用水定额》（DB35/T772-2018）城市居民生活用水量（120~180）L/（人·d），考虑劳动者仅上班期间用水，本评价按120L/（人·d）计，项目年工作</w:t>
            </w:r>
            <w:r>
              <w:rPr>
                <w:rFonts w:hint="eastAsia"/>
              </w:rPr>
              <w:t>350</w:t>
            </w:r>
            <w:r>
              <w:t>天（8</w:t>
            </w:r>
            <w:r>
              <w:rPr>
                <w:rFonts w:hint="eastAsia"/>
              </w:rPr>
              <w:t>4</w:t>
            </w:r>
            <w:r>
              <w:t>00h），则用水量约为</w:t>
            </w:r>
            <w:r>
              <w:rPr>
                <w:rFonts w:hint="eastAsia"/>
              </w:rPr>
              <w:t>0.05</w:t>
            </w:r>
            <w:r>
              <w:t>t/h（</w:t>
            </w:r>
            <w:r>
              <w:rPr>
                <w:rFonts w:hint="eastAsia"/>
              </w:rPr>
              <w:t>420</w:t>
            </w:r>
            <w:r>
              <w:t>t/a）；排放系数按用水量的80%计算，则生活污水量为0.</w:t>
            </w:r>
            <w:r>
              <w:rPr>
                <w:rFonts w:hint="eastAsia"/>
              </w:rPr>
              <w:t>04</w:t>
            </w:r>
            <w:r>
              <w:t>t/h（</w:t>
            </w:r>
            <w:r>
              <w:rPr>
                <w:rFonts w:hint="eastAsia"/>
              </w:rPr>
              <w:t>336t</w:t>
            </w:r>
            <w:r>
              <w:t>/a）。根据《给排水设计手册》（第五册城镇排水），生活污水中COD400mg/L、BOD</w:t>
            </w:r>
            <w:r>
              <w:rPr>
                <w:vertAlign w:val="subscript"/>
              </w:rPr>
              <w:t>5</w:t>
            </w:r>
            <w:r>
              <w:t>250mg/L、SS220mg/L、氨氮35mg/L，化粪池对生活污水的处理效率一般为COD15%、BOD</w:t>
            </w:r>
            <w:r>
              <w:rPr>
                <w:vertAlign w:val="subscript"/>
              </w:rPr>
              <w:t>5</w:t>
            </w:r>
            <w:r>
              <w:t>9%、SS30%、NH</w:t>
            </w:r>
            <w:r>
              <w:rPr>
                <w:vertAlign w:val="subscript"/>
              </w:rPr>
              <w:t>3</w:t>
            </w:r>
            <w:r>
              <w:t>-N3%，生活污水经化粪池处理后，送至福州万景石化有限公司污水处理站</w:t>
            </w:r>
            <w:r>
              <w:rPr>
                <w:rFonts w:hint="eastAsia"/>
              </w:rPr>
              <w:t>低浓度废水处理段</w:t>
            </w:r>
            <w:r>
              <w:t>，达江阴污水厂纳管标准后接入江阴污水处理厂污水管网</w:t>
            </w:r>
            <w:r>
              <w:rPr>
                <w:rFonts w:hint="eastAsia"/>
              </w:rPr>
              <w:t>。</w:t>
            </w:r>
          </w:p>
          <w:p w14:paraId="7E5ADA35">
            <w:pPr>
              <w:pStyle w:val="68"/>
              <w:ind w:firstLine="480"/>
              <w:rPr>
                <w:sz w:val="24"/>
                <w:szCs w:val="24"/>
                <w:lang w:val="en-US" w:eastAsia="zh-CN"/>
              </w:rPr>
            </w:pPr>
            <w:r>
              <w:rPr>
                <w:sz w:val="24"/>
                <w:szCs w:val="24"/>
                <w:lang w:val="en-US" w:eastAsia="zh-CN"/>
              </w:rPr>
              <w:t>表</w:t>
            </w:r>
            <w:r>
              <w:rPr>
                <w:rFonts w:hint="eastAsia"/>
                <w:sz w:val="24"/>
                <w:szCs w:val="24"/>
                <w:lang w:val="en-US" w:eastAsia="zh-CN"/>
              </w:rPr>
              <w:t>4.3-1扩建</w:t>
            </w:r>
            <w:r>
              <w:rPr>
                <w:sz w:val="24"/>
                <w:szCs w:val="24"/>
                <w:lang w:val="en-US" w:eastAsia="zh-CN"/>
              </w:rPr>
              <w:t>项目生活污水产排情况一览表</w:t>
            </w:r>
          </w:p>
          <w:p w14:paraId="44ED4E1D">
            <w:pPr>
              <w:pStyle w:val="2"/>
              <w:ind w:firstLine="482"/>
              <w:jc w:val="center"/>
              <w:rPr>
                <w:lang w:val="en-US" w:eastAsia="zh-CN"/>
              </w:rPr>
            </w:pPr>
            <w:r>
              <w:rPr>
                <w:rFonts w:hint="eastAsia"/>
                <w:b/>
              </w:rPr>
              <w:t>***（略，涉及商业秘密）</w:t>
            </w:r>
          </w:p>
          <w:p w14:paraId="2F9AE931">
            <w:pPr>
              <w:ind w:firstLine="482"/>
              <w:rPr>
                <w:b/>
                <w:szCs w:val="22"/>
              </w:rPr>
            </w:pPr>
            <w:r>
              <w:rPr>
                <w:b/>
                <w:szCs w:val="22"/>
              </w:rPr>
              <w:t>（2）生产废水</w:t>
            </w:r>
          </w:p>
          <w:p w14:paraId="799E0BE9">
            <w:pPr>
              <w:pStyle w:val="2"/>
              <w:ind w:firstLine="480"/>
              <w:rPr>
                <w:lang w:val="en-US" w:eastAsia="zh-CN"/>
              </w:rPr>
            </w:pPr>
            <w:r>
              <w:rPr>
                <w:lang w:val="en-US" w:eastAsia="zh-CN"/>
              </w:rPr>
              <w:t>1、地面冲洗废水</w:t>
            </w:r>
          </w:p>
          <w:p w14:paraId="382338B2">
            <w:pPr>
              <w:pStyle w:val="2"/>
              <w:ind w:firstLineChars="175"/>
              <w:rPr>
                <w:lang w:val="en-US" w:eastAsia="zh-CN"/>
              </w:rPr>
            </w:pPr>
            <w:r>
              <w:rPr>
                <w:rFonts w:hint="eastAsia"/>
                <w:szCs w:val="21"/>
                <w:lang w:val="en-US" w:eastAsia="zh-CN"/>
              </w:rPr>
              <w:t>根据工程设计，</w:t>
            </w:r>
            <w:r>
              <w:rPr>
                <w:rFonts w:hint="eastAsia"/>
                <w:lang w:val="en-US" w:eastAsia="zh-CN"/>
              </w:rPr>
              <w:t>本次扩建在码头罐区的预留地扩建</w:t>
            </w:r>
            <w:r>
              <w:rPr>
                <w:rFonts w:hint="eastAsia"/>
                <w:szCs w:val="22"/>
              </w:rPr>
              <w:t>化工品罐组一（MA储罐、BDO储罐）、化工品罐组二（THF储罐）</w:t>
            </w:r>
            <w:r>
              <w:rPr>
                <w:rFonts w:hint="eastAsia"/>
                <w:szCs w:val="22"/>
                <w:lang w:eastAsia="zh-CN"/>
              </w:rPr>
              <w:t>、泵区、</w:t>
            </w:r>
            <w:r>
              <w:rPr>
                <w:szCs w:val="22"/>
                <w:lang w:eastAsia="zh-CN"/>
              </w:rPr>
              <w:t>汽车装车设施二</w:t>
            </w:r>
            <w:r>
              <w:rPr>
                <w:rFonts w:hint="eastAsia"/>
                <w:szCs w:val="22"/>
                <w:lang w:eastAsia="zh-CN"/>
              </w:rPr>
              <w:t>等</w:t>
            </w:r>
            <w:r>
              <w:rPr>
                <w:rFonts w:hint="eastAsia"/>
                <w:lang w:val="en-US" w:eastAsia="zh-CN"/>
              </w:rPr>
              <w:t>。扩建罐</w:t>
            </w:r>
            <w:r>
              <w:rPr>
                <w:lang w:val="en-US" w:eastAsia="zh-CN"/>
              </w:rPr>
              <w:t>组</w:t>
            </w:r>
            <w:r>
              <w:rPr>
                <w:rFonts w:hint="eastAsia"/>
                <w:lang w:val="en-US" w:eastAsia="zh-CN"/>
              </w:rPr>
              <w:t>、泵区及</w:t>
            </w:r>
            <w:r>
              <w:rPr>
                <w:lang w:val="en-US" w:eastAsia="zh-CN"/>
              </w:rPr>
              <w:t>汽车装车</w:t>
            </w:r>
            <w:r>
              <w:rPr>
                <w:rFonts w:hint="eastAsia"/>
                <w:lang w:val="en-US" w:eastAsia="zh-CN"/>
              </w:rPr>
              <w:t>区地面将进</w:t>
            </w:r>
            <w:r>
              <w:rPr>
                <w:lang w:val="en-US" w:eastAsia="zh-CN"/>
              </w:rPr>
              <w:t>行</w:t>
            </w:r>
            <w:r>
              <w:rPr>
                <w:rFonts w:hint="eastAsia"/>
                <w:lang w:val="en-US" w:eastAsia="zh-CN"/>
              </w:rPr>
              <w:t>硬化。现有工程未核算扩建项目预留地的地面冲洗废水，因此本次</w:t>
            </w:r>
            <w:r>
              <w:rPr>
                <w:lang w:val="en-US" w:eastAsia="zh-CN"/>
              </w:rPr>
              <w:t>对</w:t>
            </w:r>
            <w:r>
              <w:rPr>
                <w:rFonts w:hint="eastAsia"/>
                <w:lang w:val="en-US" w:eastAsia="zh-CN"/>
              </w:rPr>
              <w:t>扩建</w:t>
            </w:r>
            <w:r>
              <w:rPr>
                <w:lang w:val="en-US" w:eastAsia="zh-CN"/>
              </w:rPr>
              <w:t>罐组</w:t>
            </w:r>
            <w:r>
              <w:rPr>
                <w:rFonts w:hint="eastAsia"/>
                <w:lang w:val="en-US" w:eastAsia="zh-CN"/>
              </w:rPr>
              <w:t>、泵区及</w:t>
            </w:r>
            <w:r>
              <w:rPr>
                <w:lang w:val="en-US" w:eastAsia="zh-CN"/>
              </w:rPr>
              <w:t>汽车装车区地面冲洗废水进行核算。</w:t>
            </w:r>
          </w:p>
          <w:p w14:paraId="564B4412">
            <w:pPr>
              <w:pStyle w:val="2"/>
              <w:ind w:firstLineChars="175"/>
              <w:rPr>
                <w:lang w:val="en-US" w:eastAsia="zh-CN"/>
              </w:rPr>
            </w:pPr>
            <w:r>
              <w:rPr>
                <w:lang w:val="en-US" w:eastAsia="zh-CN"/>
              </w:rPr>
              <w:t>参考《给水排水标准规范实施手册》（中国建筑工业出版社），冲洗地面用水量按3L/m²·次，本次</w:t>
            </w:r>
            <w:r>
              <w:rPr>
                <w:rFonts w:hint="eastAsia"/>
                <w:lang w:val="en-US" w:eastAsia="zh-CN"/>
              </w:rPr>
              <w:t>化工品罐组一、化工品罐组二、泵区、</w:t>
            </w:r>
            <w:r>
              <w:rPr>
                <w:lang w:val="en-US" w:eastAsia="zh-CN"/>
              </w:rPr>
              <w:t>汽车装车设施二</w:t>
            </w:r>
            <w:r>
              <w:rPr>
                <w:rFonts w:hint="eastAsia"/>
                <w:lang w:val="en-US" w:eastAsia="zh-CN"/>
              </w:rPr>
              <w:t>占</w:t>
            </w:r>
            <w:r>
              <w:rPr>
                <w:lang w:val="en-US" w:eastAsia="zh-CN"/>
              </w:rPr>
              <w:t>地面积约为</w:t>
            </w:r>
            <w:r>
              <w:rPr>
                <w:rFonts w:hint="eastAsia"/>
                <w:lang w:val="en-US" w:eastAsia="zh-CN"/>
              </w:rPr>
              <w:t>12180</w:t>
            </w:r>
            <w:r>
              <w:rPr>
                <w:lang w:val="en-US" w:eastAsia="zh-CN"/>
              </w:rPr>
              <w:t>m²，则冲洗用水约为</w:t>
            </w:r>
            <w:r>
              <w:rPr>
                <w:rFonts w:hint="eastAsia"/>
                <w:lang w:val="en-US" w:eastAsia="zh-CN"/>
              </w:rPr>
              <w:t>36.54</w:t>
            </w:r>
            <w:r>
              <w:rPr>
                <w:lang w:val="en-US" w:eastAsia="zh-CN"/>
              </w:rPr>
              <w:t>t/次，排放系数取80%，冲洗废水量约为</w:t>
            </w:r>
            <w:r>
              <w:rPr>
                <w:rFonts w:hint="eastAsia"/>
                <w:lang w:val="en-US" w:eastAsia="zh-CN"/>
              </w:rPr>
              <w:t>29.23</w:t>
            </w:r>
            <w:r>
              <w:rPr>
                <w:lang w:val="en-US" w:eastAsia="zh-CN"/>
              </w:rPr>
              <w:t>t/次。每周冲洗1次，则冲洗废水量约</w:t>
            </w:r>
            <w:r>
              <w:rPr>
                <w:rFonts w:hint="eastAsia"/>
                <w:lang w:val="en-US" w:eastAsia="zh-CN"/>
              </w:rPr>
              <w:t>1461.5</w:t>
            </w:r>
            <w:r>
              <w:rPr>
                <w:lang w:val="en-US" w:eastAsia="zh-CN"/>
              </w:rPr>
              <w:t>t/a。</w:t>
            </w:r>
          </w:p>
          <w:p w14:paraId="1334B850">
            <w:pPr>
              <w:pStyle w:val="2"/>
              <w:ind w:firstLineChars="175"/>
              <w:rPr>
                <w:lang w:val="en-US" w:eastAsia="zh-CN"/>
              </w:rPr>
            </w:pPr>
            <w:r>
              <w:rPr>
                <w:lang w:val="en-US" w:eastAsia="zh-CN"/>
              </w:rPr>
              <w:t>类比同类液体化工品码头罐区项目</w:t>
            </w:r>
            <w:r>
              <w:rPr>
                <w:rFonts w:hint="eastAsia"/>
                <w:lang w:val="en-US" w:eastAsia="zh-CN"/>
              </w:rPr>
              <w:t>地面</w:t>
            </w:r>
            <w:r>
              <w:rPr>
                <w:lang w:val="en-US" w:eastAsia="zh-CN"/>
              </w:rPr>
              <w:t>冲洗废水水质，COD浓度约100mg/L，SS浓度约3</w:t>
            </w:r>
            <w:r>
              <w:rPr>
                <w:rFonts w:hint="eastAsia"/>
                <w:lang w:val="en-US" w:eastAsia="zh-CN"/>
              </w:rPr>
              <w:t>0</w:t>
            </w:r>
            <w:r>
              <w:rPr>
                <w:lang w:val="en-US" w:eastAsia="zh-CN"/>
              </w:rPr>
              <w:t>0mg/L，石油类浓度约30mg/L。</w:t>
            </w:r>
            <w:r>
              <w:rPr>
                <w:rFonts w:hint="eastAsia"/>
                <w:lang w:val="en-US" w:eastAsia="zh-CN"/>
              </w:rPr>
              <w:t>地面</w:t>
            </w:r>
            <w:r>
              <w:rPr>
                <w:lang w:val="en-US" w:eastAsia="zh-CN"/>
              </w:rPr>
              <w:t>冲洗废水由管网重力流汇至初期雨水收集池，经水泵加压后上管廊送至福州万景石化有限公司污水处理站低浓度废水处理段</w:t>
            </w:r>
            <w:r>
              <w:rPr>
                <w:szCs w:val="18"/>
                <w:lang w:val="en-US" w:eastAsia="zh-CN"/>
              </w:rPr>
              <w:t>。</w:t>
            </w:r>
          </w:p>
          <w:p w14:paraId="1F769EFD">
            <w:pPr>
              <w:pStyle w:val="2"/>
              <w:ind w:firstLine="480"/>
              <w:rPr>
                <w:lang w:val="en-US" w:eastAsia="zh-CN"/>
              </w:rPr>
            </w:pPr>
            <w:r>
              <w:rPr>
                <w:lang w:val="en-US" w:eastAsia="zh-CN"/>
              </w:rPr>
              <w:t>2、初期雨水</w:t>
            </w:r>
          </w:p>
          <w:p w14:paraId="74C3FEC2">
            <w:pPr>
              <w:ind w:firstLine="480"/>
            </w:pPr>
            <w:r>
              <w:rPr>
                <w:rFonts w:hint="eastAsia"/>
              </w:rPr>
              <w:t>现有工程未核算扩建项目预留地的初期雨水，因此本次</w:t>
            </w:r>
            <w:r>
              <w:t>对</w:t>
            </w:r>
            <w:r>
              <w:rPr>
                <w:rFonts w:hint="eastAsia"/>
              </w:rPr>
              <w:t>扩建的化工品罐组一、化工品罐组二、泵区、</w:t>
            </w:r>
            <w:r>
              <w:t>汽车装车设施二</w:t>
            </w:r>
            <w:r>
              <w:rPr>
                <w:rFonts w:hint="eastAsia"/>
              </w:rPr>
              <w:t>、</w:t>
            </w:r>
            <w:r>
              <w:t>危废贮存库</w:t>
            </w:r>
            <w:r>
              <w:rPr>
                <w:rFonts w:hint="eastAsia"/>
              </w:rPr>
              <w:t>产生的</w:t>
            </w:r>
            <w:r>
              <w:t>初期雨水</w:t>
            </w:r>
            <w:r>
              <w:rPr>
                <w:rFonts w:hint="eastAsia"/>
              </w:rPr>
              <w:t>进行核算，并纳入新建</w:t>
            </w:r>
            <w:r>
              <w:t>的</w:t>
            </w:r>
            <w:r>
              <w:rPr>
                <w:rFonts w:hint="eastAsia"/>
              </w:rPr>
              <w:t>1700m³初期雨水池。由于</w:t>
            </w:r>
            <w:r>
              <w:t>初期雨水含有一定的污染物，需要收集处置。</w:t>
            </w:r>
          </w:p>
          <w:p w14:paraId="400A6C6C">
            <w:pPr>
              <w:pStyle w:val="141"/>
              <w:ind w:firstLine="480"/>
              <w:rPr>
                <w:lang w:val="en-US" w:eastAsia="zh-CN"/>
              </w:rPr>
            </w:pPr>
            <w:r>
              <w:rPr>
                <w:lang w:val="en-US" w:eastAsia="zh-CN"/>
              </w:rPr>
              <w:t>各罐</w:t>
            </w:r>
            <w:r>
              <w:rPr>
                <w:rFonts w:hint="eastAsia"/>
                <w:lang w:val="en-US" w:eastAsia="zh-CN"/>
              </w:rPr>
              <w:t>组</w:t>
            </w:r>
            <w:r>
              <w:rPr>
                <w:lang w:val="en-US" w:eastAsia="zh-CN"/>
              </w:rPr>
              <w:t>周围设置围堰，围堰外设置初期污染雨水和清洁雨水切换阀门和初期污染雨水池，平时通往初期污染雨水池的阀门常开，当初期污染雨水池液位达到设定值且水质合格时，打开清洁雨水阀门，后期雨水通过清洁雨水管网收集经雨水检测井检测后排放。根据《石油化工给水排水系统设计规范》（SH/T3015-2019）</w:t>
            </w:r>
            <w:r>
              <w:rPr>
                <w:rFonts w:hint="eastAsia"/>
                <w:lang w:val="en-US" w:eastAsia="zh-CN"/>
              </w:rPr>
              <w:t>中6.3.3</w:t>
            </w:r>
            <w:r>
              <w:rPr>
                <w:lang w:val="en-US" w:eastAsia="zh-CN"/>
              </w:rPr>
              <w:t>规定，初期污染雨水的降雨深度取15~30mm。</w:t>
            </w:r>
            <w:r>
              <w:rPr>
                <w:rFonts w:hint="eastAsia"/>
                <w:lang w:val="en-US" w:eastAsia="zh-CN"/>
              </w:rPr>
              <w:t>由于扩建项目不属于石</w:t>
            </w:r>
            <w:r>
              <w:rPr>
                <w:lang w:val="en-US" w:eastAsia="zh-CN"/>
              </w:rPr>
              <w:t>油</w:t>
            </w:r>
            <w:r>
              <w:rPr>
                <w:rFonts w:hint="eastAsia"/>
                <w:lang w:val="en-US" w:eastAsia="zh-CN"/>
              </w:rPr>
              <w:t>化工项目，故按照</w:t>
            </w:r>
            <w:r>
              <w:rPr>
                <w:lang w:val="en-US" w:eastAsia="zh-CN"/>
              </w:rPr>
              <w:t>15</w:t>
            </w:r>
            <w:r>
              <w:rPr>
                <w:rFonts w:hint="eastAsia"/>
                <w:lang w:val="en-US" w:eastAsia="zh-CN"/>
              </w:rPr>
              <w:t>mm取值。</w:t>
            </w:r>
          </w:p>
          <w:p w14:paraId="4F2038F0">
            <w:pPr>
              <w:pStyle w:val="141"/>
              <w:ind w:firstLine="480"/>
              <w:rPr>
                <w:lang w:val="en-US" w:eastAsia="zh-CN"/>
              </w:rPr>
            </w:pPr>
            <w:r>
              <w:rPr>
                <w:lang w:val="en-US" w:eastAsia="zh-CN"/>
              </w:rPr>
              <w:t>污染雨水储存设施的容积宜按污染区面积与降雨深度的乘积计算，可按下列计算：</w:t>
            </w:r>
          </w:p>
          <w:p w14:paraId="29C33E2F">
            <w:pPr>
              <w:pStyle w:val="141"/>
              <w:ind w:firstLine="480"/>
              <w:rPr>
                <w:lang w:val="en-US" w:eastAsia="zh-CN"/>
              </w:rPr>
            </w:pPr>
            <w:r>
              <w:rPr>
                <w:lang w:val="en-US" w:eastAsia="zh-CN"/>
              </w:rPr>
              <w:t>V=F·h/1000；</w:t>
            </w:r>
          </w:p>
          <w:p w14:paraId="1687F467">
            <w:pPr>
              <w:pStyle w:val="141"/>
              <w:ind w:firstLine="480"/>
              <w:rPr>
                <w:lang w:val="en-US" w:eastAsia="zh-CN"/>
              </w:rPr>
            </w:pPr>
            <w:r>
              <w:rPr>
                <w:lang w:val="en-US" w:eastAsia="zh-CN"/>
              </w:rPr>
              <w:t>式中：V—污染雨水储存容积（m³）；</w:t>
            </w:r>
          </w:p>
          <w:p w14:paraId="3F6CCBB8">
            <w:pPr>
              <w:pStyle w:val="141"/>
              <w:ind w:firstLine="480"/>
              <w:rPr>
                <w:lang w:val="en-US" w:eastAsia="zh-CN"/>
              </w:rPr>
            </w:pPr>
            <w:r>
              <w:rPr>
                <w:lang w:val="en-US" w:eastAsia="zh-CN"/>
              </w:rPr>
              <w:t>h—降雨深度，取15mm；</w:t>
            </w:r>
          </w:p>
          <w:p w14:paraId="726382CC">
            <w:pPr>
              <w:pStyle w:val="141"/>
              <w:ind w:firstLine="480"/>
              <w:rPr>
                <w:lang w:val="en-US" w:eastAsia="zh-CN"/>
              </w:rPr>
            </w:pPr>
            <w:r>
              <w:rPr>
                <w:lang w:val="en-US" w:eastAsia="zh-CN"/>
              </w:rPr>
              <w:t>F—污染区面积（m²）；</w:t>
            </w:r>
          </w:p>
          <w:p w14:paraId="72EF8A3C">
            <w:pPr>
              <w:pStyle w:val="141"/>
              <w:ind w:firstLine="480"/>
              <w:rPr>
                <w:lang w:val="en-US" w:eastAsia="zh-CN"/>
              </w:rPr>
            </w:pPr>
            <w:r>
              <w:rPr>
                <w:lang w:val="en-US" w:eastAsia="zh-CN"/>
              </w:rPr>
              <w:t>扩建项目考虑对罐区和装置区初期雨水进行收集，设计初期雨水流量根据一次降雨初期雨水总量和调节设施的调节能力确定，可按下式计算：</w:t>
            </w:r>
          </w:p>
          <w:p w14:paraId="1762A6EA">
            <w:pPr>
              <w:pStyle w:val="141"/>
              <w:ind w:firstLine="480"/>
              <w:rPr>
                <w:lang w:val="en-US" w:eastAsia="zh-CN"/>
              </w:rPr>
            </w:pPr>
            <w:r>
              <w:rPr>
                <w:lang w:val="en-US" w:eastAsia="zh-CN"/>
              </w:rPr>
              <w:t>Q=V/t；</w:t>
            </w:r>
          </w:p>
          <w:p w14:paraId="5B6BCF30">
            <w:pPr>
              <w:pStyle w:val="141"/>
              <w:ind w:firstLine="480"/>
              <w:rPr>
                <w:lang w:val="en-US" w:eastAsia="zh-CN"/>
              </w:rPr>
            </w:pPr>
            <w:r>
              <w:rPr>
                <w:lang w:val="en-US" w:eastAsia="zh-CN"/>
              </w:rPr>
              <w:t>式中：Q—设计初期雨水流量（m³/h）；</w:t>
            </w:r>
          </w:p>
          <w:p w14:paraId="11D1F919">
            <w:pPr>
              <w:pStyle w:val="141"/>
              <w:ind w:firstLine="480"/>
              <w:rPr>
                <w:lang w:val="en-US" w:eastAsia="zh-CN"/>
              </w:rPr>
            </w:pPr>
            <w:r>
              <w:rPr>
                <w:lang w:val="en-US" w:eastAsia="zh-CN"/>
              </w:rPr>
              <w:t>T—初期雨水调节池允许调节的停留时间</w:t>
            </w:r>
            <w:bookmarkStart w:id="40" w:name="OLE_LINK10"/>
            <w:bookmarkStart w:id="41" w:name="OLE_LINK3"/>
            <w:r>
              <w:rPr>
                <w:lang w:val="en-US" w:eastAsia="zh-CN"/>
              </w:rPr>
              <w:t>，</w:t>
            </w:r>
            <w:bookmarkEnd w:id="40"/>
            <w:bookmarkEnd w:id="41"/>
            <w:r>
              <w:rPr>
                <w:lang w:val="en-US" w:eastAsia="zh-CN"/>
              </w:rPr>
              <w:t>可取12h~72h，本次取72h；</w:t>
            </w:r>
          </w:p>
          <w:p w14:paraId="5BB28946">
            <w:pPr>
              <w:adjustRightInd w:val="0"/>
              <w:snapToGrid w:val="0"/>
              <w:ind w:firstLine="480"/>
            </w:pPr>
            <w:r>
              <w:rPr>
                <w:rFonts w:hint="eastAsia"/>
              </w:rPr>
              <w:t>本</w:t>
            </w:r>
            <w:r>
              <w:t>次</w:t>
            </w:r>
            <w:r>
              <w:rPr>
                <w:rFonts w:hint="eastAsia"/>
              </w:rPr>
              <w:t>扩建新增</w:t>
            </w:r>
            <w:r>
              <w:t>污染区面积</w:t>
            </w:r>
            <w:r>
              <w:rPr>
                <w:rFonts w:hint="eastAsia"/>
              </w:rPr>
              <w:t>约为</w:t>
            </w:r>
            <w:r>
              <w:t>13314.31</w:t>
            </w:r>
            <w:r>
              <w:rPr>
                <w:rFonts w:hint="eastAsia"/>
              </w:rPr>
              <w:t>m²，包括化工品罐组一、化工品罐组二、泵区、汽车装车设施二、危险废物贮存库等</w:t>
            </w:r>
            <w:r>
              <w:t>，V</w:t>
            </w:r>
            <w:r>
              <w:rPr>
                <w:rFonts w:hint="eastAsia"/>
              </w:rPr>
              <w:t>＝208.6</w:t>
            </w:r>
            <w:r>
              <w:t>m³/</w:t>
            </w:r>
            <w:r>
              <w:rPr>
                <w:rFonts w:hint="eastAsia"/>
              </w:rPr>
              <w:t>次</w:t>
            </w:r>
            <w:r>
              <w:t>，</w:t>
            </w:r>
            <w:r>
              <w:rPr>
                <w:rFonts w:hint="eastAsia"/>
              </w:rPr>
              <w:t>所在区域年降水日数平均124.6天，考虑到本地区存在多日连续降雨的情况，则出现初期雨水的降水次数为50次，则初期雨水产生量为10430</w:t>
            </w:r>
            <w:r>
              <w:t>m³/a</w:t>
            </w:r>
            <w:r>
              <w:rPr>
                <w:rFonts w:hint="eastAsia"/>
              </w:rPr>
              <w:t>。</w:t>
            </w:r>
            <w:r>
              <w:t>由</w:t>
            </w:r>
            <w:r>
              <w:rPr>
                <w:rFonts w:hint="eastAsia"/>
              </w:rPr>
              <w:t>于</w:t>
            </w:r>
            <w:r>
              <w:t>每次</w:t>
            </w:r>
            <w:r>
              <w:rPr>
                <w:rFonts w:hint="eastAsia"/>
              </w:rPr>
              <w:t>污染</w:t>
            </w:r>
            <w:r>
              <w:t>区产生的初期雨水在</w:t>
            </w:r>
            <w:r>
              <w:rPr>
                <w:rFonts w:hint="eastAsia"/>
              </w:rPr>
              <w:t>初</w:t>
            </w:r>
            <w:r>
              <w:t>期雨水</w:t>
            </w:r>
            <w:r>
              <w:rPr>
                <w:rFonts w:hint="eastAsia"/>
              </w:rPr>
              <w:t>池</w:t>
            </w:r>
            <w:r>
              <w:t>内停留</w:t>
            </w:r>
            <w:r>
              <w:rPr>
                <w:rFonts w:hint="eastAsia"/>
              </w:rPr>
              <w:t>时间</w:t>
            </w:r>
            <w:r>
              <w:t>不超过</w:t>
            </w:r>
            <w:r>
              <w:rPr>
                <w:rFonts w:hint="eastAsia"/>
              </w:rPr>
              <w:t>72h，</w:t>
            </w:r>
            <w:r>
              <w:t>因此初期雨水排放</w:t>
            </w:r>
            <w:r>
              <w:rPr>
                <w:rFonts w:hint="eastAsia"/>
              </w:rPr>
              <w:t>流</w:t>
            </w:r>
            <w:r>
              <w:t>量为</w:t>
            </w:r>
            <w:r>
              <w:rPr>
                <w:rFonts w:hint="eastAsia"/>
              </w:rPr>
              <w:t>2.9</w:t>
            </w:r>
            <w:r>
              <w:t>m³/h</w:t>
            </w:r>
            <w:r>
              <w:rPr>
                <w:rFonts w:hint="eastAsia"/>
              </w:rPr>
              <w:t>（69.53</w:t>
            </w:r>
            <w:r>
              <w:t>m³/d）</w:t>
            </w:r>
            <w:r>
              <w:rPr>
                <w:rFonts w:hint="eastAsia"/>
              </w:rPr>
              <w:t>。</w:t>
            </w:r>
          </w:p>
          <w:p w14:paraId="078F053E">
            <w:pPr>
              <w:adjustRightInd w:val="0"/>
              <w:snapToGrid w:val="0"/>
              <w:ind w:firstLine="480"/>
              <w:rPr>
                <w:kern w:val="0"/>
                <w:szCs w:val="20"/>
              </w:rPr>
            </w:pPr>
          </w:p>
          <w:p w14:paraId="6262A454">
            <w:pPr>
              <w:adjustRightInd w:val="0"/>
              <w:snapToGrid w:val="0"/>
              <w:ind w:firstLine="480"/>
              <w:rPr>
                <w:kern w:val="0"/>
                <w:szCs w:val="20"/>
              </w:rPr>
            </w:pPr>
            <w:r>
              <w:rPr>
                <w:kern w:val="0"/>
                <w:szCs w:val="20"/>
              </w:rPr>
              <w:t>3、循环冷却水排水</w:t>
            </w:r>
          </w:p>
          <w:p w14:paraId="515159ED">
            <w:pPr>
              <w:adjustRightInd w:val="0"/>
              <w:snapToGrid w:val="0"/>
              <w:ind w:firstLine="480"/>
              <w:rPr>
                <w:kern w:val="0"/>
                <w:szCs w:val="20"/>
              </w:rPr>
            </w:pPr>
            <w:r>
              <w:rPr>
                <w:kern w:val="0"/>
                <w:szCs w:val="20"/>
              </w:rPr>
              <w:t>扩建项目</w:t>
            </w:r>
            <w:r>
              <w:t>循环水主要为满足罐区泵组冷却及油气回收系统用水要求而设置。</w:t>
            </w:r>
            <w:r>
              <w:rPr>
                <w:rFonts w:hint="eastAsia"/>
              </w:rPr>
              <w:t>本次</w:t>
            </w:r>
            <w:r>
              <w:t>主要</w:t>
            </w:r>
            <w:r>
              <w:rPr>
                <w:rFonts w:hint="eastAsia"/>
                <w:lang w:eastAsia="zh-CN"/>
              </w:rPr>
              <w:t>依托</w:t>
            </w:r>
            <w:r>
              <w:rPr>
                <w:rFonts w:hint="eastAsia"/>
              </w:rPr>
              <w:t>中民新能源有限公司已建成一座1000m³/h循环水场，该循环水场</w:t>
            </w:r>
            <w:r>
              <w:t>设一座占地面积为200m²的循环水池，2台型号为GNZF-500的凉水塔，处理量为500t/h，3台循环水泵</w:t>
            </w:r>
            <w:r>
              <w:rPr>
                <w:rFonts w:hint="eastAsia"/>
              </w:rPr>
              <w:t>（</w:t>
            </w:r>
            <w:r>
              <w:t>两用一备，供水压力为0.50Mpa</w:t>
            </w:r>
            <w:r>
              <w:rPr>
                <w:rFonts w:hint="eastAsia"/>
              </w:rPr>
              <w:t>）</w:t>
            </w:r>
            <w:r>
              <w:t>。</w:t>
            </w:r>
            <w:r>
              <w:rPr>
                <w:rFonts w:hint="eastAsia"/>
              </w:rPr>
              <w:t>该</w:t>
            </w:r>
            <w:r>
              <w:t>循环水场供给能力为1000t/h。设循环水泵3台</w:t>
            </w:r>
            <w:r>
              <w:rPr>
                <w:rFonts w:hint="eastAsia"/>
              </w:rPr>
              <w:t>（2</w:t>
            </w:r>
            <w:r>
              <w:t>用1备</w:t>
            </w:r>
            <w:r>
              <w:rPr>
                <w:rFonts w:hint="eastAsia"/>
              </w:rPr>
              <w:t>），目前中民新能源有限公司主体已使用450m³/h，富余能力为550m³/h，本次扩建项目仅使用3m³/h，占富余能力0.55%，</w:t>
            </w:r>
            <w:r>
              <w:t>可满足需求</w:t>
            </w:r>
            <w:r>
              <w:rPr>
                <w:rFonts w:hint="eastAsia"/>
              </w:rPr>
              <w:t>。</w:t>
            </w:r>
          </w:p>
          <w:p w14:paraId="019190CF">
            <w:pPr>
              <w:pStyle w:val="2"/>
              <w:ind w:firstLine="480"/>
            </w:pPr>
            <w:r>
              <w:rPr>
                <w:rFonts w:hint="eastAsia"/>
                <w:lang w:val="en-US" w:eastAsia="zh-CN"/>
              </w:rPr>
              <w:t>扩建项目需使用冷却循环水量为252</w:t>
            </w:r>
            <w:r>
              <w:rPr>
                <w:lang w:val="en-US" w:eastAsia="zh-CN"/>
              </w:rPr>
              <w:t>00</w:t>
            </w:r>
            <w:r>
              <w:rPr>
                <w:rFonts w:hint="eastAsia"/>
                <w:lang w:val="en-US" w:eastAsia="zh-CN"/>
              </w:rPr>
              <w:t>t/</w:t>
            </w:r>
            <w:r>
              <w:rPr>
                <w:lang w:val="en-US" w:eastAsia="zh-CN"/>
              </w:rPr>
              <w:t>a</w:t>
            </w:r>
            <w:r>
              <w:rPr>
                <w:rFonts w:hint="eastAsia"/>
                <w:lang w:val="en-US" w:eastAsia="zh-CN"/>
              </w:rPr>
              <w:t>（3</w:t>
            </w:r>
            <w:r>
              <w:rPr>
                <w:lang w:val="en-US" w:eastAsia="zh-CN"/>
              </w:rPr>
              <w:t>t/h）</w:t>
            </w:r>
            <w:r>
              <w:rPr>
                <w:rFonts w:hint="eastAsia"/>
                <w:lang w:val="en-US" w:eastAsia="zh-CN"/>
              </w:rPr>
              <w:t>，冷却水循环使用，但需定期排水，排水量约占循环水量的</w:t>
            </w:r>
            <w:r>
              <w:rPr>
                <w:lang w:val="en-US" w:eastAsia="zh-CN"/>
              </w:rPr>
              <w:t>0.</w:t>
            </w:r>
            <w:r>
              <w:rPr>
                <w:rFonts w:hint="eastAsia"/>
                <w:lang w:val="en-US" w:eastAsia="zh-CN"/>
              </w:rPr>
              <w:t>277%，则本次新</w:t>
            </w:r>
            <w:r>
              <w:rPr>
                <w:lang w:val="en-US" w:eastAsia="zh-CN"/>
              </w:rPr>
              <w:t>增</w:t>
            </w:r>
            <w:r>
              <w:rPr>
                <w:rFonts w:hint="eastAsia"/>
                <w:lang w:val="en-US" w:eastAsia="zh-CN"/>
              </w:rPr>
              <w:t>循环水系统排水量为126</w:t>
            </w:r>
            <w:r>
              <w:rPr>
                <w:lang w:val="en-US" w:eastAsia="zh-CN"/>
              </w:rPr>
              <w:t>t</w:t>
            </w:r>
            <w:r>
              <w:rPr>
                <w:rFonts w:hint="eastAsia"/>
                <w:lang w:val="en-US" w:eastAsia="zh-CN"/>
              </w:rPr>
              <w:t>/a（</w:t>
            </w:r>
            <w:r>
              <w:rPr>
                <w:lang w:val="en-US" w:eastAsia="zh-CN"/>
              </w:rPr>
              <w:t>0.01</w:t>
            </w:r>
            <w:r>
              <w:rPr>
                <w:rFonts w:hint="eastAsia"/>
                <w:lang w:val="en-US" w:eastAsia="zh-CN"/>
              </w:rPr>
              <w:t>5</w:t>
            </w:r>
            <w:r>
              <w:rPr>
                <w:lang w:val="en-US" w:eastAsia="zh-CN"/>
              </w:rPr>
              <w:t>t</w:t>
            </w:r>
            <w:r>
              <w:rPr>
                <w:rFonts w:hint="eastAsia"/>
                <w:lang w:val="en-US" w:eastAsia="zh-CN"/>
              </w:rPr>
              <w:t>/</w:t>
            </w:r>
            <w:r>
              <w:rPr>
                <w:lang w:val="en-US" w:eastAsia="zh-CN"/>
              </w:rPr>
              <w:t>h</w:t>
            </w:r>
            <w:r>
              <w:rPr>
                <w:rFonts w:hint="eastAsia"/>
                <w:lang w:val="en-US" w:eastAsia="zh-CN"/>
              </w:rPr>
              <w:t>）。本次</w:t>
            </w:r>
            <w:r>
              <w:rPr>
                <w:lang w:val="en-US" w:eastAsia="zh-CN"/>
              </w:rPr>
              <w:t>新增</w:t>
            </w:r>
            <w:r>
              <w:t>循环水量</w:t>
            </w:r>
            <w:r>
              <w:rPr>
                <w:rFonts w:hint="eastAsia"/>
              </w:rPr>
              <w:t>、</w:t>
            </w:r>
            <w:r>
              <w:t>补水量</w:t>
            </w:r>
            <w:r>
              <w:rPr>
                <w:rFonts w:hint="eastAsia"/>
              </w:rPr>
              <w:t>、</w:t>
            </w:r>
            <w:r>
              <w:t>排水量</w:t>
            </w:r>
            <w:r>
              <w:rPr>
                <w:rFonts w:hint="eastAsia"/>
              </w:rPr>
              <w:t>使用情况详见表4.3-</w:t>
            </w:r>
            <w:r>
              <w:rPr>
                <w:rFonts w:hint="eastAsia"/>
                <w:lang w:eastAsia="zh-CN"/>
              </w:rPr>
              <w:t>2</w:t>
            </w:r>
            <w:r>
              <w:t>。</w:t>
            </w:r>
          </w:p>
          <w:p w14:paraId="021B948E">
            <w:pPr>
              <w:pStyle w:val="68"/>
              <w:rPr>
                <w:sz w:val="24"/>
                <w:szCs w:val="24"/>
                <w:lang w:val="en-US" w:eastAsia="zh-CN"/>
              </w:rPr>
            </w:pPr>
            <w:r>
              <w:rPr>
                <w:sz w:val="24"/>
                <w:szCs w:val="24"/>
                <w:lang w:val="en-US" w:eastAsia="zh-CN"/>
              </w:rPr>
              <w:t>表4.3-</w:t>
            </w:r>
            <w:r>
              <w:rPr>
                <w:rFonts w:hint="eastAsia"/>
                <w:sz w:val="24"/>
                <w:szCs w:val="24"/>
                <w:lang w:val="en-US" w:eastAsia="zh-CN"/>
              </w:rPr>
              <w:t>2</w:t>
            </w:r>
            <w:r>
              <w:rPr>
                <w:sz w:val="24"/>
                <w:szCs w:val="24"/>
                <w:lang w:val="en-US" w:eastAsia="zh-CN"/>
              </w:rPr>
              <w:t>扩建项目实际循环水</w:t>
            </w:r>
            <w:r>
              <w:rPr>
                <w:rFonts w:hint="eastAsia"/>
                <w:sz w:val="24"/>
                <w:szCs w:val="24"/>
                <w:lang w:val="en-US" w:eastAsia="zh-CN"/>
              </w:rPr>
              <w:t>使用情况</w:t>
            </w:r>
            <w:r>
              <w:rPr>
                <w:sz w:val="24"/>
                <w:szCs w:val="24"/>
                <w:lang w:val="en-US" w:eastAsia="zh-CN"/>
              </w:rPr>
              <w:t>一览表</w:t>
            </w:r>
            <w:r>
              <w:rPr>
                <w:rFonts w:hint="eastAsia"/>
                <w:sz w:val="24"/>
                <w:szCs w:val="24"/>
                <w:lang w:val="en-US" w:eastAsia="zh-CN"/>
              </w:rPr>
              <w:t>单位：t/</w:t>
            </w:r>
            <w:r>
              <w:rPr>
                <w:sz w:val="24"/>
                <w:szCs w:val="24"/>
                <w:lang w:val="en-US" w:eastAsia="zh-CN"/>
              </w:rPr>
              <w:t>a</w:t>
            </w:r>
          </w:p>
          <w:p w14:paraId="0D8B0BDC">
            <w:pPr>
              <w:pStyle w:val="2"/>
              <w:ind w:firstLine="482"/>
              <w:jc w:val="center"/>
              <w:rPr>
                <w:lang w:val="en-US" w:eastAsia="zh-CN"/>
              </w:rPr>
            </w:pPr>
            <w:r>
              <w:rPr>
                <w:rFonts w:hint="eastAsia"/>
                <w:b/>
              </w:rPr>
              <w:t>***（略，涉及商业秘密）</w:t>
            </w:r>
          </w:p>
          <w:p w14:paraId="691856E1">
            <w:pPr>
              <w:ind w:firstLine="480"/>
            </w:pPr>
          </w:p>
          <w:p w14:paraId="4DBBF54F">
            <w:pPr>
              <w:pStyle w:val="2"/>
              <w:ind w:firstLine="480"/>
              <w:rPr>
                <w:lang w:val="en-US" w:eastAsia="zh-CN"/>
              </w:rPr>
            </w:pPr>
            <w:r>
              <w:rPr>
                <w:lang w:val="en-US" w:eastAsia="zh-CN"/>
              </w:rPr>
              <w:t>由于循环冷却水为间接冷却，除水温升高外，水质未受其它污染，废水水质为pH为6～9，COD浓度约50mg/L，SS浓度约为150mg/L。</w:t>
            </w:r>
          </w:p>
          <w:p w14:paraId="2C36C99F">
            <w:pPr>
              <w:pStyle w:val="2"/>
              <w:ind w:firstLine="480"/>
              <w:rPr>
                <w:lang w:val="en-US" w:eastAsia="zh-CN"/>
              </w:rPr>
            </w:pPr>
            <w:r>
              <w:rPr>
                <w:rFonts w:hint="eastAsia"/>
                <w:lang w:val="en-US" w:eastAsia="zh-CN"/>
              </w:rPr>
              <w:t>由于该循环水场最大供应能力下的污染物排放量已经涵盖因本次扩建项目依托而产生的污染物排放量</w:t>
            </w:r>
            <w:r>
              <w:rPr>
                <w:lang w:val="en-US" w:eastAsia="zh-CN"/>
              </w:rPr>
              <w:t>，</w:t>
            </w:r>
            <w:r>
              <w:rPr>
                <w:rFonts w:hint="eastAsia"/>
                <w:lang w:val="en-US" w:eastAsia="zh-CN"/>
              </w:rPr>
              <w:t>因此由中民新能源有限公司负责处理该循环水场新增的循环水排水，不作为本次扩建项目新增废水污染物。</w:t>
            </w:r>
          </w:p>
          <w:p w14:paraId="7F131A36">
            <w:pPr>
              <w:pStyle w:val="2"/>
              <w:ind w:firstLine="480"/>
              <w:rPr>
                <w:lang w:val="en-US" w:eastAsia="zh-CN"/>
              </w:rPr>
            </w:pPr>
            <w:r>
              <w:rPr>
                <w:lang w:val="en-US" w:eastAsia="zh-CN"/>
              </w:rPr>
              <w:t>4</w:t>
            </w:r>
            <w:r>
              <w:rPr>
                <w:rFonts w:hint="eastAsia"/>
                <w:lang w:val="en-US" w:eastAsia="zh-CN"/>
              </w:rPr>
              <w:t>、BDO/MA储罐废气水洗/碱洗废水</w:t>
            </w:r>
          </w:p>
          <w:p w14:paraId="28276B6A">
            <w:pPr>
              <w:ind w:firstLine="480"/>
            </w:pPr>
            <w:r>
              <w:rPr>
                <w:rFonts w:hint="eastAsia"/>
              </w:rPr>
              <w:t>MA、BDO储罐排出废气经水洗+碱洗后，根据废气处理装置设计资料，连续排放量为2t/h。废水中MA浓度、BDO浓度以废气中该污染物被处理量进行核算，因此扩建项目MA、BDO储罐水洗及碱洗废水，主要污染物为COD、SS。废水</w:t>
            </w:r>
            <w:r>
              <w:t>水质为pH为6～9，COD</w:t>
            </w:r>
            <w:r>
              <w:rPr>
                <w:rFonts w:hint="eastAsia"/>
              </w:rPr>
              <w:t>≤101mg</w:t>
            </w:r>
            <w:r>
              <w:t>/L</w:t>
            </w:r>
            <w:r>
              <w:rPr>
                <w:rFonts w:hint="eastAsia"/>
              </w:rPr>
              <w:t>、石油类≤2mg/L、</w:t>
            </w:r>
            <w:r>
              <w:t>SS</w:t>
            </w:r>
            <w:r>
              <w:rPr>
                <w:rFonts w:hint="eastAsia"/>
              </w:rPr>
              <w:t>≤50</w:t>
            </w:r>
            <w:r>
              <w:t>mg/L。</w:t>
            </w:r>
          </w:p>
          <w:p w14:paraId="3CB10DF6">
            <w:pPr>
              <w:ind w:firstLine="480"/>
            </w:pPr>
            <w:r>
              <w:rPr>
                <w:rFonts w:hint="eastAsia"/>
              </w:rPr>
              <w:t>COD即氧化水中可氧化物质（如有机物、亚硝酸盐、亚铁盐、硫化物）所消耗的氧量，对于有机物来说，即是将其氧化生成二氧化碳和水，故可根据化学式中碳、氢、氧原子数计算COD的理论值。COD换算系数=（碳原子数×2+氢原子数×0.5－氧原子数）×16/分子量</w:t>
            </w:r>
          </w:p>
          <w:p w14:paraId="2A30D5E7">
            <w:pPr>
              <w:spacing w:line="240" w:lineRule="auto"/>
              <w:ind w:firstLine="0" w:firstLineChars="0"/>
              <w:jc w:val="center"/>
              <w:rPr>
                <w:b/>
                <w:szCs w:val="20"/>
              </w:rPr>
            </w:pPr>
            <w:r>
              <w:rPr>
                <w:b/>
                <w:szCs w:val="20"/>
              </w:rPr>
              <w:t>表4.3-</w:t>
            </w:r>
            <w:r>
              <w:rPr>
                <w:rFonts w:hint="eastAsia"/>
                <w:b/>
                <w:szCs w:val="20"/>
              </w:rPr>
              <w:t>3</w:t>
            </w:r>
            <w:r>
              <w:rPr>
                <w:b/>
                <w:szCs w:val="20"/>
              </w:rPr>
              <w:t>废水COD</w:t>
            </w:r>
            <w:r>
              <w:rPr>
                <w:rFonts w:hint="eastAsia"/>
                <w:b/>
                <w:szCs w:val="20"/>
              </w:rPr>
              <w:t>浓度核算一览表</w:t>
            </w:r>
          </w:p>
          <w:p w14:paraId="0DCBE75D">
            <w:pPr>
              <w:pStyle w:val="2"/>
              <w:ind w:firstLine="482"/>
              <w:jc w:val="center"/>
              <w:rPr>
                <w:lang w:val="en-US" w:eastAsia="zh-CN"/>
              </w:rPr>
            </w:pPr>
            <w:r>
              <w:rPr>
                <w:rFonts w:hint="eastAsia"/>
                <w:b/>
              </w:rPr>
              <w:t>***（略，涉及商业秘密）</w:t>
            </w:r>
          </w:p>
          <w:p w14:paraId="01B6B604">
            <w:pPr>
              <w:pStyle w:val="2"/>
              <w:ind w:firstLine="480"/>
              <w:rPr>
                <w:lang w:val="en-US" w:eastAsia="zh-CN"/>
              </w:rPr>
            </w:pPr>
          </w:p>
          <w:p w14:paraId="059BA3B8">
            <w:pPr>
              <w:pStyle w:val="8"/>
              <w:tabs>
                <w:tab w:val="left" w:pos="5400"/>
              </w:tabs>
              <w:spacing w:before="120"/>
              <w:rPr>
                <w:lang w:val="en-US" w:eastAsia="zh-CN"/>
              </w:rPr>
            </w:pPr>
            <w:r>
              <w:rPr>
                <w:lang w:val="en-US" w:eastAsia="zh-CN"/>
              </w:rPr>
              <w:t>4.3.2达标排放分析</w:t>
            </w:r>
          </w:p>
          <w:p w14:paraId="4613D2BF">
            <w:pPr>
              <w:ind w:firstLine="480"/>
            </w:pPr>
            <w:r>
              <w:t>扩建项目</w:t>
            </w:r>
            <w:r>
              <w:rPr>
                <w:rFonts w:hint="eastAsia"/>
              </w:rPr>
              <w:t>生活污水经预处理后与BDO/MA储罐废气水洗/碱洗废水、初期雨水、地面冲洗废水</w:t>
            </w:r>
            <w:r>
              <w:t>送至福州万景石化有限公司污水处理站低浓度废水处理段，处理达到江阴工业集中区污水处理厂纳管标准后，排入江阴工业集中区污水处理厂进一步处理</w:t>
            </w:r>
            <w:r>
              <w:rPr>
                <w:rFonts w:hint="eastAsia"/>
              </w:rPr>
              <w:t>，由江阴工业集中区污水处理厂已建排海管道排海，</w:t>
            </w:r>
            <w:r>
              <w:t>不影响兴化湾环境功能。</w:t>
            </w:r>
          </w:p>
          <w:p w14:paraId="7630F039">
            <w:pPr>
              <w:pStyle w:val="8"/>
              <w:tabs>
                <w:tab w:val="left" w:pos="5400"/>
              </w:tabs>
              <w:spacing w:before="120"/>
              <w:rPr>
                <w:lang w:val="en-US" w:eastAsia="zh-CN"/>
              </w:rPr>
            </w:pPr>
            <w:r>
              <w:rPr>
                <w:lang w:val="en-US" w:eastAsia="zh-CN"/>
              </w:rPr>
              <w:t>4.3.3废水治理措施可行性</w:t>
            </w:r>
          </w:p>
          <w:p w14:paraId="59384806">
            <w:pPr>
              <w:overflowPunct w:val="0"/>
              <w:adjustRightInd w:val="0"/>
              <w:snapToGrid w:val="0"/>
              <w:ind w:firstLine="482"/>
              <w:jc w:val="left"/>
              <w:rPr>
                <w:b/>
              </w:rPr>
            </w:pPr>
            <w:r>
              <w:rPr>
                <w:b/>
                <w:szCs w:val="20"/>
              </w:rPr>
              <w:t>4.3.3.1项目废水情况</w:t>
            </w:r>
          </w:p>
          <w:p w14:paraId="0BC6518B">
            <w:pPr>
              <w:overflowPunct w:val="0"/>
              <w:adjustRightInd w:val="0"/>
              <w:snapToGrid w:val="0"/>
              <w:ind w:firstLine="480"/>
              <w:jc w:val="left"/>
            </w:pPr>
            <w:r>
              <w:rPr>
                <w:szCs w:val="20"/>
              </w:rPr>
              <w:t>全厂实行“雨污分流”制；</w:t>
            </w:r>
            <w:r>
              <w:t>清净雨水排水系统收集界区内的清净雨水，</w:t>
            </w:r>
            <w:r>
              <w:rPr>
                <w:rFonts w:hint="eastAsia"/>
              </w:rPr>
              <w:t>接入</w:t>
            </w:r>
            <w:r>
              <w:t>雨水排水系统。</w:t>
            </w:r>
            <w:r>
              <w:rPr>
                <w:rFonts w:hint="eastAsia"/>
              </w:rPr>
              <w:t>废水收集、排放方式见下表。</w:t>
            </w:r>
          </w:p>
          <w:p w14:paraId="6B1D1814">
            <w:pPr>
              <w:pStyle w:val="68"/>
              <w:ind w:firstLine="480"/>
              <w:rPr>
                <w:sz w:val="24"/>
                <w:szCs w:val="24"/>
                <w:lang w:val="en-US" w:eastAsia="zh-CN"/>
              </w:rPr>
            </w:pPr>
            <w:r>
              <w:rPr>
                <w:sz w:val="24"/>
                <w:szCs w:val="24"/>
                <w:lang w:val="en-US" w:eastAsia="zh-CN"/>
              </w:rPr>
              <w:t>表</w:t>
            </w:r>
            <w:r>
              <w:rPr>
                <w:rFonts w:hint="eastAsia"/>
                <w:sz w:val="24"/>
                <w:szCs w:val="24"/>
                <w:lang w:val="en-US" w:eastAsia="zh-CN"/>
              </w:rPr>
              <w:t>4.3-4 废水收集、排放方式情况表</w:t>
            </w:r>
          </w:p>
          <w:p w14:paraId="5E4CA79C">
            <w:pPr>
              <w:pStyle w:val="2"/>
              <w:ind w:firstLine="482"/>
              <w:jc w:val="center"/>
            </w:pPr>
            <w:r>
              <w:rPr>
                <w:rFonts w:hint="eastAsia"/>
                <w:b/>
              </w:rPr>
              <w:t>***（略，涉及商业秘密）</w:t>
            </w:r>
          </w:p>
          <w:p w14:paraId="00C1CB94">
            <w:pPr>
              <w:overflowPunct w:val="0"/>
              <w:adjustRightInd w:val="0"/>
              <w:snapToGrid w:val="0"/>
              <w:ind w:firstLine="482"/>
              <w:jc w:val="left"/>
              <w:rPr>
                <w:b/>
                <w:bCs/>
                <w:snapToGrid w:val="0"/>
              </w:rPr>
            </w:pPr>
            <w:r>
              <w:rPr>
                <w:b/>
                <w:bCs/>
                <w:snapToGrid w:val="0"/>
              </w:rPr>
              <w:t>4.3.3.2废水处理依托福州万景石化有限公司污水处理站的可行性分析</w:t>
            </w:r>
          </w:p>
          <w:p w14:paraId="0B370582">
            <w:pPr>
              <w:adjustRightInd w:val="0"/>
              <w:snapToGrid w:val="0"/>
              <w:ind w:firstLine="480"/>
            </w:pPr>
            <w:r>
              <w:rPr>
                <w:rFonts w:hint="eastAsia"/>
              </w:rPr>
              <w:t>（1）概况</w:t>
            </w:r>
          </w:p>
          <w:p w14:paraId="00DBA848">
            <w:pPr>
              <w:adjustRightInd w:val="0"/>
              <w:snapToGrid w:val="0"/>
              <w:ind w:firstLine="480"/>
            </w:pPr>
            <w:r>
              <w:rPr>
                <w:rFonts w:hint="eastAsia"/>
              </w:rPr>
              <w:t>福州万景石化有限公司污水处理站采用“调节+气浮+生化调节+FBR生化池+缺氧+接触氧化+生化二沉池+综合调节+气浮”，处理规模为高浓度废水70t/h+低浓度废水380t/h。</w:t>
            </w:r>
            <w:r>
              <w:rPr>
                <w:bCs/>
                <w:snapToGrid w:val="0"/>
              </w:rPr>
              <w:t>福州万景石化有限公司污水处理站</w:t>
            </w:r>
            <w:r>
              <w:rPr>
                <w:rFonts w:hint="eastAsia"/>
                <w:bCs/>
                <w:snapToGrid w:val="0"/>
              </w:rPr>
              <w:t>现</w:t>
            </w:r>
            <w:r>
              <w:t>已考虑接收</w:t>
            </w:r>
            <w:r>
              <w:rPr>
                <w:rFonts w:hint="eastAsia"/>
              </w:rPr>
              <w:t>扩建项目废水，委托处理协议详见附件16</w:t>
            </w:r>
            <w:r>
              <w:t>。</w:t>
            </w:r>
          </w:p>
          <w:p w14:paraId="7F25D132">
            <w:pPr>
              <w:adjustRightInd w:val="0"/>
              <w:snapToGrid w:val="0"/>
              <w:ind w:firstLine="480"/>
            </w:pPr>
            <w:r>
              <w:rPr>
                <w:rFonts w:hint="eastAsia"/>
              </w:rPr>
              <w:t>（2）工艺流程</w:t>
            </w:r>
          </w:p>
          <w:p w14:paraId="7D43CBC9">
            <w:pPr>
              <w:adjustRightInd w:val="0"/>
              <w:snapToGrid w:val="0"/>
              <w:ind w:firstLine="480"/>
            </w:pPr>
            <w:r>
              <w:rPr>
                <w:rFonts w:hint="eastAsia"/>
              </w:rPr>
              <w:t>①污水收集及预处理</w:t>
            </w:r>
          </w:p>
          <w:p w14:paraId="0E39912C">
            <w:pPr>
              <w:adjustRightInd w:val="0"/>
              <w:snapToGrid w:val="0"/>
              <w:ind w:firstLine="480"/>
            </w:pPr>
            <w:r>
              <w:rPr>
                <w:rFonts w:hint="eastAsia"/>
              </w:rPr>
              <w:t>生产废水汇入调节池，在此进行水质水量调节以确保水质混合均匀。出水经泵提升到溶气气浮池，池内投加PAC、PAM，水中溶性磷酸盐促进形成沉淀物，并使磷酸盐沉淀物、悬浮物、石油类、DBP、总钒附着气泡而上升到水面，从而分离水和磷酸盐沉淀物、悬浮物、石油类、DBP、总钒。气浮池排泥进入污泥浓缩池。</w:t>
            </w:r>
          </w:p>
          <w:p w14:paraId="65F0087E">
            <w:pPr>
              <w:adjustRightInd w:val="0"/>
              <w:snapToGrid w:val="0"/>
              <w:ind w:firstLine="480"/>
            </w:pPr>
            <w:r>
              <w:rPr>
                <w:rFonts w:hint="eastAsia"/>
              </w:rPr>
              <w:t>气浮处理后进入生化进水调节池，再泵入FBR反应器。</w:t>
            </w:r>
          </w:p>
          <w:p w14:paraId="77360272">
            <w:pPr>
              <w:adjustRightInd w:val="0"/>
              <w:snapToGrid w:val="0"/>
              <w:ind w:firstLine="480"/>
            </w:pPr>
            <w:r>
              <w:rPr>
                <w:rFonts w:hint="eastAsia"/>
              </w:rPr>
              <w:t>FBR生化池是预处理的主要设备，该设备的主要功能是破坏断裂有毒物质和大分子物质，提高水质的可生化性。使污水中的大分子难降解的有机物降解为小分子易生化的物质，不溶性物质水解为可溶性物质，提高废水的B/C比。</w:t>
            </w:r>
          </w:p>
          <w:p w14:paraId="0080466B">
            <w:pPr>
              <w:adjustRightInd w:val="0"/>
              <w:snapToGrid w:val="0"/>
              <w:ind w:firstLine="480"/>
            </w:pPr>
            <w:r>
              <w:rPr>
                <w:rFonts w:hint="eastAsia"/>
              </w:rPr>
              <w:t>②厌氧处理工段</w:t>
            </w:r>
          </w:p>
          <w:p w14:paraId="62E55A87">
            <w:pPr>
              <w:adjustRightInd w:val="0"/>
              <w:snapToGrid w:val="0"/>
              <w:ind w:firstLine="480"/>
            </w:pPr>
            <w:r>
              <w:rPr>
                <w:rFonts w:hint="eastAsia"/>
              </w:rPr>
              <w:t>出水进入调节池，进行pH调节，使水质的pH在6~8。废水由提升泵泵入A段厌氧池，主要原理是A池利用原水中的碳源进行反硝化，经过好氧硝化处理后的污水，其中大部分的氨氮都被氧化成为硝酸盐，反硝化菌在溶解氧浓度极低或缺氧条件下可以利用硝酸盐中氧作为电子受体，氧化有机物，将硝酸盐中的氮还原成氮气，从而完成污水的脱氮过程。</w:t>
            </w:r>
          </w:p>
          <w:p w14:paraId="1274EF13">
            <w:pPr>
              <w:adjustRightInd w:val="0"/>
              <w:snapToGrid w:val="0"/>
              <w:ind w:firstLine="480"/>
            </w:pPr>
            <w:r>
              <w:rPr>
                <w:rFonts w:hint="eastAsia"/>
              </w:rPr>
              <w:t>③好氧处理工段</w:t>
            </w:r>
          </w:p>
          <w:p w14:paraId="6FB786FF">
            <w:pPr>
              <w:adjustRightInd w:val="0"/>
              <w:snapToGrid w:val="0"/>
              <w:ind w:firstLine="480"/>
            </w:pPr>
            <w:r>
              <w:rPr>
                <w:rFonts w:hint="eastAsia"/>
              </w:rPr>
              <w:t>厌氧出水自流入O段好氧池，主要原理对氨氮进行硝化（亚硝化），在有机物被分解的同时，污水中的有机氮也被分解成氨氮，在溶解氧充足、泥龄较长的情下，亚硝化菌和硝化菌进一步将氨氮氧化成亚硝酸盐和硝酸盐，一部分进入细胞体内的氮将随剩余污泥一起从水中去除，同时依靠O池中好氧菌</w:t>
            </w:r>
            <w:r>
              <w:rPr>
                <w:rFonts w:hint="eastAsia"/>
                <w:lang w:eastAsia="zh-CN"/>
              </w:rPr>
              <w:t>的</w:t>
            </w:r>
            <w:r>
              <w:rPr>
                <w:rFonts w:hint="eastAsia"/>
              </w:rPr>
              <w:t>吸附作用和代谢作用，对BOD</w:t>
            </w:r>
            <w:r>
              <w:rPr>
                <w:rFonts w:hint="eastAsia"/>
                <w:vertAlign w:val="subscript"/>
              </w:rPr>
              <w:t>5</w:t>
            </w:r>
            <w:r>
              <w:rPr>
                <w:rFonts w:hint="eastAsia"/>
              </w:rPr>
              <w:t>降解，利用BOD</w:t>
            </w:r>
            <w:r>
              <w:rPr>
                <w:rFonts w:hint="eastAsia"/>
                <w:vertAlign w:val="subscript"/>
              </w:rPr>
              <w:t>5</w:t>
            </w:r>
            <w:r>
              <w:rPr>
                <w:rFonts w:hint="eastAsia"/>
              </w:rPr>
              <w:t>合成新细胞，然后对污泥与水进行分离，从而完成BOD</w:t>
            </w:r>
            <w:r>
              <w:rPr>
                <w:rFonts w:hint="eastAsia"/>
                <w:vertAlign w:val="subscript"/>
              </w:rPr>
              <w:t>5</w:t>
            </w:r>
            <w:r>
              <w:rPr>
                <w:rFonts w:hint="eastAsia"/>
              </w:rPr>
              <w:t>的去除。保证出水的CODcr、BOD</w:t>
            </w:r>
            <w:r>
              <w:rPr>
                <w:rFonts w:hint="eastAsia"/>
                <w:vertAlign w:val="subscript"/>
              </w:rPr>
              <w:t>5</w:t>
            </w:r>
            <w:r>
              <w:rPr>
                <w:rFonts w:hint="eastAsia"/>
              </w:rPr>
              <w:t>的指标。</w:t>
            </w:r>
          </w:p>
          <w:p w14:paraId="5C69E089">
            <w:pPr>
              <w:adjustRightInd w:val="0"/>
              <w:snapToGrid w:val="0"/>
              <w:ind w:firstLine="480"/>
            </w:pPr>
            <w:r>
              <w:rPr>
                <w:rFonts w:hint="eastAsia"/>
              </w:rPr>
              <w:t>④污泥处理工段</w:t>
            </w:r>
          </w:p>
          <w:p w14:paraId="5E58EA7A">
            <w:pPr>
              <w:adjustRightInd w:val="0"/>
              <w:snapToGrid w:val="0"/>
              <w:ind w:firstLine="480"/>
            </w:pPr>
            <w:r>
              <w:rPr>
                <w:rFonts w:hint="eastAsia"/>
              </w:rPr>
              <w:t>O池的出水自流入生化二沉池，生化二沉池采用辐流式沉淀池，在池内进行泥水分离，污泥自流至污泥回流池，设置排泥阀自动控制污泥排放时间；污泥回流池污泥由泵提升回流至生化A池前端，保证生化系统的污泥浓度，剩余污泥由泵输送至污泥浓缩池，污泥经过脱水干化减容，含水率降低到75%，之后污泥外运处置。二沉池出水进入低浓度处理单元。</w:t>
            </w:r>
          </w:p>
          <w:p w14:paraId="7FC9A076">
            <w:pPr>
              <w:adjustRightInd w:val="0"/>
              <w:snapToGrid w:val="0"/>
              <w:ind w:firstLine="480"/>
            </w:pPr>
            <w:r>
              <w:rPr>
                <w:rFonts w:hint="eastAsia"/>
              </w:rPr>
              <w:t>⑤低浓度处理单元</w:t>
            </w:r>
          </w:p>
          <w:p w14:paraId="2E2C23F4">
            <w:pPr>
              <w:adjustRightInd w:val="0"/>
              <w:snapToGrid w:val="0"/>
              <w:ind w:firstLine="480"/>
            </w:pPr>
            <w:r>
              <w:rPr>
                <w:rFonts w:hint="eastAsia"/>
              </w:rPr>
              <w:t>二沉池出水与扩建项目低浓度废水、万景石化循环排污水、万景石化综合废水送入综合调节池，在此进行水质水量调节以确保水质混合均匀，出水经泵提升到第二段溶气气浮池，池内投加PAC、PAM，促进水中溶性磷酸盐形成沉淀物，并使磷酸盐沉淀物、悬浮物、石油类附着气泡而上升到水面，从而分离水和磷酸盐沉淀物、悬浮物、石油类。气浮池排泥进入污泥浓缩池。</w:t>
            </w:r>
          </w:p>
          <w:p w14:paraId="47EDDF7B">
            <w:pPr>
              <w:adjustRightInd w:val="0"/>
              <w:snapToGrid w:val="0"/>
              <w:ind w:firstLine="480"/>
            </w:pPr>
            <w:r>
              <w:rPr>
                <w:rFonts w:hint="eastAsia"/>
              </w:rPr>
              <w:t>⑥尾气除臭工段</w:t>
            </w:r>
          </w:p>
          <w:p w14:paraId="2766C91C">
            <w:pPr>
              <w:pStyle w:val="139"/>
              <w:adjustRightInd w:val="0"/>
              <w:ind w:firstLine="480"/>
              <w:rPr>
                <w:lang w:eastAsia="zh-CN"/>
              </w:rPr>
            </w:pPr>
            <w:r>
              <w:rPr>
                <w:rFonts w:hint="eastAsia"/>
              </w:rPr>
              <w:t>污水处理区域的池体、建筑物、罐体均考虑废气收集有组织排放的管路，池体采用密封罩密封，污水站废气经收集后采用“碱液喷淋+生物滤池”进行除臭处理。设计处理臭气量10000m³/h。</w:t>
            </w:r>
            <w:r>
              <w:t>主要工艺流程见</w:t>
            </w:r>
            <w:r>
              <w:rPr>
                <w:rFonts w:hint="eastAsia"/>
              </w:rPr>
              <w:t>图4.3-</w:t>
            </w:r>
            <w:r>
              <w:rPr>
                <w:rFonts w:hint="eastAsia"/>
                <w:lang w:eastAsia="zh-CN"/>
              </w:rPr>
              <w:t>1</w:t>
            </w:r>
            <w:r>
              <w:t>。</w:t>
            </w:r>
          </w:p>
          <w:p w14:paraId="69866D3E">
            <w:pPr>
              <w:pStyle w:val="139"/>
              <w:adjustRightInd w:val="0"/>
              <w:ind w:firstLine="482"/>
              <w:jc w:val="center"/>
              <w:rPr>
                <w:lang w:eastAsia="zh-CN"/>
              </w:rPr>
            </w:pPr>
            <w:r>
              <w:rPr>
                <w:rFonts w:hint="eastAsia"/>
                <w:b/>
              </w:rPr>
              <w:t>***（略，涉及商业秘密）</w:t>
            </w:r>
          </w:p>
          <w:p w14:paraId="7D35B88B">
            <w:pPr>
              <w:pStyle w:val="2"/>
              <w:ind w:firstLine="0" w:firstLineChars="0"/>
              <w:jc w:val="center"/>
              <w:rPr>
                <w:b/>
                <w:szCs w:val="20"/>
              </w:rPr>
            </w:pPr>
            <w:r>
              <w:rPr>
                <w:b/>
                <w:szCs w:val="20"/>
              </w:rPr>
              <w:t>图</w:t>
            </w:r>
            <w:r>
              <w:rPr>
                <w:rFonts w:hint="eastAsia"/>
                <w:b/>
                <w:szCs w:val="20"/>
              </w:rPr>
              <w:t>4.3-</w:t>
            </w:r>
            <w:r>
              <w:rPr>
                <w:rFonts w:hint="eastAsia"/>
                <w:b/>
                <w:szCs w:val="20"/>
                <w:lang w:eastAsia="zh-CN"/>
              </w:rPr>
              <w:t>1</w:t>
            </w:r>
            <w:r>
              <w:rPr>
                <w:b/>
                <w:szCs w:val="20"/>
              </w:rPr>
              <w:t>处理系统工艺流程图</w:t>
            </w:r>
          </w:p>
          <w:p w14:paraId="509263A1">
            <w:pPr>
              <w:pStyle w:val="139"/>
              <w:ind w:firstLine="480"/>
              <w:rPr>
                <w:lang w:eastAsia="zh-CN"/>
              </w:rPr>
            </w:pPr>
            <w:r>
              <w:rPr>
                <w:lang w:eastAsia="zh-CN"/>
              </w:rPr>
              <w:t>（</w:t>
            </w:r>
            <w:r>
              <w:rPr>
                <w:lang w:val="en-US" w:eastAsia="zh-CN"/>
              </w:rPr>
              <w:t>4</w:t>
            </w:r>
            <w:r>
              <w:rPr>
                <w:lang w:eastAsia="zh-CN"/>
              </w:rPr>
              <w:t>）</w:t>
            </w:r>
            <w:r>
              <w:rPr>
                <w:lang w:val="en-US" w:eastAsia="zh-CN"/>
              </w:rPr>
              <w:t>工艺可行性分析</w:t>
            </w:r>
          </w:p>
          <w:p w14:paraId="698D254E">
            <w:pPr>
              <w:pStyle w:val="139"/>
              <w:adjustRightInd w:val="0"/>
              <w:ind w:firstLine="480"/>
            </w:pPr>
            <w:r>
              <w:rPr>
                <w:rFonts w:hint="eastAsia"/>
              </w:rPr>
              <w:t>扩建项目废水主要为</w:t>
            </w:r>
            <w:r>
              <w:t>生活污水经预处理后与BDO/MA储罐废气水洗/碱洗废水、初期雨水、地面冲洗废水、储罐清洗废水</w:t>
            </w:r>
            <w:r>
              <w:rPr>
                <w:rFonts w:hint="eastAsia"/>
                <w:lang w:eastAsia="zh-CN"/>
              </w:rPr>
              <w:t>（非正常工况）</w:t>
            </w:r>
            <w:r>
              <w:t>。由于水质较简单，</w:t>
            </w:r>
            <w:r>
              <w:rPr>
                <w:rFonts w:hint="eastAsia"/>
                <w:lang w:eastAsia="zh-CN"/>
              </w:rPr>
              <w:t>主要为COD、</w:t>
            </w:r>
            <w:r>
              <w:t>SS、</w:t>
            </w:r>
            <w:r>
              <w:rPr>
                <w:rFonts w:hint="eastAsia"/>
                <w:lang w:eastAsia="zh-CN"/>
              </w:rPr>
              <w:t>石油类、氨氮</w:t>
            </w:r>
            <w:r>
              <w:t>直接进入福州万景石化有限公司污水处理站低浓度废水处理段，与高浓度污水处理段出水合并进入气浮段。能够有效的去除废水中的</w:t>
            </w:r>
            <w:r>
              <w:rPr>
                <w:rFonts w:hint="eastAsia"/>
                <w:lang w:eastAsia="zh-CN"/>
              </w:rPr>
              <w:t>COD、</w:t>
            </w:r>
            <w:r>
              <w:t>SS、石油类</w:t>
            </w:r>
            <w:r>
              <w:rPr>
                <w:rFonts w:hint="eastAsia"/>
                <w:lang w:eastAsia="zh-CN"/>
              </w:rPr>
              <w:t>、氨氮</w:t>
            </w:r>
            <w:r>
              <w:t>等污染物。</w:t>
            </w:r>
          </w:p>
          <w:p w14:paraId="72311807">
            <w:pPr>
              <w:pStyle w:val="139"/>
              <w:adjustRightInd w:val="0"/>
              <w:ind w:firstLine="480"/>
              <w:rPr>
                <w:lang w:eastAsia="zh-CN"/>
              </w:rPr>
            </w:pPr>
            <w:r>
              <w:t>综上所述，</w:t>
            </w:r>
            <w:r>
              <w:rPr>
                <w:rFonts w:hint="eastAsia"/>
              </w:rPr>
              <w:t>扩建项目</w:t>
            </w:r>
            <w:r>
              <w:rPr>
                <w:rFonts w:hint="eastAsia"/>
                <w:lang w:eastAsia="zh-CN"/>
              </w:rPr>
              <w:t>生活污水经预处理后与BDO/MA储罐废气水洗/碱洗废水、初期雨水、地面冲洗废水、储罐清洗废水（非正常工况）</w:t>
            </w:r>
            <w:r>
              <w:rPr>
                <w:lang w:eastAsia="zh-CN"/>
              </w:rPr>
              <w:t>依托福州万景石化有限公司污水处理站低浓度废水处理段，采用“综合调节+混凝+气浮”工艺</w:t>
            </w:r>
            <w:r>
              <w:rPr>
                <w:rFonts w:hint="eastAsia"/>
                <w:lang w:eastAsia="zh-CN"/>
              </w:rPr>
              <w:t>处理</w:t>
            </w:r>
            <w:r>
              <w:rPr>
                <w:lang w:eastAsia="zh-CN"/>
              </w:rPr>
              <w:t>是可行的</w:t>
            </w:r>
            <w:r>
              <w:rPr>
                <w:rFonts w:hint="eastAsia"/>
                <w:lang w:eastAsia="zh-CN"/>
              </w:rPr>
              <w:t>。</w:t>
            </w:r>
            <w:r>
              <w:rPr>
                <w:lang w:eastAsia="zh-CN"/>
              </w:rPr>
              <w:t>技术成熟、可靠，处理后的废水能达标排放。</w:t>
            </w:r>
          </w:p>
          <w:p w14:paraId="0A28F680">
            <w:pPr>
              <w:ind w:firstLine="480"/>
            </w:pPr>
            <w:r>
              <w:t>（5）进水指标及接纳水质水量可行性</w:t>
            </w:r>
          </w:p>
          <w:p w14:paraId="01E0E6FE">
            <w:pPr>
              <w:pStyle w:val="139"/>
              <w:adjustRightInd w:val="0"/>
              <w:ind w:firstLine="480"/>
              <w:rPr>
                <w:lang w:eastAsia="zh-CN"/>
              </w:rPr>
            </w:pPr>
            <w:r>
              <w:t>福州万景石化有限公司污水处理站</w:t>
            </w:r>
            <w:r>
              <w:rPr>
                <w:rFonts w:hint="eastAsia"/>
                <w:lang w:eastAsia="zh-CN"/>
              </w:rPr>
              <w:t>进</w:t>
            </w:r>
            <w:r>
              <w:rPr>
                <w:lang w:eastAsia="zh-CN"/>
              </w:rPr>
              <w:t>水水质要求见下表。</w:t>
            </w:r>
          </w:p>
          <w:p w14:paraId="2321498E">
            <w:pPr>
              <w:pStyle w:val="68"/>
              <w:rPr>
                <w:sz w:val="24"/>
                <w:szCs w:val="24"/>
                <w:lang w:val="en-US" w:eastAsia="zh-CN"/>
              </w:rPr>
            </w:pPr>
            <w:r>
              <w:rPr>
                <w:sz w:val="24"/>
                <w:szCs w:val="24"/>
                <w:lang w:val="en-US" w:eastAsia="zh-CN"/>
              </w:rPr>
              <w:t>表</w:t>
            </w:r>
            <w:r>
              <w:rPr>
                <w:rFonts w:hint="eastAsia"/>
                <w:sz w:val="24"/>
                <w:szCs w:val="24"/>
                <w:lang w:val="en-US" w:eastAsia="zh-CN"/>
              </w:rPr>
              <w:t>4.3-5</w:t>
            </w:r>
            <w:r>
              <w:rPr>
                <w:sz w:val="24"/>
                <w:szCs w:val="24"/>
                <w:lang w:val="en-US" w:eastAsia="zh-CN"/>
              </w:rPr>
              <w:t>低浓度废水处理段</w:t>
            </w:r>
            <w:r>
              <w:rPr>
                <w:rFonts w:hint="eastAsia"/>
                <w:sz w:val="24"/>
                <w:szCs w:val="24"/>
                <w:lang w:val="en-US" w:eastAsia="zh-CN"/>
              </w:rPr>
              <w:t>进</w:t>
            </w:r>
            <w:r>
              <w:rPr>
                <w:sz w:val="24"/>
                <w:szCs w:val="24"/>
                <w:lang w:val="en-US" w:eastAsia="zh-CN"/>
              </w:rPr>
              <w:t>水水质一览表</w:t>
            </w:r>
          </w:p>
          <w:p w14:paraId="6225BFC8">
            <w:pPr>
              <w:ind w:firstLine="482"/>
              <w:jc w:val="center"/>
            </w:pPr>
            <w:r>
              <w:rPr>
                <w:rFonts w:hint="eastAsia"/>
                <w:b/>
              </w:rPr>
              <w:t>***（略，涉及商业秘密）</w:t>
            </w:r>
          </w:p>
          <w:p w14:paraId="47172E34">
            <w:pPr>
              <w:ind w:firstLine="480"/>
            </w:pPr>
            <w:r>
              <w:rPr>
                <w:rFonts w:hint="eastAsia"/>
              </w:rPr>
              <w:t>根据工程分析，扩建项目废水混合后</w:t>
            </w:r>
            <w:r>
              <w:rPr>
                <w:szCs w:val="18"/>
              </w:rPr>
              <w:t>，</w:t>
            </w:r>
            <w:r>
              <w:t>COD浓度约</w:t>
            </w:r>
            <w:bookmarkStart w:id="42" w:name="OLE_LINK110"/>
            <w:bookmarkStart w:id="43" w:name="OLE_LINK109"/>
            <w:r>
              <w:rPr>
                <w:rFonts w:hint="eastAsia"/>
              </w:rPr>
              <w:t>103</w:t>
            </w:r>
            <w:r>
              <w:t>mg</w:t>
            </w:r>
            <w:bookmarkEnd w:id="42"/>
            <w:bookmarkEnd w:id="43"/>
            <w:r>
              <w:t>/L</w:t>
            </w:r>
            <w:r>
              <w:rPr>
                <w:szCs w:val="18"/>
              </w:rPr>
              <w:t>，SS浓度约为</w:t>
            </w:r>
            <w:r>
              <w:rPr>
                <w:rFonts w:hint="eastAsia"/>
                <w:szCs w:val="18"/>
              </w:rPr>
              <w:t>153</w:t>
            </w:r>
            <w:r>
              <w:rPr>
                <w:szCs w:val="18"/>
              </w:rPr>
              <w:t>mg/L，</w:t>
            </w:r>
            <w:r>
              <w:rPr>
                <w:rFonts w:hint="eastAsia"/>
                <w:szCs w:val="18"/>
              </w:rPr>
              <w:t>BOD</w:t>
            </w:r>
            <w:r>
              <w:rPr>
                <w:szCs w:val="18"/>
              </w:rPr>
              <w:t>浓度约为</w:t>
            </w:r>
            <w:r>
              <w:rPr>
                <w:rFonts w:hint="eastAsia"/>
                <w:szCs w:val="18"/>
              </w:rPr>
              <w:t>3</w:t>
            </w:r>
            <w:r>
              <w:rPr>
                <w:szCs w:val="18"/>
              </w:rPr>
              <w:t>mg/L</w:t>
            </w:r>
            <w:r>
              <w:rPr>
                <w:rFonts w:hint="eastAsia"/>
                <w:szCs w:val="18"/>
              </w:rPr>
              <w:t>，氨氮</w:t>
            </w:r>
            <w:r>
              <w:rPr>
                <w:szCs w:val="18"/>
              </w:rPr>
              <w:t>浓度约为</w:t>
            </w:r>
            <w:r>
              <w:rPr>
                <w:rFonts w:hint="eastAsia"/>
                <w:szCs w:val="18"/>
              </w:rPr>
              <w:t>0.38</w:t>
            </w:r>
            <w:r>
              <w:rPr>
                <w:szCs w:val="18"/>
              </w:rPr>
              <w:t>mg/L</w:t>
            </w:r>
            <w:r>
              <w:rPr>
                <w:rFonts w:hint="eastAsia"/>
                <w:szCs w:val="18"/>
              </w:rPr>
              <w:t>，</w:t>
            </w:r>
            <w:r>
              <w:rPr>
                <w:szCs w:val="18"/>
              </w:rPr>
              <w:t>石油类浓度约为</w:t>
            </w:r>
            <w:r>
              <w:rPr>
                <w:rFonts w:hint="eastAsia"/>
                <w:szCs w:val="18"/>
              </w:rPr>
              <w:t>13</w:t>
            </w:r>
            <w:r>
              <w:rPr>
                <w:szCs w:val="18"/>
              </w:rPr>
              <w:t>mg/L。均低于</w:t>
            </w:r>
            <w:r>
              <w:rPr>
                <w:szCs w:val="28"/>
              </w:rPr>
              <w:t>福州万景石化有限公司污水处理站</w:t>
            </w:r>
            <w:r>
              <w:rPr>
                <w:rFonts w:hint="eastAsia"/>
                <w:szCs w:val="28"/>
              </w:rPr>
              <w:t>低</w:t>
            </w:r>
            <w:r>
              <w:rPr>
                <w:szCs w:val="28"/>
              </w:rPr>
              <w:t>浓度废水处理段</w:t>
            </w:r>
            <w:r>
              <w:t>的进水水质要求。</w:t>
            </w:r>
          </w:p>
          <w:p w14:paraId="141C8A7A">
            <w:pPr>
              <w:ind w:firstLine="480"/>
            </w:pPr>
            <w:r>
              <w:rPr>
                <w:rFonts w:hint="eastAsia"/>
              </w:rPr>
              <w:t>根据</w:t>
            </w:r>
            <w:r>
              <w:rPr>
                <w:szCs w:val="28"/>
              </w:rPr>
              <w:t>福州万景石化有限公司污水处理站</w:t>
            </w:r>
            <w:r>
              <w:t>接收</w:t>
            </w:r>
            <w:r>
              <w:rPr>
                <w:rFonts w:hint="eastAsia"/>
              </w:rPr>
              <w:t>本次扩建项目</w:t>
            </w:r>
            <w:r>
              <w:t>的污水水量</w:t>
            </w:r>
            <w:r>
              <w:rPr>
                <w:rFonts w:hint="eastAsia"/>
              </w:rPr>
              <w:t>，分析扩建项目依托</w:t>
            </w:r>
            <w:r>
              <w:t>福州万景石化有限公司污水处理站可行性</w:t>
            </w:r>
            <w:r>
              <w:rPr>
                <w:rFonts w:hint="eastAsia"/>
              </w:rPr>
              <w:t>，详见表4.3-6。</w:t>
            </w:r>
          </w:p>
          <w:p w14:paraId="5FF388D3">
            <w:pPr>
              <w:spacing w:line="240" w:lineRule="auto"/>
              <w:ind w:firstLine="0" w:firstLineChars="0"/>
              <w:jc w:val="center"/>
              <w:rPr>
                <w:b/>
                <w:szCs w:val="20"/>
              </w:rPr>
            </w:pPr>
            <w:r>
              <w:rPr>
                <w:b/>
                <w:szCs w:val="20"/>
              </w:rPr>
              <w:t>表</w:t>
            </w:r>
            <w:r>
              <w:rPr>
                <w:rFonts w:hint="eastAsia"/>
                <w:b/>
                <w:szCs w:val="20"/>
              </w:rPr>
              <w:t>4.3-6</w:t>
            </w:r>
            <w:r>
              <w:rPr>
                <w:b/>
                <w:szCs w:val="20"/>
              </w:rPr>
              <w:t>福州万景石化有限公司污水处理站污水水量统计表</w:t>
            </w:r>
          </w:p>
          <w:p w14:paraId="317F6A1F">
            <w:pPr>
              <w:ind w:firstLine="482"/>
              <w:jc w:val="center"/>
            </w:pPr>
            <w:r>
              <w:rPr>
                <w:rFonts w:hint="eastAsia"/>
                <w:b/>
              </w:rPr>
              <w:t>***（略，涉及商业秘密）</w:t>
            </w:r>
          </w:p>
          <w:p w14:paraId="4A654D62">
            <w:pPr>
              <w:adjustRightInd w:val="0"/>
              <w:snapToGrid w:val="0"/>
              <w:ind w:firstLine="480"/>
              <w:rPr>
                <w:bCs/>
                <w:snapToGrid w:val="0"/>
              </w:rPr>
            </w:pPr>
            <w:r>
              <w:rPr>
                <w:rFonts w:hint="eastAsia"/>
                <w:bCs/>
                <w:snapToGrid w:val="0"/>
              </w:rPr>
              <w:t>根据上表，</w:t>
            </w:r>
            <w:r>
              <w:rPr>
                <w:bCs/>
                <w:snapToGrid w:val="0"/>
              </w:rPr>
              <w:t>福州万景石化有限公司污水处理站</w:t>
            </w:r>
            <w:r>
              <w:rPr>
                <w:rFonts w:hint="eastAsia"/>
                <w:bCs/>
                <w:snapToGrid w:val="0"/>
              </w:rPr>
              <w:t>处理能力仍有富余</w:t>
            </w:r>
            <w:r>
              <w:rPr>
                <w:bCs/>
                <w:snapToGrid w:val="0"/>
              </w:rPr>
              <w:t>，</w:t>
            </w:r>
            <w:r>
              <w:rPr>
                <w:rFonts w:hint="eastAsia"/>
                <w:bCs/>
                <w:snapToGrid w:val="0"/>
              </w:rPr>
              <w:t>符合该污水站的设计处理能力</w:t>
            </w:r>
            <w:r>
              <w:rPr>
                <w:bCs/>
                <w:snapToGrid w:val="0"/>
              </w:rPr>
              <w:t>。</w:t>
            </w:r>
          </w:p>
          <w:p w14:paraId="48575239">
            <w:pPr>
              <w:spacing w:line="240" w:lineRule="auto"/>
              <w:ind w:firstLine="0" w:firstLineChars="0"/>
              <w:jc w:val="center"/>
              <w:rPr>
                <w:b/>
                <w:szCs w:val="20"/>
              </w:rPr>
            </w:pPr>
            <w:r>
              <w:rPr>
                <w:b/>
                <w:szCs w:val="20"/>
              </w:rPr>
              <w:t>表</w:t>
            </w:r>
            <w:r>
              <w:rPr>
                <w:rFonts w:hint="eastAsia"/>
                <w:b/>
                <w:szCs w:val="20"/>
              </w:rPr>
              <w:t>4.3-7扩建项目废水占用情况表</w:t>
            </w:r>
          </w:p>
          <w:p w14:paraId="099858D7">
            <w:pPr>
              <w:ind w:firstLine="482"/>
              <w:jc w:val="center"/>
            </w:pPr>
            <w:r>
              <w:rPr>
                <w:rFonts w:hint="eastAsia"/>
                <w:b/>
              </w:rPr>
              <w:t>***（略，涉及商业秘密）</w:t>
            </w:r>
          </w:p>
          <w:p w14:paraId="5A8727F6">
            <w:pPr>
              <w:adjustRightInd w:val="0"/>
              <w:snapToGrid w:val="0"/>
              <w:ind w:firstLine="480"/>
              <w:rPr>
                <w:bCs/>
                <w:snapToGrid w:val="0"/>
              </w:rPr>
            </w:pPr>
            <w:r>
              <w:rPr>
                <w:rFonts w:hint="eastAsia"/>
                <w:bCs/>
                <w:snapToGrid w:val="0"/>
              </w:rPr>
              <w:t>根据上表，扩建项目废水新增排放量（含非正常工况下储罐清洗废水）未超过该污水处理站的设计处理能力</w:t>
            </w:r>
            <w:r>
              <w:rPr>
                <w:bCs/>
                <w:snapToGrid w:val="0"/>
              </w:rPr>
              <w:t>，不会对该污水站造成冲击负荷影响。福州万景石化有限公司污水处理站</w:t>
            </w:r>
            <w:r>
              <w:rPr>
                <w:rFonts w:hint="eastAsia"/>
                <w:bCs/>
                <w:snapToGrid w:val="0"/>
              </w:rPr>
              <w:t>低浓度废水处理段能够接纳本次扩建项目废水排放量。</w:t>
            </w:r>
          </w:p>
          <w:p w14:paraId="7600E772">
            <w:pPr>
              <w:adjustRightInd w:val="0"/>
              <w:snapToGrid w:val="0"/>
              <w:ind w:firstLine="480"/>
              <w:rPr>
                <w:bCs/>
                <w:snapToGrid w:val="0"/>
              </w:rPr>
            </w:pPr>
            <w:r>
              <w:rPr>
                <w:rFonts w:hint="eastAsia"/>
                <w:bCs/>
                <w:snapToGrid w:val="0"/>
              </w:rPr>
              <w:t>根据</w:t>
            </w:r>
            <w:r>
              <w:rPr>
                <w:bCs/>
                <w:snapToGrid w:val="0"/>
              </w:rPr>
              <w:t>福州万景石化有限公司</w:t>
            </w:r>
            <w:r>
              <w:rPr>
                <w:rFonts w:hint="eastAsia"/>
                <w:bCs/>
                <w:snapToGrid w:val="0"/>
              </w:rPr>
              <w:t>与福州中江码头有限公司的废水委托处理协议，</w:t>
            </w:r>
            <w:r>
              <w:rPr>
                <w:bCs/>
                <w:snapToGrid w:val="0"/>
              </w:rPr>
              <w:t>福州万景石化有限公司污水处理站</w:t>
            </w:r>
            <w:r>
              <w:rPr>
                <w:rFonts w:hint="eastAsia"/>
                <w:bCs/>
                <w:snapToGrid w:val="0"/>
              </w:rPr>
              <w:t>将富余处理能力分配给本次扩建项目，并明确双方的责任</w:t>
            </w:r>
            <w:r>
              <w:t>。</w:t>
            </w:r>
            <w:r>
              <w:rPr>
                <w:rFonts w:hint="eastAsia"/>
              </w:rPr>
              <w:t>因此</w:t>
            </w:r>
            <w:r>
              <w:rPr>
                <w:rFonts w:hint="eastAsia"/>
                <w:bCs/>
                <w:snapToGrid w:val="0"/>
              </w:rPr>
              <w:t>扩建项目废水从水质、水量方面分析，采用厂外管线输送至</w:t>
            </w:r>
            <w:r>
              <w:rPr>
                <w:bCs/>
                <w:snapToGrid w:val="0"/>
              </w:rPr>
              <w:t>福州万景石化有限公司污水处理站</w:t>
            </w:r>
            <w:r>
              <w:rPr>
                <w:rFonts w:hint="eastAsia"/>
                <w:bCs/>
                <w:snapToGrid w:val="0"/>
              </w:rPr>
              <w:t>是可行的</w:t>
            </w:r>
            <w:r>
              <w:rPr>
                <w:rFonts w:hint="eastAsia"/>
              </w:rPr>
              <w:t>。</w:t>
            </w:r>
          </w:p>
          <w:p w14:paraId="3E6A3E6D">
            <w:pPr>
              <w:overflowPunct w:val="0"/>
              <w:adjustRightInd w:val="0"/>
              <w:snapToGrid w:val="0"/>
              <w:ind w:firstLine="482"/>
              <w:jc w:val="left"/>
              <w:rPr>
                <w:b/>
                <w:bCs/>
                <w:snapToGrid w:val="0"/>
              </w:rPr>
            </w:pPr>
            <w:r>
              <w:rPr>
                <w:b/>
                <w:bCs/>
                <w:snapToGrid w:val="0"/>
              </w:rPr>
              <w:t>4.3.3.</w:t>
            </w:r>
            <w:r>
              <w:rPr>
                <w:rFonts w:hint="eastAsia"/>
                <w:b/>
                <w:bCs/>
                <w:snapToGrid w:val="0"/>
              </w:rPr>
              <w:t>4</w:t>
            </w:r>
            <w:r>
              <w:rPr>
                <w:b/>
                <w:bCs/>
                <w:snapToGrid w:val="0"/>
              </w:rPr>
              <w:t>江阴污水厂废水处理依托可行性</w:t>
            </w:r>
          </w:p>
          <w:p w14:paraId="61699811">
            <w:pPr>
              <w:pStyle w:val="16"/>
              <w:ind w:firstLine="482"/>
              <w:rPr>
                <w:b/>
              </w:rPr>
            </w:pPr>
            <w:r>
              <w:rPr>
                <w:rFonts w:hint="eastAsia"/>
                <w:b/>
              </w:rPr>
              <w:t>一、</w:t>
            </w:r>
            <w:r>
              <w:rPr>
                <w:b/>
              </w:rPr>
              <w:t>江阴污水处理厂简介</w:t>
            </w:r>
          </w:p>
          <w:p w14:paraId="639334DD">
            <w:pPr>
              <w:ind w:firstLine="480"/>
            </w:pPr>
            <w:r>
              <w:t>（1）建设规模</w:t>
            </w:r>
          </w:p>
          <w:p w14:paraId="33EB3B66">
            <w:pPr>
              <w:ind w:firstLine="480"/>
            </w:pPr>
            <w:r>
              <w:t>江阴工业集中区污水处理厂位于福州江阴工业集中区西部工业区规划地块内，总用地16公顷，总设计规模12万t/d，主要负责江阴工业集中区启动区13.8km²范围内的污水处理，分期建设，近期4万t/d、中期8万t/d、远期12万t/d。近期4万t/d分两阶段建设，污水处理厂近期一、二期工程平均处理污水量均为2万t/d，目前近期一期已建成2万t/d规模，2009年5月已投入运行，2011年11月通过竣工环保验收；二期2万t/d规模，于2012年9月底完工投入试运行，2015年11月通过一期提标及二期工程阶段环保验收。同时，提标及改造工程于2017年6月建成，2017年9月投入试运行，并于2018年2月6日通过竣工环境保护验收。</w:t>
            </w:r>
          </w:p>
          <w:p w14:paraId="228E910C">
            <w:pPr>
              <w:ind w:firstLine="480"/>
            </w:pPr>
            <w:r>
              <w:t>（2）服务范围</w:t>
            </w:r>
          </w:p>
          <w:p w14:paraId="07424481">
            <w:pPr>
              <w:adjustRightInd w:val="0"/>
              <w:snapToGrid w:val="0"/>
              <w:ind w:firstLine="480"/>
            </w:pPr>
            <w:r>
              <w:t>江阴污水处理厂近期主要服务范围是工业启动区块新江公路以西，现状海岸线以东，港口以北，福兴制药厂以南地块，面积约4.4km²。污水组成包括工业废水和生活污水，主要由工业废水组成。工业废水来自综合工业集中区内生产过程中产生的废水，包括工厂内部的生活污水；生活污水来自新江公路以北，西山村以西的生活及公建区。污水处理厂厂前管网收集系统的管网已建设6.1km，污水处理厂厂后尾水排污管线已建设5.4km，海上段已建968m。现有工业集中区内企业污水已经全部纳入</w:t>
            </w:r>
            <w:r>
              <w:rPr>
                <w:rFonts w:hint="eastAsia"/>
              </w:rPr>
              <w:t>污水处理厂</w:t>
            </w:r>
            <w:r>
              <w:t>管网收集服务系统服务范围。</w:t>
            </w:r>
          </w:p>
          <w:p w14:paraId="241DA310">
            <w:pPr>
              <w:ind w:firstLine="480"/>
            </w:pPr>
            <w:r>
              <w:t>江阴污水处理厂远期（12万m³/d）主要服务范围为整个江阴工业集中区及新厝出口加工区内的企业污水和生活配套区生活污水。</w:t>
            </w:r>
          </w:p>
          <w:p w14:paraId="65137F9E">
            <w:pPr>
              <w:ind w:firstLine="480"/>
            </w:pPr>
            <w:r>
              <w:t>（3）设计进出水指标</w:t>
            </w:r>
          </w:p>
          <w:p w14:paraId="36B5084A">
            <w:pPr>
              <w:ind w:firstLine="480"/>
            </w:pPr>
            <w:r>
              <w:t>江阴工业集中区污水处理厂要求各企业出水水质达到江阴工业区集中污水处理厂主要进水指标要求，其它水质指标满足《污水综合排放标准》（GB8978-1996）三级标准及《污水排入城市下水道水质标准》（GB/T31962-2015）B级标准及相关行业污染物排放标准后才能接入。</w:t>
            </w:r>
          </w:p>
          <w:p w14:paraId="39EB301C">
            <w:pPr>
              <w:ind w:firstLine="480"/>
            </w:pPr>
            <w:r>
              <w:t>根据《</w:t>
            </w:r>
            <w:r>
              <w:rPr>
                <w:rFonts w:hint="eastAsia"/>
              </w:rPr>
              <w:t>福州市“十四五”海洋生态环境保护规划</w:t>
            </w:r>
            <w:r>
              <w:t>》和《江阴港城总体规划（2018-2035）环境影响报告书》的要求，江阴工业集中区污水处理厂现出水水质要求需由《污水综合排放标准》（GB8978-1996）一级标准提高至《城镇污水处理厂污染物排放标准》（GB18918-2002）一级A标准。</w:t>
            </w:r>
          </w:p>
          <w:p w14:paraId="121F7A01">
            <w:pPr>
              <w:pStyle w:val="16"/>
              <w:ind w:firstLine="480"/>
            </w:pPr>
            <w:r>
              <w:t>近期一级A提标改造工程2019年底开始施工，2020年9月10日建成通水调试，近期（一期、二期）工程处理出水已达到《城镇污水处理厂污染物排放标准》（GB18918-2002）表1一级A标准，其进出水水质指标见</w:t>
            </w:r>
            <w:r>
              <w:rPr>
                <w:rFonts w:hint="eastAsia"/>
              </w:rPr>
              <w:t>表4.3-8</w:t>
            </w:r>
            <w:r>
              <w:t>。</w:t>
            </w:r>
          </w:p>
          <w:p w14:paraId="67EED1E0">
            <w:pPr>
              <w:pStyle w:val="166"/>
              <w:ind w:firstLine="480"/>
            </w:pPr>
            <w:bookmarkStart w:id="44" w:name="_Ref106817959"/>
            <w:r>
              <w:rPr>
                <w:rFonts w:hint="eastAsia"/>
              </w:rPr>
              <w:t>表4.3-8</w:t>
            </w:r>
            <w:r>
              <w:t>设计进、出水水质及处理程度单位：mg/L</w:t>
            </w:r>
            <w:bookmarkEnd w:id="44"/>
          </w:p>
          <w:p w14:paraId="7E93BBB4">
            <w:pPr>
              <w:ind w:firstLine="482"/>
              <w:jc w:val="center"/>
            </w:pPr>
            <w:r>
              <w:rPr>
                <w:rFonts w:hint="eastAsia"/>
                <w:b/>
              </w:rPr>
              <w:t>***（略，涉及商业秘密）</w:t>
            </w:r>
          </w:p>
          <w:p w14:paraId="03BF0E36">
            <w:pPr>
              <w:ind w:firstLine="480"/>
            </w:pPr>
            <w:r>
              <w:t>（4）处理工艺流程</w:t>
            </w:r>
          </w:p>
          <w:p w14:paraId="0BC1FEA0">
            <w:pPr>
              <w:pStyle w:val="16"/>
              <w:ind w:firstLine="480"/>
            </w:pPr>
            <w:r>
              <w:t>近期一级A提标改造工程完成后，工业区企业废水达到纳管标准，经工业区管网进入江阴污水处理厂，经反捞式粗格栅、转鼓式细格栅、初沉池（调节池）、厌氧水解池、多级AO池、芬顿高级氧化池、臭氧接触池、终沉池及曝气生物滤池后，再进入消毒池，经二氧化氯消毒后排海。</w:t>
            </w:r>
          </w:p>
          <w:p w14:paraId="3B839613">
            <w:pPr>
              <w:pStyle w:val="16"/>
              <w:ind w:firstLine="482"/>
              <w:rPr>
                <w:b/>
              </w:rPr>
            </w:pPr>
            <w:r>
              <w:rPr>
                <w:rFonts w:hint="eastAsia"/>
                <w:b/>
              </w:rPr>
              <w:t>二、</w:t>
            </w:r>
            <w:r>
              <w:rPr>
                <w:b/>
              </w:rPr>
              <w:t>纳入江阴污水处理厂处理可行性分析</w:t>
            </w:r>
          </w:p>
          <w:p w14:paraId="31691F63">
            <w:pPr>
              <w:pStyle w:val="16"/>
              <w:spacing w:after="0"/>
              <w:ind w:firstLine="480"/>
            </w:pPr>
            <w:r>
              <w:t>（1）水质接纳可行性分析</w:t>
            </w:r>
          </w:p>
          <w:p w14:paraId="30D62E62">
            <w:pPr>
              <w:pStyle w:val="16"/>
              <w:spacing w:after="0"/>
              <w:ind w:firstLine="480"/>
            </w:pPr>
            <w:r>
              <w:rPr>
                <w:rFonts w:hint="eastAsia"/>
              </w:rPr>
              <w:t>扩建项目</w:t>
            </w:r>
            <w:r>
              <w:t>生活污水经预处理后与BDO/MA储罐废气水洗/碱洗废水、初期雨水、地面冲洗废水</w:t>
            </w:r>
            <w:r>
              <w:rPr>
                <w:rFonts w:hint="eastAsia"/>
              </w:rPr>
              <w:t>送至</w:t>
            </w:r>
            <w:r>
              <w:t>福州万景石化有限公司污水处理站低浓度废水处理段处理后，污水排放浓度可符合江阴污水处理厂接纳限值。</w:t>
            </w:r>
          </w:p>
          <w:p w14:paraId="390CBDCD">
            <w:pPr>
              <w:pStyle w:val="16"/>
              <w:spacing w:after="0"/>
              <w:ind w:firstLine="480"/>
            </w:pPr>
            <w:r>
              <w:t>（2）水量接纳可行性分析</w:t>
            </w:r>
          </w:p>
          <w:p w14:paraId="0F910B2F">
            <w:pPr>
              <w:pStyle w:val="16"/>
              <w:spacing w:after="0"/>
              <w:ind w:firstLine="480"/>
            </w:pPr>
            <w:r>
              <w:rPr>
                <w:rFonts w:hint="eastAsia"/>
              </w:rPr>
              <w:t>福州市新港城污水处理有限公司城污水处理有限公司（江阴污水处理厂）</w:t>
            </w:r>
            <w:r>
              <w:t>现有已投产运行和已批在建项目的污水总量</w:t>
            </w:r>
            <w:r>
              <w:rPr>
                <w:rFonts w:hint="eastAsia"/>
              </w:rPr>
              <w:t>见表4.3-9</w:t>
            </w:r>
            <w:r>
              <w:t>。</w:t>
            </w:r>
          </w:p>
          <w:p w14:paraId="7E99609A">
            <w:pPr>
              <w:pStyle w:val="166"/>
              <w:ind w:firstLine="480"/>
            </w:pPr>
            <w:bookmarkStart w:id="45" w:name="_Ref106817967"/>
            <w:r>
              <w:rPr>
                <w:rFonts w:hint="eastAsia"/>
              </w:rPr>
              <w:t>表4.3-9工业区</w:t>
            </w:r>
            <w:r>
              <w:t>项目污水排放量统计</w:t>
            </w:r>
            <w:bookmarkEnd w:id="45"/>
          </w:p>
          <w:p w14:paraId="4564FBF0">
            <w:pPr>
              <w:ind w:firstLine="482"/>
              <w:jc w:val="center"/>
            </w:pPr>
            <w:r>
              <w:rPr>
                <w:rFonts w:hint="eastAsia"/>
                <w:b/>
              </w:rPr>
              <w:t>***（略，涉及商业秘密）</w:t>
            </w:r>
          </w:p>
          <w:p w14:paraId="3F545734">
            <w:pPr>
              <w:ind w:firstLine="480"/>
            </w:pPr>
            <w:r>
              <w:t>园区废水实际总排放量为77069.71t/d，低于江阴污水处理厂</w:t>
            </w:r>
            <w:r>
              <w:rPr>
                <w:rFonts w:hint="eastAsia"/>
              </w:rPr>
              <w:t>目前</w:t>
            </w:r>
            <w:r>
              <w:t>污水处理能力</w:t>
            </w:r>
            <w:r>
              <w:rPr>
                <w:rFonts w:hint="eastAsia"/>
              </w:rPr>
              <w:t>。因此不影响江阴污水处理厂已审批尾水排放量的要求以及通过入海排污口直排海排放量的要求。</w:t>
            </w:r>
          </w:p>
          <w:p w14:paraId="0AAE8484">
            <w:pPr>
              <w:ind w:firstLine="480"/>
            </w:pPr>
            <w:r>
              <w:t>（3）管网接纳可行性分析</w:t>
            </w:r>
          </w:p>
          <w:p w14:paraId="15BD5154">
            <w:pPr>
              <w:ind w:firstLine="480"/>
              <w:rPr>
                <w:szCs w:val="22"/>
              </w:rPr>
            </w:pPr>
            <w:r>
              <w:t>江阴工业区西区片污水工程专项规划的污水管网规划及已建、待建情况详见</w:t>
            </w:r>
            <w:r>
              <w:rPr>
                <w:rFonts w:hint="eastAsia"/>
              </w:rPr>
              <w:t>附图7</w:t>
            </w:r>
            <w:r>
              <w:t>。福州万景石化有限公司污水处理站位于江阴污水处理厂服务区范围之内，通过已建管网接入口，将污水送到江阴污水处理厂，因此</w:t>
            </w:r>
            <w:r>
              <w:rPr>
                <w:rFonts w:hint="eastAsia"/>
              </w:rPr>
              <w:t>扩建项目生活污水经预处理后与BDO/MA储罐废气水洗/碱洗废水、初期雨水、地面冲洗废水经</w:t>
            </w:r>
            <w:r>
              <w:t>福州万景石化有限公司污水处理站低浓度废水处理段</w:t>
            </w:r>
            <w:r>
              <w:rPr>
                <w:rFonts w:hint="eastAsia"/>
              </w:rPr>
              <w:t>处理后</w:t>
            </w:r>
            <w:r>
              <w:t>由江阴污水处理接收处置是可行的。</w:t>
            </w:r>
          </w:p>
        </w:tc>
      </w:tr>
    </w:tbl>
    <w:p w14:paraId="16FDCCD5">
      <w:pPr>
        <w:adjustRightInd w:val="0"/>
        <w:snapToGrid w:val="0"/>
        <w:ind w:firstLine="562"/>
        <w:rPr>
          <w:b/>
          <w:kern w:val="0"/>
          <w:sz w:val="28"/>
          <w:szCs w:val="28"/>
        </w:rPr>
        <w:sectPr>
          <w:footerReference r:id="rId34" w:type="default"/>
          <w:pgSz w:w="11905" w:h="16838"/>
          <w:pgMar w:top="1417" w:right="1417" w:bottom="1417" w:left="1417" w:header="851" w:footer="850" w:gutter="0"/>
          <w:cols w:space="720" w:num="1"/>
          <w:docGrid w:linePitch="312" w:charSpace="0"/>
        </w:sectPr>
      </w:pP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0375"/>
      </w:tblGrid>
      <w:tr w14:paraId="44ABC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75" w:type="pct"/>
            <w:tcMar>
              <w:left w:w="28" w:type="dxa"/>
              <w:right w:w="28" w:type="dxa"/>
            </w:tcMar>
            <w:vAlign w:val="center"/>
          </w:tcPr>
          <w:p w14:paraId="5EBBF008">
            <w:pPr>
              <w:adjustRightInd w:val="0"/>
              <w:snapToGrid w:val="0"/>
              <w:ind w:firstLine="0" w:firstLineChars="0"/>
              <w:jc w:val="center"/>
              <w:rPr>
                <w:szCs w:val="22"/>
              </w:rPr>
            </w:pPr>
            <w:r>
              <w:rPr>
                <w:szCs w:val="22"/>
              </w:rPr>
              <w:t>运营</w:t>
            </w:r>
          </w:p>
          <w:p w14:paraId="70768F3F">
            <w:pPr>
              <w:adjustRightInd w:val="0"/>
              <w:snapToGrid w:val="0"/>
              <w:ind w:firstLine="0" w:firstLineChars="0"/>
              <w:jc w:val="center"/>
              <w:rPr>
                <w:szCs w:val="22"/>
              </w:rPr>
            </w:pPr>
            <w:r>
              <w:rPr>
                <w:szCs w:val="22"/>
              </w:rPr>
              <w:t>期环</w:t>
            </w:r>
          </w:p>
          <w:p w14:paraId="2DDE7A5D">
            <w:pPr>
              <w:adjustRightInd w:val="0"/>
              <w:snapToGrid w:val="0"/>
              <w:ind w:firstLine="0" w:firstLineChars="0"/>
              <w:jc w:val="center"/>
              <w:rPr>
                <w:szCs w:val="22"/>
              </w:rPr>
            </w:pPr>
            <w:r>
              <w:rPr>
                <w:szCs w:val="22"/>
              </w:rPr>
              <w:t>境影</w:t>
            </w:r>
          </w:p>
          <w:p w14:paraId="49AC836E">
            <w:pPr>
              <w:adjustRightInd w:val="0"/>
              <w:snapToGrid w:val="0"/>
              <w:ind w:firstLine="0" w:firstLineChars="0"/>
              <w:jc w:val="center"/>
              <w:rPr>
                <w:szCs w:val="22"/>
              </w:rPr>
            </w:pPr>
            <w:r>
              <w:rPr>
                <w:szCs w:val="22"/>
              </w:rPr>
              <w:t>响和</w:t>
            </w:r>
          </w:p>
          <w:p w14:paraId="0EBBE9D6">
            <w:pPr>
              <w:adjustRightInd w:val="0"/>
              <w:snapToGrid w:val="0"/>
              <w:ind w:firstLine="0" w:firstLineChars="0"/>
              <w:jc w:val="center"/>
              <w:rPr>
                <w:szCs w:val="22"/>
              </w:rPr>
            </w:pPr>
            <w:r>
              <w:rPr>
                <w:szCs w:val="22"/>
              </w:rPr>
              <w:t>保护</w:t>
            </w:r>
          </w:p>
          <w:p w14:paraId="4AA2301D">
            <w:pPr>
              <w:adjustRightInd w:val="0"/>
              <w:snapToGrid w:val="0"/>
              <w:ind w:firstLine="0" w:firstLineChars="0"/>
              <w:jc w:val="center"/>
              <w:rPr>
                <w:szCs w:val="22"/>
              </w:rPr>
            </w:pPr>
            <w:r>
              <w:rPr>
                <w:szCs w:val="22"/>
              </w:rPr>
              <w:t>措施</w:t>
            </w:r>
          </w:p>
        </w:tc>
        <w:tc>
          <w:tcPr>
            <w:tcW w:w="4825" w:type="pct"/>
            <w:vAlign w:val="center"/>
          </w:tcPr>
          <w:p w14:paraId="11422796">
            <w:pPr>
              <w:pStyle w:val="11"/>
              <w:ind w:firstLine="482"/>
            </w:pPr>
            <w:r>
              <w:rPr>
                <w:rFonts w:hint="eastAsia"/>
              </w:rPr>
              <w:t>表</w:t>
            </w:r>
            <w:r>
              <w:rPr>
                <w:rFonts w:hint="eastAsia"/>
                <w:szCs w:val="24"/>
              </w:rPr>
              <w:t xml:space="preserve">4.3-10 </w:t>
            </w:r>
            <w:r>
              <w:rPr>
                <w:rFonts w:hint="eastAsia"/>
              </w:rPr>
              <w:t>扩建项目新增废水产生及排放情况</w:t>
            </w:r>
          </w:p>
          <w:p w14:paraId="5C30D993">
            <w:pPr>
              <w:ind w:firstLine="482"/>
              <w:jc w:val="center"/>
            </w:pPr>
            <w:r>
              <w:rPr>
                <w:rFonts w:hint="eastAsia"/>
                <w:b/>
              </w:rPr>
              <w:t>***（略，涉及商业秘密）</w:t>
            </w:r>
          </w:p>
          <w:p w14:paraId="6D90D201">
            <w:pPr>
              <w:pStyle w:val="8"/>
              <w:tabs>
                <w:tab w:val="left" w:pos="5400"/>
              </w:tabs>
              <w:spacing w:before="120"/>
              <w:rPr>
                <w:lang w:val="en-US" w:eastAsia="zh-CN"/>
              </w:rPr>
            </w:pPr>
            <w:r>
              <w:rPr>
                <w:lang w:val="en-US" w:eastAsia="zh-CN"/>
              </w:rPr>
              <w:t>4.2.</w:t>
            </w:r>
            <w:r>
              <w:rPr>
                <w:rFonts w:hint="eastAsia"/>
                <w:lang w:val="en-US" w:eastAsia="zh-CN"/>
              </w:rPr>
              <w:t>4废水非正常工况排放分析</w:t>
            </w:r>
          </w:p>
          <w:p w14:paraId="65819227">
            <w:pPr>
              <w:ind w:firstLine="480"/>
            </w:pPr>
            <w:r>
              <w:rPr>
                <w:rFonts w:hint="eastAsia"/>
              </w:rPr>
              <w:t>扩建项目非正常废水主要是指开停车及设备检修过程中的储罐清洗废水，储罐清洗废水通过管道排入生产污水池（容积为80</w:t>
            </w:r>
            <w:r>
              <w:t xml:space="preserve"> m³</w:t>
            </w:r>
            <w:r>
              <w:rPr>
                <w:rFonts w:hint="eastAsia"/>
              </w:rPr>
              <w:t>）暂存。由于每个罐体清洗为分批次清洗，当某个罐体处于非正常工况时，厂区其他设备设施仍处于正常工况，因此该罐体开停车及设备检修过程中产生的储罐清洗废水暂存于生产污水池，并通过计量泵限流或经必要预处理后均匀缓慢地混入</w:t>
            </w:r>
            <w:r>
              <w:t>BDO/MA储罐废气水洗/碱洗废水、初期雨水、地面冲洗废水、生活污水</w:t>
            </w:r>
            <w:r>
              <w:rPr>
                <w:rFonts w:hint="eastAsia"/>
              </w:rPr>
              <w:t>（预处理后），再送至福州万景石化有限公司污水处理站</w:t>
            </w:r>
            <w:r>
              <w:t>低浓度废水处理段</w:t>
            </w:r>
            <w:r>
              <w:rPr>
                <w:rFonts w:hint="eastAsia"/>
              </w:rPr>
              <w:t>，</w:t>
            </w:r>
            <w:r>
              <w:t>处理达到江阴工业集中区污水处理厂纳管标准后，排入江阴工业集中区污水处理厂进一步处理</w:t>
            </w:r>
            <w:r>
              <w:rPr>
                <w:rFonts w:hint="eastAsia"/>
              </w:rPr>
              <w:t>。</w:t>
            </w:r>
          </w:p>
          <w:p w14:paraId="13C2F0AF">
            <w:pPr>
              <w:ind w:firstLine="480"/>
            </w:pPr>
            <w:r>
              <w:rPr>
                <w:rFonts w:hint="eastAsia"/>
              </w:rPr>
              <w:t>（1）非正常工况废水源强</w:t>
            </w:r>
          </w:p>
          <w:p w14:paraId="7CDCC03F">
            <w:pPr>
              <w:adjustRightInd w:val="0"/>
              <w:snapToGrid w:val="0"/>
              <w:ind w:firstLine="480"/>
            </w:pPr>
            <w:r>
              <w:rPr>
                <w:rFonts w:hint="eastAsia"/>
              </w:rPr>
              <w:t>MA储罐清洗废水，该废水仅在检修时产生，属于非正常工况排水，每次清洗废水产生量为80m³。每6年清洗一次，主要污染物为COD、SS、石油类。废水</w:t>
            </w:r>
            <w:r>
              <w:t>水质为pH为6～9，COD</w:t>
            </w:r>
            <w:r>
              <w:rPr>
                <w:rFonts w:hint="eastAsia"/>
              </w:rPr>
              <w:t>≤2677mg</w:t>
            </w:r>
            <w:r>
              <w:t>/L</w:t>
            </w:r>
            <w:r>
              <w:rPr>
                <w:rFonts w:hint="eastAsia"/>
              </w:rPr>
              <w:t>、</w:t>
            </w:r>
            <w:r>
              <w:t>SS</w:t>
            </w:r>
            <w:r>
              <w:rPr>
                <w:rFonts w:hint="eastAsia"/>
              </w:rPr>
              <w:t>≤803</w:t>
            </w:r>
            <w:r>
              <w:t>mg/L</w:t>
            </w:r>
            <w:r>
              <w:rPr>
                <w:rFonts w:hint="eastAsia"/>
              </w:rPr>
              <w:t>、石油类≤200</w:t>
            </w:r>
            <w:r>
              <w:t>mg/L</w:t>
            </w:r>
            <w:r>
              <w:rPr>
                <w:rFonts w:hint="eastAsia"/>
              </w:rPr>
              <w:t>。</w:t>
            </w:r>
          </w:p>
          <w:p w14:paraId="442249F1">
            <w:pPr>
              <w:adjustRightInd w:val="0"/>
              <w:snapToGrid w:val="0"/>
              <w:ind w:firstLine="480"/>
            </w:pPr>
            <w:r>
              <w:rPr>
                <w:rFonts w:hint="eastAsia"/>
              </w:rPr>
              <w:t>BDO储罐清洗废水，该废水仅在检修时产生，属于非正常工况排水，每次清洗废水产生量为80m³。每6年清洗一次，主要污染物为COD、SS、石油类。废水</w:t>
            </w:r>
            <w:r>
              <w:t>水质为pH为6～9，COD</w:t>
            </w:r>
            <w:r>
              <w:rPr>
                <w:rFonts w:hint="eastAsia"/>
              </w:rPr>
              <w:t>≤4046mg</w:t>
            </w:r>
            <w:r>
              <w:t>/L</w:t>
            </w:r>
            <w:r>
              <w:rPr>
                <w:rFonts w:hint="eastAsia"/>
              </w:rPr>
              <w:t>、</w:t>
            </w:r>
            <w:r>
              <w:t>SS</w:t>
            </w:r>
            <w:r>
              <w:rPr>
                <w:rFonts w:hint="eastAsia"/>
              </w:rPr>
              <w:t>≤1214</w:t>
            </w:r>
            <w:r>
              <w:t>mg/L</w:t>
            </w:r>
            <w:r>
              <w:rPr>
                <w:rFonts w:hint="eastAsia"/>
              </w:rPr>
              <w:t>、石油类≤400</w:t>
            </w:r>
            <w:r>
              <w:t>mg/L</w:t>
            </w:r>
            <w:r>
              <w:rPr>
                <w:rFonts w:hint="eastAsia"/>
              </w:rPr>
              <w:t>。</w:t>
            </w:r>
          </w:p>
          <w:p w14:paraId="3D7CF59F">
            <w:pPr>
              <w:adjustRightInd w:val="0"/>
              <w:snapToGrid w:val="0"/>
              <w:ind w:firstLine="480"/>
            </w:pPr>
            <w:r>
              <w:t>THF储罐清洗废水</w:t>
            </w:r>
            <w:r>
              <w:rPr>
                <w:rFonts w:hint="eastAsia"/>
              </w:rPr>
              <w:t>，该废水仅在检修时产生，属于非正常工况排水，每次清洗废水产生量为40m³。每6年清洗一次，主要污染物为COD、SS、石油类。废水</w:t>
            </w:r>
            <w:r>
              <w:t>水质为pH为6～9，COD</w:t>
            </w:r>
            <w:r>
              <w:rPr>
                <w:rFonts w:hint="eastAsia"/>
              </w:rPr>
              <w:t>≤4349mg</w:t>
            </w:r>
            <w:r>
              <w:t>/L</w:t>
            </w:r>
            <w:r>
              <w:rPr>
                <w:rFonts w:hint="eastAsia"/>
              </w:rPr>
              <w:t>、</w:t>
            </w:r>
            <w:r>
              <w:t>SS</w:t>
            </w:r>
            <w:r>
              <w:rPr>
                <w:rFonts w:hint="eastAsia"/>
              </w:rPr>
              <w:t>≤1305</w:t>
            </w:r>
            <w:r>
              <w:t>mg/L</w:t>
            </w:r>
            <w:r>
              <w:rPr>
                <w:rFonts w:hint="eastAsia"/>
              </w:rPr>
              <w:t>、石油类≤400</w:t>
            </w:r>
            <w:r>
              <w:t>mg/L</w:t>
            </w:r>
            <w:r>
              <w:rPr>
                <w:rFonts w:hint="eastAsia"/>
              </w:rPr>
              <w:t>。</w:t>
            </w:r>
          </w:p>
          <w:p w14:paraId="6F1E4950">
            <w:pPr>
              <w:ind w:firstLine="480"/>
            </w:pPr>
            <w:r>
              <w:rPr>
                <w:rFonts w:hint="eastAsia"/>
              </w:rPr>
              <w:t>COD即氧化水中可氧化物质（如有机物、亚硝酸盐、亚铁盐、硫化物）所消耗的氧量，对于有机物来说，即是将其氧化生成二氧化碳和水，故可根据化学式中碳、氢、氧原子数计算COD的理论值。COD换算系数=（碳原子数×2+氢原子数×0.5－氧原子数）×16/分子量</w:t>
            </w:r>
          </w:p>
          <w:p w14:paraId="24896D94">
            <w:pPr>
              <w:spacing w:line="240" w:lineRule="auto"/>
              <w:ind w:firstLine="0" w:firstLineChars="0"/>
              <w:jc w:val="center"/>
              <w:rPr>
                <w:b/>
                <w:szCs w:val="20"/>
              </w:rPr>
            </w:pPr>
            <w:r>
              <w:rPr>
                <w:b/>
                <w:szCs w:val="20"/>
              </w:rPr>
              <w:t>表4.3-</w:t>
            </w:r>
            <w:r>
              <w:rPr>
                <w:rFonts w:hint="eastAsia"/>
                <w:b/>
                <w:szCs w:val="20"/>
              </w:rPr>
              <w:t>11 各股储罐清洗废水</w:t>
            </w:r>
            <w:r>
              <w:rPr>
                <w:b/>
                <w:szCs w:val="20"/>
              </w:rPr>
              <w:t>COD</w:t>
            </w:r>
            <w:r>
              <w:rPr>
                <w:rFonts w:hint="eastAsia"/>
                <w:b/>
                <w:szCs w:val="20"/>
              </w:rPr>
              <w:t>浓度核算一览表</w:t>
            </w:r>
          </w:p>
          <w:p w14:paraId="6960969E">
            <w:pPr>
              <w:ind w:firstLine="482"/>
              <w:jc w:val="center"/>
            </w:pPr>
            <w:r>
              <w:rPr>
                <w:rFonts w:hint="eastAsia"/>
                <w:b/>
              </w:rPr>
              <w:t>***（略，涉及商业秘密）</w:t>
            </w:r>
          </w:p>
          <w:p w14:paraId="736A728B">
            <w:pPr>
              <w:pStyle w:val="11"/>
              <w:ind w:firstLine="482"/>
            </w:pPr>
            <w:r>
              <w:rPr>
                <w:rFonts w:hint="eastAsia"/>
              </w:rPr>
              <w:t>表</w:t>
            </w:r>
            <w:r>
              <w:rPr>
                <w:rFonts w:hint="eastAsia"/>
                <w:szCs w:val="24"/>
              </w:rPr>
              <w:t xml:space="preserve">4.3-12 </w:t>
            </w:r>
            <w:r>
              <w:rPr>
                <w:rFonts w:hint="eastAsia"/>
              </w:rPr>
              <w:t>非正常工况下储罐清洗废水产生情况</w:t>
            </w:r>
          </w:p>
          <w:p w14:paraId="1E363C1C">
            <w:pPr>
              <w:ind w:firstLine="482"/>
              <w:jc w:val="center"/>
            </w:pPr>
            <w:r>
              <w:rPr>
                <w:rFonts w:hint="eastAsia"/>
                <w:b/>
              </w:rPr>
              <w:t>***（略，涉及商业秘密）</w:t>
            </w:r>
          </w:p>
          <w:p w14:paraId="7DF2ADA1">
            <w:pPr>
              <w:pStyle w:val="2"/>
              <w:ind w:firstLine="480"/>
              <w:rPr>
                <w:lang w:eastAsia="zh-CN"/>
              </w:rPr>
            </w:pPr>
            <w:r>
              <w:rPr>
                <w:rFonts w:hint="eastAsia"/>
                <w:lang w:val="en-US" w:eastAsia="zh-CN"/>
              </w:rPr>
              <w:t>根据上表可见，BDO储罐清洗废水排放量及排放浓度相对较高，作为</w:t>
            </w:r>
            <w:r>
              <w:rPr>
                <w:rFonts w:hint="eastAsia"/>
              </w:rPr>
              <w:t>非正常工况</w:t>
            </w:r>
            <w:r>
              <w:rPr>
                <w:rFonts w:hint="eastAsia"/>
                <w:lang w:eastAsia="zh-CN"/>
              </w:rPr>
              <w:t>下</w:t>
            </w:r>
            <w:r>
              <w:rPr>
                <w:rFonts w:hint="eastAsia"/>
              </w:rPr>
              <w:t>储罐清洗废水</w:t>
            </w:r>
            <w:r>
              <w:rPr>
                <w:rFonts w:hint="eastAsia"/>
                <w:lang w:eastAsia="zh-CN"/>
              </w:rPr>
              <w:t>排放的</w:t>
            </w:r>
            <w:r>
              <w:rPr>
                <w:rFonts w:hint="eastAsia"/>
                <w:lang w:val="en-US" w:eastAsia="zh-CN"/>
              </w:rPr>
              <w:t>最不利情况，BDO储罐清洗废水与</w:t>
            </w:r>
            <w:r>
              <w:t>BDO/MA储罐废气水洗/碱洗废水、初期雨水、地面冲洗废水、生活污水</w:t>
            </w:r>
            <w:r>
              <w:rPr>
                <w:rFonts w:hint="eastAsia"/>
                <w:lang w:eastAsia="zh-CN"/>
              </w:rPr>
              <w:t>（预处理后）混合后排放情况见下表。</w:t>
            </w:r>
          </w:p>
          <w:p w14:paraId="6200BFEE">
            <w:pPr>
              <w:pStyle w:val="11"/>
              <w:ind w:firstLine="482"/>
            </w:pPr>
            <w:r>
              <w:rPr>
                <w:rFonts w:hint="eastAsia"/>
              </w:rPr>
              <w:t>表</w:t>
            </w:r>
            <w:r>
              <w:rPr>
                <w:rFonts w:hint="eastAsia"/>
                <w:szCs w:val="24"/>
              </w:rPr>
              <w:t xml:space="preserve">4.3-13 </w:t>
            </w:r>
            <w:r>
              <w:rPr>
                <w:rFonts w:hint="eastAsia"/>
              </w:rPr>
              <w:t>非正常工况下混合废水产生情况</w:t>
            </w:r>
          </w:p>
          <w:p w14:paraId="7EC869F9">
            <w:pPr>
              <w:ind w:firstLine="482"/>
              <w:jc w:val="center"/>
            </w:pPr>
            <w:r>
              <w:rPr>
                <w:rFonts w:hint="eastAsia"/>
                <w:b/>
              </w:rPr>
              <w:t>***（略，涉及商业秘密）</w:t>
            </w:r>
          </w:p>
          <w:p w14:paraId="756C3C31">
            <w:pPr>
              <w:pStyle w:val="3"/>
              <w:ind w:firstLine="480"/>
              <w:rPr>
                <w:lang w:val="zh-CN"/>
              </w:rPr>
            </w:pPr>
            <w:r>
              <w:rPr>
                <w:rFonts w:hint="eastAsia"/>
              </w:rPr>
              <w:t>根据上表可见，BDO储罐清洗废水排放作为非正常工况下储罐清洗废水排放的最不利情况，与</w:t>
            </w:r>
            <w:r>
              <w:rPr>
                <w:szCs w:val="24"/>
              </w:rPr>
              <w:t>BDO/MA储罐废气水洗/碱洗废水、初期雨水、地面冲洗废水、生活污水</w:t>
            </w:r>
            <w:r>
              <w:rPr>
                <w:rFonts w:hint="eastAsia"/>
                <w:szCs w:val="24"/>
              </w:rPr>
              <w:t>（预处理后）</w:t>
            </w:r>
            <w:r>
              <w:rPr>
                <w:rFonts w:hint="eastAsia"/>
              </w:rPr>
              <w:t>混合后未超过</w:t>
            </w:r>
            <w:r>
              <w:rPr>
                <w:szCs w:val="28"/>
              </w:rPr>
              <w:t>福州万景石化有限公司污水处理站</w:t>
            </w:r>
            <w:r>
              <w:rPr>
                <w:rFonts w:hint="eastAsia"/>
                <w:szCs w:val="28"/>
              </w:rPr>
              <w:t>的接收能力。因此扩建项目罐体</w:t>
            </w:r>
            <w:r>
              <w:rPr>
                <w:rFonts w:hint="eastAsia"/>
              </w:rPr>
              <w:t>开停车及设备检修过程中的储罐清洗废水对环境造成影响不大。</w:t>
            </w:r>
          </w:p>
          <w:p w14:paraId="1C4793B3">
            <w:pPr>
              <w:pStyle w:val="11"/>
              <w:ind w:firstLine="482"/>
            </w:pPr>
            <w:r>
              <w:t>表4.3</w:t>
            </w:r>
            <w:r>
              <w:rPr>
                <w:rFonts w:hint="eastAsia"/>
              </w:rPr>
              <w:t xml:space="preserve">-14 </w:t>
            </w:r>
            <w:r>
              <w:t>废水类别、污染物及污染治理设施信息表</w:t>
            </w:r>
          </w:p>
          <w:p w14:paraId="18256A8B">
            <w:pPr>
              <w:ind w:firstLine="482"/>
              <w:jc w:val="center"/>
              <w:rPr>
                <w:b/>
              </w:rPr>
            </w:pPr>
            <w:r>
              <w:rPr>
                <w:rFonts w:hint="eastAsia"/>
                <w:b/>
              </w:rPr>
              <w:t>***（略，涉及商业秘密）</w:t>
            </w:r>
          </w:p>
          <w:p w14:paraId="65CEF432">
            <w:pPr>
              <w:pStyle w:val="11"/>
              <w:ind w:firstLine="482"/>
            </w:pPr>
            <w:r>
              <w:t>表4.3-</w:t>
            </w:r>
            <w:r>
              <w:rPr>
                <w:rFonts w:hint="eastAsia"/>
              </w:rPr>
              <w:t>15 扩建项目</w:t>
            </w:r>
            <w:r>
              <w:t>废水环保措施可行性分析表</w:t>
            </w:r>
          </w:p>
          <w:p w14:paraId="33D12692">
            <w:pPr>
              <w:ind w:firstLine="482"/>
              <w:jc w:val="center"/>
            </w:pPr>
            <w:r>
              <w:rPr>
                <w:rFonts w:hint="eastAsia"/>
                <w:b/>
              </w:rPr>
              <w:t>***（略，涉及商业秘密）</w:t>
            </w:r>
          </w:p>
          <w:p w14:paraId="4CA7116D">
            <w:pPr>
              <w:adjustRightInd w:val="0"/>
              <w:snapToGrid w:val="0"/>
              <w:ind w:firstLine="0" w:firstLineChars="0"/>
              <w:jc w:val="center"/>
              <w:rPr>
                <w:szCs w:val="22"/>
              </w:rPr>
            </w:pPr>
          </w:p>
        </w:tc>
      </w:tr>
    </w:tbl>
    <w:p w14:paraId="1AEA2825">
      <w:pPr>
        <w:adjustRightInd w:val="0"/>
        <w:snapToGrid w:val="0"/>
        <w:ind w:firstLine="562"/>
        <w:rPr>
          <w:b/>
          <w:kern w:val="0"/>
          <w:sz w:val="28"/>
          <w:szCs w:val="28"/>
        </w:rPr>
        <w:sectPr>
          <w:footerReference r:id="rId35" w:type="default"/>
          <w:pgSz w:w="23814" w:h="16840" w:orient="landscape"/>
          <w:pgMar w:top="1418" w:right="1418" w:bottom="1418" w:left="1418" w:header="851" w:footer="851" w:gutter="0"/>
          <w:cols w:space="720" w:num="1"/>
          <w:docGrid w:linePitch="326"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86"/>
      </w:tblGrid>
      <w:tr w14:paraId="4068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14:paraId="08051F05">
            <w:pPr>
              <w:pStyle w:val="71"/>
              <w:rPr>
                <w:kern w:val="2"/>
                <w:szCs w:val="24"/>
                <w:lang w:val="en-US" w:eastAsia="zh-CN"/>
              </w:rPr>
            </w:pPr>
            <w:r>
              <w:rPr>
                <w:kern w:val="2"/>
                <w:szCs w:val="24"/>
                <w:lang w:val="en-US" w:eastAsia="zh-CN"/>
              </w:rPr>
              <w:t>运营</w:t>
            </w:r>
          </w:p>
          <w:p w14:paraId="48FE7771">
            <w:pPr>
              <w:pStyle w:val="71"/>
              <w:rPr>
                <w:kern w:val="2"/>
                <w:szCs w:val="24"/>
                <w:lang w:val="en-US" w:eastAsia="zh-CN"/>
              </w:rPr>
            </w:pPr>
            <w:r>
              <w:rPr>
                <w:kern w:val="2"/>
                <w:szCs w:val="24"/>
                <w:lang w:val="en-US" w:eastAsia="zh-CN"/>
              </w:rPr>
              <w:t>期环</w:t>
            </w:r>
          </w:p>
          <w:p w14:paraId="1E379BB3">
            <w:pPr>
              <w:pStyle w:val="71"/>
              <w:rPr>
                <w:kern w:val="2"/>
                <w:szCs w:val="24"/>
                <w:lang w:val="en-US" w:eastAsia="zh-CN"/>
              </w:rPr>
            </w:pPr>
            <w:r>
              <w:rPr>
                <w:kern w:val="2"/>
                <w:szCs w:val="24"/>
                <w:lang w:val="en-US" w:eastAsia="zh-CN"/>
              </w:rPr>
              <w:t>境影</w:t>
            </w:r>
          </w:p>
          <w:p w14:paraId="48FB3E08">
            <w:pPr>
              <w:pStyle w:val="71"/>
              <w:rPr>
                <w:kern w:val="2"/>
                <w:szCs w:val="24"/>
                <w:lang w:val="en-US" w:eastAsia="zh-CN"/>
              </w:rPr>
            </w:pPr>
            <w:r>
              <w:rPr>
                <w:kern w:val="2"/>
                <w:szCs w:val="24"/>
                <w:lang w:val="en-US" w:eastAsia="zh-CN"/>
              </w:rPr>
              <w:t>响和</w:t>
            </w:r>
          </w:p>
          <w:p w14:paraId="697D137D">
            <w:pPr>
              <w:pStyle w:val="71"/>
              <w:rPr>
                <w:kern w:val="2"/>
                <w:szCs w:val="24"/>
                <w:lang w:val="en-US" w:eastAsia="zh-CN"/>
              </w:rPr>
            </w:pPr>
            <w:r>
              <w:rPr>
                <w:kern w:val="2"/>
                <w:szCs w:val="24"/>
                <w:lang w:val="en-US" w:eastAsia="zh-CN"/>
              </w:rPr>
              <w:t>保护</w:t>
            </w:r>
          </w:p>
          <w:p w14:paraId="070CDB96">
            <w:pPr>
              <w:adjustRightInd w:val="0"/>
              <w:snapToGrid w:val="0"/>
              <w:ind w:firstLine="0" w:firstLineChars="0"/>
              <w:rPr>
                <w:b/>
                <w:kern w:val="0"/>
                <w:sz w:val="28"/>
                <w:szCs w:val="28"/>
              </w:rPr>
            </w:pPr>
            <w:r>
              <w:t>措施</w:t>
            </w:r>
          </w:p>
        </w:tc>
        <w:tc>
          <w:tcPr>
            <w:tcW w:w="13686" w:type="dxa"/>
            <w:vAlign w:val="center"/>
          </w:tcPr>
          <w:p w14:paraId="08595060">
            <w:pPr>
              <w:pStyle w:val="7"/>
              <w:tabs>
                <w:tab w:val="left" w:pos="5400"/>
              </w:tabs>
              <w:spacing w:before="120"/>
            </w:pPr>
            <w:r>
              <w:t>4.4运营期噪声环境影响和保护措施</w:t>
            </w:r>
          </w:p>
          <w:p w14:paraId="2BAA3A18">
            <w:pPr>
              <w:pStyle w:val="8"/>
              <w:tabs>
                <w:tab w:val="left" w:pos="5400"/>
              </w:tabs>
              <w:spacing w:before="120"/>
              <w:rPr>
                <w:lang w:val="en-US" w:eastAsia="zh-CN"/>
              </w:rPr>
            </w:pPr>
            <w:r>
              <w:rPr>
                <w:lang w:val="en-US" w:eastAsia="zh-CN"/>
              </w:rPr>
              <w:t>4.4.1噪声污染源强分析</w:t>
            </w:r>
          </w:p>
          <w:p w14:paraId="369DB989">
            <w:pPr>
              <w:pStyle w:val="117"/>
              <w:ind w:firstLine="480"/>
              <w:rPr>
                <w:lang w:val="en-US" w:eastAsia="zh-CN"/>
              </w:rPr>
            </w:pPr>
            <w:r>
              <w:rPr>
                <w:lang w:val="en-US" w:eastAsia="zh-CN"/>
              </w:rPr>
              <w:t>建设项目营运期主要噪声源为</w:t>
            </w:r>
            <w:r>
              <w:rPr>
                <w:rFonts w:hint="eastAsia"/>
                <w:lang w:val="en-US" w:eastAsia="zh-CN"/>
              </w:rPr>
              <w:t>泵类、风机</w:t>
            </w:r>
            <w:r>
              <w:rPr>
                <w:lang w:val="en-US" w:eastAsia="zh-CN"/>
              </w:rPr>
              <w:t>等设备，源强在70~</w:t>
            </w:r>
            <w:r>
              <w:rPr>
                <w:rFonts w:hint="eastAsia"/>
                <w:lang w:val="en-US" w:eastAsia="zh-CN"/>
              </w:rPr>
              <w:t>85</w:t>
            </w:r>
            <w:r>
              <w:rPr>
                <w:lang w:val="en-US" w:eastAsia="zh-CN"/>
              </w:rPr>
              <w:t>dB（A），建设项目营运期各噪声污染源强见表4.4-1。</w:t>
            </w:r>
          </w:p>
          <w:p w14:paraId="1B24C417">
            <w:pPr>
              <w:pStyle w:val="11"/>
              <w:ind w:firstLine="482"/>
            </w:pPr>
            <w:r>
              <w:rPr>
                <w:rFonts w:hint="eastAsia"/>
              </w:rPr>
              <w:t>表4.4-1建设项目营运期主要噪声源源强</w:t>
            </w:r>
          </w:p>
          <w:p w14:paraId="6D307943">
            <w:pPr>
              <w:ind w:firstLine="482"/>
              <w:jc w:val="center"/>
              <w:rPr>
                <w:b/>
              </w:rPr>
            </w:pPr>
            <w:r>
              <w:rPr>
                <w:rFonts w:hint="eastAsia"/>
                <w:b/>
              </w:rPr>
              <w:t>***（略，涉及商业秘密）</w:t>
            </w:r>
          </w:p>
          <w:p w14:paraId="3409CDDA">
            <w:pPr>
              <w:ind w:firstLine="480"/>
            </w:pPr>
          </w:p>
          <w:p w14:paraId="12DD815C">
            <w:pPr>
              <w:adjustRightInd w:val="0"/>
              <w:snapToGrid w:val="0"/>
              <w:ind w:firstLine="0" w:firstLineChars="0"/>
              <w:rPr>
                <w:b/>
                <w:kern w:val="0"/>
                <w:sz w:val="28"/>
                <w:szCs w:val="28"/>
              </w:rPr>
            </w:pPr>
          </w:p>
        </w:tc>
      </w:tr>
    </w:tbl>
    <w:p w14:paraId="1D481828">
      <w:pPr>
        <w:adjustRightInd w:val="0"/>
        <w:snapToGrid w:val="0"/>
        <w:ind w:firstLine="562"/>
        <w:rPr>
          <w:b/>
          <w:kern w:val="0"/>
          <w:sz w:val="28"/>
          <w:szCs w:val="28"/>
        </w:rPr>
        <w:sectPr>
          <w:footerReference r:id="rId36" w:type="default"/>
          <w:pgSz w:w="16838" w:h="11905" w:orient="landscape"/>
          <w:pgMar w:top="1417" w:right="1417" w:bottom="1417" w:left="1417" w:header="851" w:footer="850" w:gutter="0"/>
          <w:cols w:space="720" w:num="1"/>
          <w:docGrid w:linePitch="326" w:charSpace="0"/>
        </w:sectPr>
      </w:pP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0"/>
        <w:gridCol w:w="8562"/>
      </w:tblGrid>
      <w:tr w14:paraId="7FEC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8" w:hRule="atLeast"/>
          <w:jc w:val="center"/>
        </w:trPr>
        <w:tc>
          <w:tcPr>
            <w:tcW w:w="307" w:type="pct"/>
            <w:tcMar>
              <w:left w:w="28" w:type="dxa"/>
              <w:right w:w="28" w:type="dxa"/>
            </w:tcMar>
            <w:vAlign w:val="center"/>
          </w:tcPr>
          <w:p w14:paraId="6F164907">
            <w:pPr>
              <w:pStyle w:val="71"/>
              <w:rPr>
                <w:kern w:val="2"/>
                <w:szCs w:val="24"/>
                <w:lang w:val="en-US" w:eastAsia="zh-CN"/>
              </w:rPr>
            </w:pPr>
            <w:r>
              <w:rPr>
                <w:kern w:val="2"/>
                <w:szCs w:val="24"/>
                <w:lang w:val="en-US" w:eastAsia="zh-CN"/>
              </w:rPr>
              <w:t>运营</w:t>
            </w:r>
          </w:p>
          <w:p w14:paraId="7C6C34ED">
            <w:pPr>
              <w:pStyle w:val="71"/>
              <w:rPr>
                <w:kern w:val="2"/>
                <w:szCs w:val="24"/>
                <w:lang w:val="en-US" w:eastAsia="zh-CN"/>
              </w:rPr>
            </w:pPr>
            <w:r>
              <w:rPr>
                <w:kern w:val="2"/>
                <w:szCs w:val="24"/>
                <w:lang w:val="en-US" w:eastAsia="zh-CN"/>
              </w:rPr>
              <w:t>期环</w:t>
            </w:r>
          </w:p>
          <w:p w14:paraId="2ABAFC22">
            <w:pPr>
              <w:pStyle w:val="71"/>
              <w:rPr>
                <w:kern w:val="2"/>
                <w:szCs w:val="24"/>
                <w:lang w:val="en-US" w:eastAsia="zh-CN"/>
              </w:rPr>
            </w:pPr>
            <w:r>
              <w:rPr>
                <w:kern w:val="2"/>
                <w:szCs w:val="24"/>
                <w:lang w:val="en-US" w:eastAsia="zh-CN"/>
              </w:rPr>
              <w:t>境影</w:t>
            </w:r>
          </w:p>
          <w:p w14:paraId="3B6FF54E">
            <w:pPr>
              <w:pStyle w:val="71"/>
              <w:rPr>
                <w:kern w:val="2"/>
                <w:szCs w:val="24"/>
                <w:lang w:val="en-US" w:eastAsia="zh-CN"/>
              </w:rPr>
            </w:pPr>
            <w:r>
              <w:rPr>
                <w:kern w:val="2"/>
                <w:szCs w:val="24"/>
                <w:lang w:val="en-US" w:eastAsia="zh-CN"/>
              </w:rPr>
              <w:t>响和</w:t>
            </w:r>
          </w:p>
          <w:p w14:paraId="4C57DE0E">
            <w:pPr>
              <w:pStyle w:val="71"/>
              <w:rPr>
                <w:kern w:val="2"/>
                <w:szCs w:val="24"/>
                <w:lang w:val="en-US" w:eastAsia="zh-CN"/>
              </w:rPr>
            </w:pPr>
            <w:r>
              <w:rPr>
                <w:kern w:val="2"/>
                <w:szCs w:val="24"/>
                <w:lang w:val="en-US" w:eastAsia="zh-CN"/>
              </w:rPr>
              <w:t>保护</w:t>
            </w:r>
          </w:p>
          <w:p w14:paraId="34D6AB8C">
            <w:pPr>
              <w:pStyle w:val="71"/>
              <w:rPr>
                <w:kern w:val="2"/>
                <w:szCs w:val="24"/>
                <w:lang w:val="en-US" w:eastAsia="zh-CN"/>
              </w:rPr>
            </w:pPr>
            <w:r>
              <w:rPr>
                <w:kern w:val="2"/>
                <w:szCs w:val="24"/>
                <w:lang w:val="en-US" w:eastAsia="zh-CN"/>
              </w:rPr>
              <w:t>措施</w:t>
            </w:r>
          </w:p>
        </w:tc>
        <w:tc>
          <w:tcPr>
            <w:tcW w:w="4693" w:type="pct"/>
            <w:vAlign w:val="center"/>
          </w:tcPr>
          <w:p w14:paraId="1FA85678">
            <w:pPr>
              <w:pStyle w:val="8"/>
              <w:tabs>
                <w:tab w:val="left" w:pos="5400"/>
              </w:tabs>
              <w:spacing w:before="120"/>
              <w:rPr>
                <w:lang w:val="en-US" w:eastAsia="zh-CN"/>
              </w:rPr>
            </w:pPr>
            <w:r>
              <w:rPr>
                <w:lang w:val="en-US" w:eastAsia="zh-CN"/>
              </w:rPr>
              <w:t>4.4.2达标排放分析</w:t>
            </w:r>
          </w:p>
          <w:p w14:paraId="455451DA">
            <w:pPr>
              <w:pStyle w:val="117"/>
              <w:ind w:firstLine="480"/>
              <w:rPr>
                <w:lang w:val="en-US" w:eastAsia="zh-CN"/>
              </w:rPr>
            </w:pPr>
            <w:r>
              <w:rPr>
                <w:rFonts w:hint="eastAsia"/>
                <w:lang w:val="en-US" w:eastAsia="zh-CN"/>
              </w:rPr>
              <w:t>（1）</w:t>
            </w:r>
            <w:r>
              <w:rPr>
                <w:lang w:val="en-US" w:eastAsia="zh-CN"/>
              </w:rPr>
              <w:t>噪声预测模式</w:t>
            </w:r>
          </w:p>
          <w:p w14:paraId="2ED6D819">
            <w:pPr>
              <w:pStyle w:val="117"/>
              <w:ind w:firstLine="480"/>
              <w:rPr>
                <w:lang w:val="en-US" w:eastAsia="zh-CN"/>
              </w:rPr>
            </w:pPr>
            <w:r>
              <w:rPr>
                <w:lang w:val="en-US" w:eastAsia="zh-CN"/>
              </w:rPr>
              <w:t>建设项目噪声环境预测采用《环境影响评价技术导则声环境》（HJ2.4-2009）中的工业噪声预测模式：</w:t>
            </w:r>
          </w:p>
          <w:p w14:paraId="384D42A9">
            <w:pPr>
              <w:pStyle w:val="117"/>
              <w:ind w:firstLine="480"/>
              <w:rPr>
                <w:lang w:val="en-US" w:eastAsia="zh-CN"/>
              </w:rPr>
            </w:pPr>
            <w:r>
              <w:rPr>
                <w:lang w:val="en-US" w:eastAsia="zh-CN"/>
              </w:rPr>
              <w:t>工业噪声源按点声源处理</w:t>
            </w:r>
            <w:r>
              <w:rPr>
                <w:rFonts w:hint="eastAsia"/>
                <w:lang w:val="en-US" w:eastAsia="zh-CN"/>
              </w:rPr>
              <w:t>且</w:t>
            </w:r>
            <w:r>
              <w:rPr>
                <w:lang w:val="en-US" w:eastAsia="zh-CN"/>
              </w:rPr>
              <w:t>声源多位于地面，可近似认为是半自由场的球面波扩散。</w:t>
            </w:r>
          </w:p>
          <w:p w14:paraId="656EA233">
            <w:pPr>
              <w:pStyle w:val="117"/>
              <w:ind w:firstLine="480"/>
              <w:rPr>
                <w:lang w:val="en-US" w:eastAsia="zh-CN"/>
              </w:rPr>
            </w:pPr>
            <w:r>
              <w:rPr>
                <w:lang w:val="en-US" w:eastAsia="zh-CN"/>
              </w:rPr>
              <w:t>（1）室外声源预测模式为：</w:t>
            </w:r>
          </w:p>
          <w:p w14:paraId="02BF333F">
            <w:pPr>
              <w:pStyle w:val="117"/>
              <w:ind w:firstLine="480"/>
              <w:jc w:val="center"/>
              <w:rPr>
                <w:lang w:val="en-US" w:eastAsia="zh-CN"/>
              </w:rPr>
            </w:pPr>
            <w:r>
              <w:rPr>
                <w:lang w:val="en-US" w:eastAsia="zh-CN"/>
              </w:rPr>
              <w:t>L</w:t>
            </w:r>
            <w:r>
              <w:rPr>
                <w:vertAlign w:val="subscript"/>
                <w:lang w:val="en-US" w:eastAsia="zh-CN"/>
              </w:rPr>
              <w:t>A（r）</w:t>
            </w:r>
            <w:r>
              <w:rPr>
                <w:lang w:val="en-US" w:eastAsia="zh-CN"/>
              </w:rPr>
              <w:t>=L</w:t>
            </w:r>
            <w:r>
              <w:rPr>
                <w:vertAlign w:val="subscript"/>
                <w:lang w:val="en-US" w:eastAsia="zh-CN"/>
              </w:rPr>
              <w:t>A（r0）</w:t>
            </w:r>
            <w:r>
              <w:rPr>
                <w:lang w:val="en-US" w:eastAsia="zh-CN"/>
              </w:rPr>
              <w:t>－20lg（r/r</w:t>
            </w:r>
            <w:r>
              <w:rPr>
                <w:vertAlign w:val="subscript"/>
                <w:lang w:val="en-US" w:eastAsia="zh-CN"/>
              </w:rPr>
              <w:t>0</w:t>
            </w:r>
            <w:r>
              <w:rPr>
                <w:lang w:val="en-US" w:eastAsia="zh-CN"/>
              </w:rPr>
              <w:t>）－ΔL</w:t>
            </w:r>
            <w:r>
              <w:rPr>
                <w:vertAlign w:val="subscript"/>
                <w:lang w:val="en-US" w:eastAsia="zh-CN"/>
              </w:rPr>
              <w:t>A</w:t>
            </w:r>
          </w:p>
          <w:p w14:paraId="0EF8D1B9">
            <w:pPr>
              <w:pStyle w:val="117"/>
              <w:ind w:firstLine="480"/>
              <w:rPr>
                <w:lang w:val="en-US" w:eastAsia="zh-CN"/>
              </w:rPr>
            </w:pPr>
            <w:r>
              <w:rPr>
                <w:lang w:val="en-US" w:eastAsia="zh-CN"/>
              </w:rPr>
              <w:t>式中：L</w:t>
            </w:r>
            <w:r>
              <w:rPr>
                <w:vertAlign w:val="subscript"/>
                <w:lang w:val="en-US" w:eastAsia="zh-CN"/>
              </w:rPr>
              <w:t>A（r）</w:t>
            </w:r>
            <w:r>
              <w:rPr>
                <w:lang w:val="en-US" w:eastAsia="zh-CN"/>
              </w:rPr>
              <w:t>－距声源r处的A声级，dB（A）；</w:t>
            </w:r>
          </w:p>
          <w:p w14:paraId="705352DB">
            <w:pPr>
              <w:pStyle w:val="117"/>
              <w:ind w:firstLine="480"/>
              <w:rPr>
                <w:lang w:val="en-US" w:eastAsia="zh-CN"/>
              </w:rPr>
            </w:pPr>
            <w:r>
              <w:rPr>
                <w:lang w:val="en-US" w:eastAsia="zh-CN"/>
              </w:rPr>
              <w:t>L</w:t>
            </w:r>
            <w:r>
              <w:rPr>
                <w:vertAlign w:val="subscript"/>
                <w:lang w:val="en-US" w:eastAsia="zh-CN"/>
              </w:rPr>
              <w:t>A（r0）</w:t>
            </w:r>
            <w:r>
              <w:rPr>
                <w:lang w:val="en-US" w:eastAsia="zh-CN"/>
              </w:rPr>
              <w:t>－参考位置r</w:t>
            </w:r>
            <w:r>
              <w:rPr>
                <w:vertAlign w:val="subscript"/>
                <w:lang w:val="en-US" w:eastAsia="zh-CN"/>
              </w:rPr>
              <w:t>0</w:t>
            </w:r>
            <w:r>
              <w:rPr>
                <w:lang w:val="en-US" w:eastAsia="zh-CN"/>
              </w:rPr>
              <w:t>处的A声级，dB（A）；</w:t>
            </w:r>
          </w:p>
          <w:p w14:paraId="103CD7D6">
            <w:pPr>
              <w:pStyle w:val="117"/>
              <w:ind w:firstLine="480"/>
              <w:rPr>
                <w:lang w:val="en-US" w:eastAsia="zh-CN"/>
              </w:rPr>
            </w:pPr>
            <w:r>
              <w:rPr>
                <w:lang w:val="en-US" w:eastAsia="zh-CN"/>
              </w:rPr>
              <w:t>L</w:t>
            </w:r>
            <w:r>
              <w:rPr>
                <w:vertAlign w:val="subscript"/>
                <w:lang w:val="en-US" w:eastAsia="zh-CN"/>
              </w:rPr>
              <w:t>AW</w:t>
            </w:r>
            <w:r>
              <w:rPr>
                <w:lang w:val="en-US" w:eastAsia="zh-CN"/>
              </w:rPr>
              <w:t>－室外声源或等效室外声源的A声功率级，dB（A）</w:t>
            </w:r>
          </w:p>
          <w:p w14:paraId="7E1FB8DC">
            <w:pPr>
              <w:pStyle w:val="117"/>
              <w:ind w:firstLine="480"/>
              <w:rPr>
                <w:lang w:val="en-US" w:eastAsia="zh-CN"/>
              </w:rPr>
            </w:pPr>
            <w:r>
              <w:rPr>
                <w:lang w:val="en-US" w:eastAsia="zh-CN"/>
              </w:rPr>
              <w:t>r－声源与预测点的距离，m；</w:t>
            </w:r>
          </w:p>
          <w:p w14:paraId="296F5DE8">
            <w:pPr>
              <w:pStyle w:val="117"/>
              <w:ind w:firstLine="480"/>
              <w:rPr>
                <w:lang w:val="en-US" w:eastAsia="zh-CN"/>
              </w:rPr>
            </w:pPr>
            <w:r>
              <w:rPr>
                <w:lang w:val="en-US" w:eastAsia="zh-CN"/>
              </w:rPr>
              <w:t>r</w:t>
            </w:r>
            <w:r>
              <w:rPr>
                <w:vertAlign w:val="subscript"/>
                <w:lang w:val="en-US" w:eastAsia="zh-CN"/>
              </w:rPr>
              <w:t>0</w:t>
            </w:r>
            <w:r>
              <w:rPr>
                <w:lang w:val="en-US" w:eastAsia="zh-CN"/>
              </w:rPr>
              <w:t>－参考位置距声源的距离，m；</w:t>
            </w:r>
          </w:p>
          <w:p w14:paraId="729C9CF1">
            <w:pPr>
              <w:pStyle w:val="117"/>
              <w:ind w:firstLine="480"/>
              <w:rPr>
                <w:lang w:val="en-US" w:eastAsia="zh-CN"/>
              </w:rPr>
            </w:pPr>
            <w:r>
              <w:rPr>
                <w:rFonts w:ascii="Cambria Math" w:hAnsi="Cambria Math" w:cs="Cambria Math"/>
                <w:lang w:val="en-US" w:eastAsia="zh-CN"/>
              </w:rPr>
              <w:t>△</w:t>
            </w:r>
            <w:r>
              <w:rPr>
                <w:lang w:val="en-US" w:eastAsia="zh-CN"/>
              </w:rPr>
              <w:t>L</w:t>
            </w:r>
            <w:r>
              <w:rPr>
                <w:vertAlign w:val="subscript"/>
                <w:lang w:val="en-US" w:eastAsia="zh-CN"/>
              </w:rPr>
              <w:t>A</w:t>
            </w:r>
            <w:r>
              <w:rPr>
                <w:lang w:val="en-US" w:eastAsia="zh-CN"/>
              </w:rPr>
              <w:t>－因各种因素引起的衰减量，dB（A）；</w:t>
            </w:r>
          </w:p>
          <w:p w14:paraId="0CEF19EE">
            <w:pPr>
              <w:pStyle w:val="117"/>
              <w:ind w:firstLine="480"/>
              <w:rPr>
                <w:lang w:val="en-US" w:eastAsia="zh-CN"/>
              </w:rPr>
            </w:pPr>
            <w:r>
              <w:rPr>
                <w:lang w:val="en-US" w:eastAsia="zh-CN"/>
              </w:rPr>
              <w:t>衰减量包括声屏障、遮挡物、空气吸收、地面效应等引起的衰减量。本次预测计算中只考虑各声源至预测点的距离衰减、隔墙（或窗户）的传输损失。各声源由于厂区内外其他遮挡物引起的衰减、空气吸收引起的衰减，由于云、雾、温度梯度、风及地面效应等引起的声能量衰减等，其引起的衰减量不大，本次计算中忽略不计。</w:t>
            </w:r>
          </w:p>
          <w:p w14:paraId="0B5AF295">
            <w:pPr>
              <w:pStyle w:val="186"/>
              <w:ind w:firstLine="480"/>
              <w:rPr>
                <w:color w:val="auto"/>
                <w:lang w:val="en-US" w:eastAsia="zh-CN"/>
              </w:rPr>
            </w:pPr>
            <w:r>
              <w:rPr>
                <w:color w:val="auto"/>
                <w:lang w:val="en-US" w:eastAsia="zh-CN"/>
              </w:rPr>
              <w:t>本次声环境影响评价的数值预测采用商业应用软件EIAProN，系由六五软件工作室开发，软件版本号为“2.5”。</w:t>
            </w:r>
          </w:p>
          <w:p w14:paraId="01274ACF">
            <w:pPr>
              <w:pStyle w:val="186"/>
              <w:ind w:firstLine="480"/>
              <w:rPr>
                <w:color w:val="auto"/>
                <w:lang w:val="en-US" w:eastAsia="zh-CN"/>
              </w:rPr>
            </w:pPr>
            <w:r>
              <w:rPr>
                <w:rFonts w:hint="eastAsia" w:ascii="宋体" w:hAnsi="宋体" w:cs="宋体"/>
                <w:color w:val="auto"/>
                <w:lang w:val="en-US" w:eastAsia="zh-CN"/>
              </w:rPr>
              <w:t>◆</w:t>
            </w:r>
            <w:r>
              <w:rPr>
                <w:color w:val="auto"/>
                <w:lang w:val="en-US" w:eastAsia="zh-CN"/>
              </w:rPr>
              <w:t>地形参数</w:t>
            </w:r>
          </w:p>
          <w:p w14:paraId="0C9A4D41">
            <w:pPr>
              <w:pStyle w:val="186"/>
              <w:ind w:firstLine="480"/>
              <w:rPr>
                <w:color w:val="auto"/>
                <w:lang w:val="en-US" w:eastAsia="zh-CN"/>
              </w:rPr>
            </w:pPr>
            <w:r>
              <w:rPr>
                <w:color w:val="auto"/>
                <w:lang w:val="en-US" w:eastAsia="zh-CN"/>
              </w:rPr>
              <w:t>评价范围内的地形数据采用外部DEM文件，并采用AERMAP运行计算得出评价范围内各网格及敏感点的地形数据。构建评价范围的预测网格时，采用直角坐标的方式，即坐标形式为（x，y），以厂界西南端顶点为坐标原点（0，0）。</w:t>
            </w:r>
          </w:p>
          <w:p w14:paraId="54C18FFA">
            <w:pPr>
              <w:pStyle w:val="186"/>
              <w:ind w:firstLine="480"/>
              <w:rPr>
                <w:color w:val="auto"/>
                <w:lang w:val="en-US" w:eastAsia="zh-CN"/>
              </w:rPr>
            </w:pPr>
            <w:r>
              <w:rPr>
                <w:rFonts w:hint="eastAsia" w:ascii="宋体" w:hAnsi="宋体" w:cs="宋体"/>
                <w:color w:val="auto"/>
                <w:lang w:val="en-US" w:eastAsia="zh-CN"/>
              </w:rPr>
              <w:t>◆</w:t>
            </w:r>
            <w:r>
              <w:rPr>
                <w:color w:val="auto"/>
                <w:lang w:val="en-US" w:eastAsia="zh-CN"/>
              </w:rPr>
              <w:t>参数的选择：参数选取项目所在区域的年平均温度为20.7</w:t>
            </w:r>
            <w:r>
              <w:rPr>
                <w:rFonts w:hint="eastAsia" w:ascii="宋体" w:hAnsi="宋体" w:cs="宋体"/>
                <w:color w:val="auto"/>
                <w:lang w:val="en-US" w:eastAsia="zh-CN"/>
              </w:rPr>
              <w:t>℃</w:t>
            </w:r>
            <w:r>
              <w:rPr>
                <w:color w:val="auto"/>
                <w:lang w:val="en-US" w:eastAsia="zh-CN"/>
              </w:rPr>
              <w:t>，湿度为72.5%。计算过程考虑了建筑物的屏障作用和室内源向室外的传播。</w:t>
            </w:r>
          </w:p>
          <w:p w14:paraId="54E24593">
            <w:pPr>
              <w:pStyle w:val="186"/>
              <w:ind w:firstLine="480"/>
              <w:rPr>
                <w:color w:val="auto"/>
                <w:lang w:val="en-US" w:eastAsia="zh-CN"/>
              </w:rPr>
            </w:pPr>
            <w:r>
              <w:rPr>
                <w:rFonts w:hint="eastAsia"/>
                <w:color w:val="auto"/>
                <w:lang w:val="en-US" w:eastAsia="zh-CN"/>
              </w:rPr>
              <w:t>（2）</w:t>
            </w:r>
            <w:r>
              <w:rPr>
                <w:color w:val="auto"/>
                <w:lang w:val="en-US" w:eastAsia="zh-CN"/>
              </w:rPr>
              <w:t>预测范围、点位与评价因子</w:t>
            </w:r>
          </w:p>
          <w:p w14:paraId="35680F80">
            <w:pPr>
              <w:pStyle w:val="186"/>
              <w:ind w:firstLine="480"/>
              <w:rPr>
                <w:color w:val="auto"/>
                <w:lang w:val="en-US" w:eastAsia="zh-CN"/>
              </w:rPr>
            </w:pPr>
            <w:r>
              <w:rPr>
                <w:color w:val="auto"/>
                <w:lang w:val="en-US" w:eastAsia="zh-CN"/>
              </w:rPr>
              <w:t>噪声预测范围为：厂界外200m范围；</w:t>
            </w:r>
          </w:p>
          <w:p w14:paraId="6B46917E">
            <w:pPr>
              <w:pStyle w:val="186"/>
              <w:ind w:firstLine="480"/>
              <w:rPr>
                <w:color w:val="auto"/>
                <w:lang w:val="en-US" w:eastAsia="zh-CN"/>
              </w:rPr>
            </w:pPr>
            <w:r>
              <w:rPr>
                <w:color w:val="auto"/>
                <w:lang w:val="en-US" w:eastAsia="zh-CN"/>
              </w:rPr>
              <w:t>预测内容：昼、夜间预测点位等效连续A声级。</w:t>
            </w:r>
          </w:p>
          <w:p w14:paraId="25D4216B">
            <w:pPr>
              <w:pStyle w:val="186"/>
              <w:ind w:firstLine="480"/>
              <w:rPr>
                <w:color w:val="auto"/>
                <w:lang w:val="en-US" w:eastAsia="zh-CN"/>
              </w:rPr>
            </w:pPr>
            <w:r>
              <w:rPr>
                <w:color w:val="auto"/>
                <w:lang w:val="en-US" w:eastAsia="zh-CN"/>
              </w:rPr>
              <w:t>由于扩建项目厂界200m范围内无居民区，因而本次预测评价不考虑噪声源对敏感点的影响。</w:t>
            </w:r>
          </w:p>
          <w:p w14:paraId="5381F3FC">
            <w:pPr>
              <w:pStyle w:val="186"/>
              <w:ind w:firstLine="480"/>
              <w:rPr>
                <w:color w:val="auto"/>
                <w:lang w:val="en-US" w:eastAsia="zh-CN"/>
              </w:rPr>
            </w:pPr>
            <w:r>
              <w:rPr>
                <w:rFonts w:hint="eastAsia"/>
                <w:color w:val="auto"/>
                <w:lang w:val="en-US" w:eastAsia="zh-CN"/>
              </w:rPr>
              <w:t>（2）</w:t>
            </w:r>
            <w:r>
              <w:rPr>
                <w:color w:val="auto"/>
                <w:lang w:val="en-US" w:eastAsia="zh-CN"/>
              </w:rPr>
              <w:t>预测结果与分析</w:t>
            </w:r>
          </w:p>
          <w:p w14:paraId="21C70E9A">
            <w:pPr>
              <w:pStyle w:val="186"/>
              <w:ind w:firstLine="480"/>
              <w:rPr>
                <w:color w:val="auto"/>
                <w:lang w:val="en-US" w:eastAsia="zh-CN"/>
              </w:rPr>
            </w:pPr>
            <w:r>
              <w:rPr>
                <w:color w:val="auto"/>
                <w:lang w:val="en-US" w:eastAsia="zh-CN"/>
              </w:rPr>
              <w:t>根据噪声源分布情况，</w:t>
            </w:r>
            <w:r>
              <w:rPr>
                <w:rFonts w:hint="eastAsia"/>
                <w:color w:val="auto"/>
                <w:lang w:val="en-US" w:eastAsia="zh-CN"/>
              </w:rPr>
              <w:t>由于码头罐区以厂界噪声扩建项目贡献值为预测值</w:t>
            </w:r>
            <w:r>
              <w:rPr>
                <w:color w:val="auto"/>
                <w:lang w:val="en-US" w:eastAsia="zh-CN"/>
              </w:rPr>
              <w:t>，得出未来的噪声环境影响预测结果</w:t>
            </w:r>
            <w:r>
              <w:rPr>
                <w:rFonts w:hint="eastAsia"/>
                <w:color w:val="auto"/>
                <w:lang w:val="en-US" w:eastAsia="zh-CN"/>
              </w:rPr>
              <w:t>见表4.4-2。</w:t>
            </w:r>
          </w:p>
          <w:p w14:paraId="5B0F9A09">
            <w:pPr>
              <w:pStyle w:val="11"/>
              <w:ind w:firstLine="482"/>
            </w:pPr>
            <w:r>
              <w:t>表4.4-</w:t>
            </w:r>
            <w:r>
              <w:rPr>
                <w:rFonts w:hint="eastAsia"/>
              </w:rPr>
              <w:t>2码头罐区厂</w:t>
            </w:r>
            <w:r>
              <w:t>界噪声贡献值单位：dB（A）</w:t>
            </w:r>
          </w:p>
          <w:p w14:paraId="4BE3F099">
            <w:pPr>
              <w:ind w:firstLine="482"/>
              <w:jc w:val="center"/>
            </w:pPr>
            <w:r>
              <w:rPr>
                <w:rFonts w:hint="eastAsia"/>
                <w:b/>
              </w:rPr>
              <w:t>***（略，涉及商业秘密）</w:t>
            </w:r>
          </w:p>
          <w:p w14:paraId="6AE7D89A">
            <w:pPr>
              <w:ind w:firstLine="480"/>
            </w:pPr>
            <w:r>
              <w:t>厂界达标分析：根据表4.4-</w:t>
            </w:r>
            <w:r>
              <w:rPr>
                <w:rFonts w:hint="eastAsia"/>
              </w:rPr>
              <w:t>2</w:t>
            </w:r>
            <w:r>
              <w:t>预测结果表明，</w:t>
            </w:r>
            <w:r>
              <w:rPr>
                <w:rFonts w:hint="eastAsia"/>
              </w:rPr>
              <w:t>码头罐区扩建项目</w:t>
            </w:r>
            <w:r>
              <w:t>产生的噪声在经距离自然衰减的情况下，项目厂界噪声满足《工业企业厂界环境噪声排放标准》（GB12348-2008）中3类标准。</w:t>
            </w:r>
          </w:p>
          <w:p w14:paraId="5A907BE0">
            <w:pPr>
              <w:pStyle w:val="8"/>
              <w:tabs>
                <w:tab w:val="left" w:pos="5400"/>
              </w:tabs>
              <w:spacing w:before="120"/>
              <w:rPr>
                <w:lang w:val="en-US" w:eastAsia="zh-CN"/>
              </w:rPr>
            </w:pPr>
            <w:r>
              <w:rPr>
                <w:lang w:val="en-US" w:eastAsia="zh-CN"/>
              </w:rPr>
              <w:t>4.4.3噪声治理措施可行性</w:t>
            </w:r>
          </w:p>
          <w:p w14:paraId="4736361F">
            <w:pPr>
              <w:pStyle w:val="17"/>
              <w:snapToGrid w:val="0"/>
              <w:spacing w:line="360" w:lineRule="auto"/>
              <w:ind w:left="0" w:right="0" w:firstLine="480" w:firstLineChars="200"/>
              <w:rPr>
                <w:rFonts w:ascii="Times New Roman"/>
                <w:sz w:val="24"/>
              </w:rPr>
            </w:pPr>
            <w:r>
              <w:rPr>
                <w:rFonts w:ascii="Times New Roman"/>
                <w:sz w:val="24"/>
              </w:rPr>
              <w:t>（1）为了减轻码头罐区</w:t>
            </w:r>
            <w:r>
              <w:rPr>
                <w:rFonts w:hint="eastAsia" w:ascii="Times New Roman"/>
                <w:sz w:val="24"/>
              </w:rPr>
              <w:t>扩建项目</w:t>
            </w:r>
            <w:r>
              <w:rPr>
                <w:rFonts w:ascii="Times New Roman"/>
                <w:sz w:val="24"/>
              </w:rPr>
              <w:t>环境噪声，最重要的应从声源上控制，即选用先进的低噪声机械、设备、装置以及车辆是控制噪声的基础，也是控制噪声的基本措施。</w:t>
            </w:r>
          </w:p>
          <w:p w14:paraId="63DF5DC3">
            <w:pPr>
              <w:pStyle w:val="17"/>
              <w:snapToGrid w:val="0"/>
              <w:spacing w:line="360" w:lineRule="auto"/>
              <w:ind w:left="0" w:right="0" w:firstLine="480" w:firstLineChars="200"/>
              <w:rPr>
                <w:rFonts w:ascii="Times New Roman"/>
                <w:sz w:val="24"/>
              </w:rPr>
            </w:pPr>
            <w:r>
              <w:rPr>
                <w:rFonts w:ascii="Times New Roman"/>
                <w:sz w:val="24"/>
              </w:rPr>
              <w:t>（2）对机泵类采取消声、阻尼、减震等措施，并尽量集中布置，废气回收处理设备风机尽量布置在室内，使</w:t>
            </w:r>
            <w:r>
              <w:rPr>
                <w:rFonts w:hint="eastAsia" w:ascii="Times New Roman"/>
                <w:sz w:val="24"/>
              </w:rPr>
              <w:t>泵类、风机</w:t>
            </w:r>
            <w:r>
              <w:rPr>
                <w:rFonts w:ascii="Times New Roman"/>
                <w:sz w:val="24"/>
              </w:rPr>
              <w:t>噪声降低至85dB（A）以下，传至厂界降至65dB（A）（昼间）以下，夜间55dB（A）以下。</w:t>
            </w:r>
          </w:p>
          <w:p w14:paraId="2B98D48D">
            <w:pPr>
              <w:pStyle w:val="17"/>
              <w:snapToGrid w:val="0"/>
              <w:spacing w:line="360" w:lineRule="auto"/>
              <w:ind w:left="0" w:right="0" w:firstLine="480" w:firstLineChars="200"/>
              <w:rPr>
                <w:rFonts w:ascii="Times New Roman"/>
                <w:sz w:val="24"/>
              </w:rPr>
            </w:pPr>
            <w:r>
              <w:rPr>
                <w:rFonts w:ascii="Times New Roman"/>
                <w:sz w:val="24"/>
              </w:rPr>
              <w:t>（3）加强机械设备的定期检修和维护以减少机械故障等原因造成的振动及噪声。对高噪声的机械和设备，应采取减振、隔声等措施控制噪声。</w:t>
            </w:r>
          </w:p>
          <w:p w14:paraId="675F851D">
            <w:pPr>
              <w:pStyle w:val="17"/>
              <w:snapToGrid w:val="0"/>
              <w:spacing w:line="360" w:lineRule="auto"/>
              <w:ind w:left="0" w:right="0" w:firstLine="480" w:firstLineChars="200"/>
              <w:rPr>
                <w:rFonts w:ascii="Times New Roman"/>
                <w:sz w:val="24"/>
              </w:rPr>
            </w:pPr>
            <w:r>
              <w:rPr>
                <w:rFonts w:ascii="Times New Roman"/>
                <w:sz w:val="24"/>
              </w:rPr>
              <w:t>（4）加强</w:t>
            </w:r>
            <w:r>
              <w:rPr>
                <w:rFonts w:hint="eastAsia" w:ascii="Times New Roman"/>
                <w:sz w:val="24"/>
              </w:rPr>
              <w:t>码头罐区</w:t>
            </w:r>
            <w:r>
              <w:rPr>
                <w:rFonts w:ascii="Times New Roman"/>
                <w:sz w:val="24"/>
              </w:rPr>
              <w:t>绿化，建议在码头罐区周围种植乔木和灌木绿化隔离林带，即可防治控制噪声影响，也可起到防尘降尘作用。</w:t>
            </w:r>
          </w:p>
          <w:p w14:paraId="0FED0B51">
            <w:pPr>
              <w:pStyle w:val="17"/>
              <w:snapToGrid w:val="0"/>
              <w:spacing w:line="360" w:lineRule="auto"/>
              <w:ind w:left="0" w:right="0" w:firstLine="480" w:firstLineChars="200"/>
              <w:rPr>
                <w:rFonts w:ascii="Times New Roman"/>
                <w:sz w:val="24"/>
              </w:rPr>
            </w:pPr>
            <w:r>
              <w:rPr>
                <w:rFonts w:ascii="Times New Roman"/>
                <w:sz w:val="24"/>
              </w:rPr>
              <w:t>经采取上述措施后，项目的噪声影响将降低，措施可行。</w:t>
            </w:r>
          </w:p>
          <w:p w14:paraId="757702E7">
            <w:pPr>
              <w:pStyle w:val="8"/>
              <w:tabs>
                <w:tab w:val="left" w:pos="5400"/>
              </w:tabs>
              <w:spacing w:before="120"/>
              <w:rPr>
                <w:bCs/>
                <w:lang w:val="en-US" w:eastAsia="zh-CN"/>
              </w:rPr>
            </w:pPr>
            <w:r>
              <w:rPr>
                <w:bCs/>
                <w:lang w:val="en-US" w:eastAsia="zh-CN"/>
              </w:rPr>
              <w:t>4.4.</w:t>
            </w:r>
            <w:r>
              <w:rPr>
                <w:rFonts w:hint="eastAsia"/>
                <w:bCs/>
                <w:lang w:val="en-US" w:eastAsia="zh-CN"/>
              </w:rPr>
              <w:t>4</w:t>
            </w:r>
            <w:r>
              <w:rPr>
                <w:bCs/>
                <w:lang w:val="en-US" w:eastAsia="zh-CN"/>
              </w:rPr>
              <w:t>监测要求</w:t>
            </w:r>
          </w:p>
          <w:p w14:paraId="08AAD5D1">
            <w:pPr>
              <w:pStyle w:val="17"/>
              <w:snapToGrid w:val="0"/>
              <w:spacing w:line="360" w:lineRule="auto"/>
              <w:ind w:left="0" w:right="0" w:firstLine="480" w:firstLineChars="200"/>
              <w:rPr>
                <w:rFonts w:ascii="Times New Roman"/>
                <w:b/>
                <w:sz w:val="24"/>
                <w:szCs w:val="21"/>
              </w:rPr>
            </w:pPr>
            <w:r>
              <w:rPr>
                <w:rFonts w:ascii="Times New Roman"/>
                <w:sz w:val="24"/>
              </w:rPr>
              <w:t>根据《排污许可证申请与核发技术规范</w:t>
            </w:r>
            <w:r>
              <w:rPr>
                <w:rFonts w:hint="eastAsia" w:ascii="Times New Roman"/>
                <w:sz w:val="24"/>
              </w:rPr>
              <w:t xml:space="preserve"> 工业噪声</w:t>
            </w:r>
            <w:r>
              <w:rPr>
                <w:rFonts w:ascii="Times New Roman"/>
                <w:sz w:val="24"/>
              </w:rPr>
              <w:t>》（HJ</w:t>
            </w:r>
            <w:r>
              <w:rPr>
                <w:rFonts w:hint="eastAsia" w:ascii="Times New Roman"/>
                <w:sz w:val="24"/>
              </w:rPr>
              <w:t>1301</w:t>
            </w:r>
            <w:r>
              <w:rPr>
                <w:rFonts w:ascii="Times New Roman"/>
                <w:sz w:val="24"/>
              </w:rPr>
              <w:t>-20</w:t>
            </w:r>
            <w:r>
              <w:rPr>
                <w:rFonts w:hint="eastAsia" w:ascii="Times New Roman"/>
                <w:sz w:val="24"/>
              </w:rPr>
              <w:t>23</w:t>
            </w:r>
            <w:r>
              <w:rPr>
                <w:rFonts w:ascii="Times New Roman"/>
                <w:sz w:val="24"/>
              </w:rPr>
              <w:t>）的监测要求对项目噪声监测指标进行监测，包括监测因子、频次等具体内容，项目自行监测详见表4.4-</w:t>
            </w:r>
            <w:r>
              <w:rPr>
                <w:rFonts w:hint="eastAsia" w:ascii="Times New Roman"/>
                <w:sz w:val="24"/>
              </w:rPr>
              <w:t>3</w:t>
            </w:r>
            <w:r>
              <w:rPr>
                <w:rFonts w:ascii="Times New Roman"/>
                <w:sz w:val="24"/>
              </w:rPr>
              <w:t>。</w:t>
            </w:r>
          </w:p>
          <w:p w14:paraId="581A72C3">
            <w:pPr>
              <w:adjustRightInd w:val="0"/>
              <w:snapToGrid w:val="0"/>
              <w:spacing w:line="240" w:lineRule="auto"/>
              <w:ind w:firstLine="0" w:firstLineChars="0"/>
              <w:jc w:val="center"/>
              <w:rPr>
                <w:b/>
                <w:szCs w:val="21"/>
              </w:rPr>
            </w:pPr>
            <w:r>
              <w:rPr>
                <w:b/>
                <w:szCs w:val="21"/>
              </w:rPr>
              <w:t>表4.4-</w:t>
            </w:r>
            <w:r>
              <w:rPr>
                <w:rFonts w:hint="eastAsia"/>
                <w:b/>
                <w:szCs w:val="21"/>
              </w:rPr>
              <w:t>3</w:t>
            </w:r>
            <w:r>
              <w:rPr>
                <w:b/>
                <w:szCs w:val="21"/>
              </w:rPr>
              <w:t>运营期监测计划表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05"/>
              <w:gridCol w:w="2569"/>
              <w:gridCol w:w="2125"/>
              <w:gridCol w:w="1472"/>
              <w:gridCol w:w="1635"/>
            </w:tblGrid>
            <w:tr w14:paraId="06D0B6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15" w:type="pct"/>
                  <w:vAlign w:val="center"/>
                </w:tcPr>
                <w:p w14:paraId="6301A955">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要素</w:t>
                  </w:r>
                </w:p>
              </w:tc>
              <w:tc>
                <w:tcPr>
                  <w:tcW w:w="1510" w:type="pct"/>
                  <w:vAlign w:val="center"/>
                </w:tcPr>
                <w:p w14:paraId="00394DC6">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监测位置</w:t>
                  </w:r>
                </w:p>
              </w:tc>
              <w:tc>
                <w:tcPr>
                  <w:tcW w:w="1249" w:type="pct"/>
                  <w:vAlign w:val="center"/>
                </w:tcPr>
                <w:p w14:paraId="51BCFA3A">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监测项目</w:t>
                  </w:r>
                </w:p>
              </w:tc>
              <w:tc>
                <w:tcPr>
                  <w:tcW w:w="865" w:type="pct"/>
                  <w:vAlign w:val="center"/>
                </w:tcPr>
                <w:p w14:paraId="0A5D37A6">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监测频率</w:t>
                  </w:r>
                </w:p>
              </w:tc>
              <w:tc>
                <w:tcPr>
                  <w:tcW w:w="961" w:type="pct"/>
                  <w:vAlign w:val="center"/>
                </w:tcPr>
                <w:p w14:paraId="1A6C4A57">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监测负责单位</w:t>
                  </w:r>
                </w:p>
              </w:tc>
            </w:tr>
            <w:tr w14:paraId="6F4271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15" w:type="pct"/>
                  <w:vAlign w:val="center"/>
                </w:tcPr>
                <w:p w14:paraId="5FE70659">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噪声</w:t>
                  </w:r>
                </w:p>
              </w:tc>
              <w:tc>
                <w:tcPr>
                  <w:tcW w:w="1510" w:type="pct"/>
                  <w:vAlign w:val="center"/>
                </w:tcPr>
                <w:p w14:paraId="2BE84904">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rFonts w:hint="eastAsia"/>
                      <w:sz w:val="21"/>
                      <w:szCs w:val="21"/>
                      <w:lang w:val="en-US" w:eastAsia="zh-CN"/>
                    </w:rPr>
                    <w:t>码头罐区</w:t>
                  </w:r>
                  <w:r>
                    <w:rPr>
                      <w:sz w:val="21"/>
                      <w:szCs w:val="21"/>
                      <w:lang w:val="en-US" w:eastAsia="zh-CN"/>
                    </w:rPr>
                    <w:t>厂界外1m</w:t>
                  </w:r>
                </w:p>
              </w:tc>
              <w:tc>
                <w:tcPr>
                  <w:tcW w:w="1249" w:type="pct"/>
                  <w:vAlign w:val="center"/>
                </w:tcPr>
                <w:p w14:paraId="367EBA6B">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等效连续A声级</w:t>
                  </w:r>
                </w:p>
              </w:tc>
              <w:tc>
                <w:tcPr>
                  <w:tcW w:w="865" w:type="pct"/>
                  <w:vAlign w:val="center"/>
                </w:tcPr>
                <w:p w14:paraId="2F8C535B">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1次/季</w:t>
                  </w:r>
                </w:p>
              </w:tc>
              <w:tc>
                <w:tcPr>
                  <w:tcW w:w="961" w:type="pct"/>
                  <w:vAlign w:val="center"/>
                </w:tcPr>
                <w:p w14:paraId="74940A57">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委托专业</w:t>
                  </w:r>
                </w:p>
                <w:p w14:paraId="6D33C402">
                  <w:pPr>
                    <w:pStyle w:val="2"/>
                    <w:pBdr>
                      <w:top w:val="none" w:color="auto" w:sz="0" w:space="1"/>
                      <w:left w:val="dashed" w:color="FFFFFF" w:sz="4" w:space="4"/>
                      <w:bottom w:val="none" w:color="auto" w:sz="0" w:space="1"/>
                      <w:right w:val="dashed" w:color="FFFFFF" w:sz="4" w:space="4"/>
                    </w:pBdr>
                    <w:spacing w:line="240" w:lineRule="auto"/>
                    <w:ind w:firstLine="0" w:firstLineChars="0"/>
                    <w:jc w:val="center"/>
                    <w:rPr>
                      <w:sz w:val="21"/>
                      <w:szCs w:val="21"/>
                      <w:lang w:val="en-US" w:eastAsia="zh-CN"/>
                    </w:rPr>
                  </w:pPr>
                  <w:r>
                    <w:rPr>
                      <w:sz w:val="21"/>
                      <w:szCs w:val="21"/>
                      <w:lang w:val="en-US" w:eastAsia="zh-CN"/>
                    </w:rPr>
                    <w:t>监测单位</w:t>
                  </w:r>
                </w:p>
              </w:tc>
            </w:tr>
          </w:tbl>
          <w:p w14:paraId="678A52F2">
            <w:pPr>
              <w:pStyle w:val="7"/>
              <w:tabs>
                <w:tab w:val="left" w:pos="5400"/>
              </w:tabs>
              <w:spacing w:before="120"/>
            </w:pPr>
            <w:r>
              <w:t>4.5运营期固废环境影响和保护措施</w:t>
            </w:r>
          </w:p>
          <w:p w14:paraId="23768ADE">
            <w:pPr>
              <w:pStyle w:val="8"/>
              <w:tabs>
                <w:tab w:val="left" w:pos="5400"/>
              </w:tabs>
              <w:spacing w:before="120"/>
              <w:rPr>
                <w:lang w:val="en-US" w:eastAsia="zh-CN"/>
              </w:rPr>
            </w:pPr>
            <w:r>
              <w:rPr>
                <w:bCs/>
                <w:lang w:val="en-US" w:eastAsia="zh-CN"/>
              </w:rPr>
              <w:t>4.</w:t>
            </w:r>
            <w:r>
              <w:rPr>
                <w:lang w:val="en-US" w:eastAsia="zh-CN"/>
              </w:rPr>
              <w:t>5.1</w:t>
            </w:r>
            <w:r>
              <w:rPr>
                <w:bCs/>
                <w:lang w:val="en-US" w:eastAsia="zh-CN"/>
              </w:rPr>
              <w:t>固废污染</w:t>
            </w:r>
            <w:r>
              <w:rPr>
                <w:lang w:val="en-US" w:eastAsia="zh-CN"/>
              </w:rPr>
              <w:t>源强分析</w:t>
            </w:r>
          </w:p>
          <w:p w14:paraId="523275A8">
            <w:pPr>
              <w:pStyle w:val="17"/>
              <w:snapToGrid w:val="0"/>
              <w:spacing w:line="360" w:lineRule="auto"/>
              <w:ind w:left="0" w:right="0" w:firstLine="480" w:firstLineChars="200"/>
              <w:rPr>
                <w:rFonts w:ascii="Times New Roman"/>
                <w:sz w:val="24"/>
              </w:rPr>
            </w:pPr>
            <w:r>
              <w:rPr>
                <w:rFonts w:ascii="Times New Roman"/>
                <w:sz w:val="24"/>
              </w:rPr>
              <w:t>（1）废</w:t>
            </w:r>
            <w:r>
              <w:rPr>
                <w:rFonts w:hint="eastAsia" w:ascii="Times New Roman"/>
                <w:sz w:val="24"/>
              </w:rPr>
              <w:t>吸附介质</w:t>
            </w:r>
          </w:p>
          <w:p w14:paraId="507AB8F1">
            <w:pPr>
              <w:pStyle w:val="17"/>
              <w:snapToGrid w:val="0"/>
              <w:spacing w:line="360" w:lineRule="auto"/>
              <w:ind w:left="0" w:right="0" w:firstLine="480" w:firstLineChars="200"/>
              <w:rPr>
                <w:rFonts w:ascii="Times New Roman"/>
                <w:sz w:val="24"/>
              </w:rPr>
            </w:pPr>
            <w:r>
              <w:rPr>
                <w:rFonts w:hint="eastAsia" w:ascii="Times New Roman"/>
                <w:sz w:val="24"/>
              </w:rPr>
              <w:t>THF</w:t>
            </w:r>
            <w:r>
              <w:rPr>
                <w:rFonts w:ascii="Times New Roman"/>
                <w:sz w:val="24"/>
              </w:rPr>
              <w:t>进入油气回收系统。不凝气进入吸附部分，吸附部分设有两个可以互相切换的填充有大量</w:t>
            </w:r>
            <w:r>
              <w:rPr>
                <w:rFonts w:hint="eastAsia" w:ascii="Times New Roman"/>
                <w:sz w:val="24"/>
              </w:rPr>
              <w:t>硅胶的吸附床</w:t>
            </w:r>
            <w:r>
              <w:rPr>
                <w:rFonts w:ascii="Times New Roman"/>
                <w:sz w:val="24"/>
              </w:rPr>
              <w:t>，当吸附床达到一定吸附饱和度时，自动启动再生系统</w:t>
            </w:r>
            <w:r>
              <w:rPr>
                <w:rFonts w:hint="eastAsia" w:ascii="Times New Roman"/>
                <w:sz w:val="24"/>
              </w:rPr>
              <w:t>，由于硅胶吸附、脱附过程，长期使用后会老化失活现象，会产生废硅胶。</w:t>
            </w:r>
          </w:p>
          <w:p w14:paraId="25097F9D">
            <w:pPr>
              <w:pStyle w:val="17"/>
              <w:snapToGrid w:val="0"/>
              <w:spacing w:line="360" w:lineRule="auto"/>
              <w:ind w:left="0" w:right="0" w:firstLine="480" w:firstLineChars="200"/>
              <w:rPr>
                <w:rFonts w:ascii="Times New Roman"/>
                <w:sz w:val="24"/>
              </w:rPr>
            </w:pPr>
            <w:r>
              <w:rPr>
                <w:rFonts w:hint="eastAsia" w:ascii="Times New Roman"/>
                <w:sz w:val="24"/>
              </w:rPr>
              <w:t>MA、BDO进入水洗+碱洗+活性炭吸附装置。未被处理的有机废气</w:t>
            </w:r>
            <w:r>
              <w:rPr>
                <w:rFonts w:ascii="Times New Roman"/>
                <w:sz w:val="24"/>
              </w:rPr>
              <w:t>进入吸附部分，吸附部分设有两个可以互相切换的填充有大量活性炭的</w:t>
            </w:r>
            <w:r>
              <w:rPr>
                <w:rFonts w:hint="eastAsia" w:ascii="Times New Roman"/>
                <w:sz w:val="24"/>
              </w:rPr>
              <w:t>吸附床</w:t>
            </w:r>
            <w:r>
              <w:rPr>
                <w:rFonts w:ascii="Times New Roman"/>
                <w:sz w:val="24"/>
              </w:rPr>
              <w:t>，当吸附床达到一定吸附饱和度时，自动启动再生系统</w:t>
            </w:r>
            <w:r>
              <w:rPr>
                <w:rFonts w:hint="eastAsia" w:ascii="Times New Roman"/>
                <w:sz w:val="24"/>
              </w:rPr>
              <w:t>，由于活性炭吸附、脱附过程，长期使用后会老化失活现象，会产生废活性炭。</w:t>
            </w:r>
          </w:p>
          <w:p w14:paraId="55A9CC45">
            <w:pPr>
              <w:pStyle w:val="17"/>
              <w:snapToGrid w:val="0"/>
              <w:spacing w:line="360" w:lineRule="auto"/>
              <w:ind w:left="0" w:right="0" w:firstLine="480" w:firstLineChars="200"/>
              <w:rPr>
                <w:rFonts w:ascii="Times New Roman"/>
                <w:sz w:val="24"/>
              </w:rPr>
            </w:pPr>
            <w:r>
              <w:rPr>
                <w:rFonts w:ascii="Times New Roman"/>
                <w:sz w:val="24"/>
              </w:rPr>
              <w:t>根据</w:t>
            </w:r>
            <w:r>
              <w:rPr>
                <w:rFonts w:hint="eastAsia" w:ascii="Times New Roman"/>
                <w:sz w:val="24"/>
              </w:rPr>
              <w:t>环保</w:t>
            </w:r>
            <w:r>
              <w:rPr>
                <w:rFonts w:ascii="Times New Roman"/>
                <w:sz w:val="24"/>
              </w:rPr>
              <w:t>工程</w:t>
            </w:r>
            <w:r>
              <w:rPr>
                <w:rFonts w:hint="eastAsia" w:ascii="Times New Roman"/>
                <w:sz w:val="24"/>
              </w:rPr>
              <w:t>设计方案</w:t>
            </w:r>
            <w:r>
              <w:rPr>
                <w:rFonts w:ascii="Times New Roman"/>
                <w:sz w:val="24"/>
              </w:rPr>
              <w:t>，活性炭</w:t>
            </w:r>
            <w:r>
              <w:rPr>
                <w:rFonts w:hint="eastAsia" w:ascii="Times New Roman"/>
                <w:sz w:val="24"/>
              </w:rPr>
              <w:t>、硅胶</w:t>
            </w:r>
            <w:r>
              <w:rPr>
                <w:rFonts w:ascii="Times New Roman"/>
                <w:sz w:val="24"/>
              </w:rPr>
              <w:t>预计可以连续吸附运行</w:t>
            </w:r>
            <w:r>
              <w:rPr>
                <w:rFonts w:hint="eastAsia" w:ascii="Times New Roman"/>
                <w:sz w:val="24"/>
              </w:rPr>
              <w:t>5</w:t>
            </w:r>
            <w:r>
              <w:rPr>
                <w:rFonts w:ascii="Times New Roman"/>
                <w:sz w:val="24"/>
              </w:rPr>
              <w:t>年以上</w:t>
            </w:r>
            <w:r>
              <w:rPr>
                <w:rFonts w:hint="eastAsia" w:ascii="Times New Roman"/>
                <w:sz w:val="24"/>
              </w:rPr>
              <w:t>，每次更换对整个回收系统的活性炭、硅胶进行全部更换。根据环保设计单位提供参数，</w:t>
            </w:r>
            <w:r>
              <w:rPr>
                <w:rFonts w:ascii="Times New Roman"/>
                <w:sz w:val="24"/>
              </w:rPr>
              <w:t>活性炭有效吸附量：qe=0.24kg/kg</w:t>
            </w:r>
            <w:r>
              <w:rPr>
                <w:rFonts w:hint="eastAsia" w:ascii="Times New Roman"/>
                <w:sz w:val="24"/>
              </w:rPr>
              <w:t>-</w:t>
            </w:r>
            <w:r>
              <w:rPr>
                <w:rFonts w:ascii="Times New Roman"/>
                <w:sz w:val="24"/>
              </w:rPr>
              <w:t>活性炭</w:t>
            </w:r>
            <w:r>
              <w:rPr>
                <w:rFonts w:hint="eastAsia" w:ascii="Times New Roman"/>
                <w:sz w:val="24"/>
              </w:rPr>
              <w:t>，硅胶</w:t>
            </w:r>
            <w:r>
              <w:rPr>
                <w:rFonts w:ascii="Times New Roman"/>
                <w:sz w:val="24"/>
              </w:rPr>
              <w:t>有效吸附量：qe=0.</w:t>
            </w:r>
            <w:r>
              <w:rPr>
                <w:rFonts w:hint="eastAsia" w:ascii="Times New Roman"/>
                <w:sz w:val="24"/>
              </w:rPr>
              <w:t>03</w:t>
            </w:r>
            <w:r>
              <w:rPr>
                <w:rFonts w:ascii="Times New Roman"/>
                <w:sz w:val="24"/>
              </w:rPr>
              <w:t>kg/kg</w:t>
            </w:r>
            <w:r>
              <w:rPr>
                <w:rFonts w:hint="eastAsia" w:ascii="Times New Roman"/>
                <w:sz w:val="24"/>
              </w:rPr>
              <w:t>-硅胶，经计算可得废活性炭、废硅胶产生量，详见表4.5-1。</w:t>
            </w:r>
          </w:p>
          <w:p w14:paraId="005DB783">
            <w:pPr>
              <w:adjustRightInd w:val="0"/>
              <w:snapToGrid w:val="0"/>
              <w:spacing w:line="240" w:lineRule="auto"/>
              <w:ind w:firstLine="0" w:firstLineChars="0"/>
              <w:jc w:val="center"/>
              <w:rPr>
                <w:b/>
                <w:szCs w:val="21"/>
              </w:rPr>
            </w:pPr>
            <w:r>
              <w:rPr>
                <w:b/>
                <w:szCs w:val="21"/>
              </w:rPr>
              <w:t>表4</w:t>
            </w:r>
            <w:r>
              <w:rPr>
                <w:rFonts w:hint="eastAsia"/>
                <w:b/>
                <w:szCs w:val="21"/>
              </w:rPr>
              <w:t>.5-1扩建项目废吸附介质产生情况</w:t>
            </w:r>
          </w:p>
          <w:p w14:paraId="3FA4681A">
            <w:pPr>
              <w:ind w:firstLine="482"/>
              <w:jc w:val="center"/>
            </w:pPr>
            <w:r>
              <w:rPr>
                <w:rFonts w:hint="eastAsia"/>
                <w:b/>
              </w:rPr>
              <w:t>***（略，涉及商业秘密）</w:t>
            </w:r>
          </w:p>
          <w:p w14:paraId="3C9D2468">
            <w:pPr>
              <w:pStyle w:val="2"/>
              <w:ind w:firstLine="480"/>
              <w:rPr>
                <w:lang w:val="en-US" w:eastAsia="zh-CN"/>
              </w:rPr>
            </w:pPr>
            <w:r>
              <w:rPr>
                <w:rFonts w:hint="eastAsia"/>
                <w:lang w:val="en-US" w:eastAsia="zh-CN"/>
              </w:rPr>
              <w:t>根据上表，THF油气回收系统废硅胶</w:t>
            </w:r>
            <w:r>
              <w:rPr>
                <w:lang w:val="en-US" w:eastAsia="zh-CN"/>
              </w:rPr>
              <w:t>产生量为</w:t>
            </w:r>
            <w:r>
              <w:rPr>
                <w:rFonts w:hint="eastAsia"/>
                <w:lang w:val="en-US" w:eastAsia="zh-CN"/>
              </w:rPr>
              <w:t>0.46</w:t>
            </w:r>
            <w:r>
              <w:rPr>
                <w:lang w:val="en-US" w:eastAsia="zh-CN"/>
              </w:rPr>
              <w:t>t/</w:t>
            </w:r>
            <w:r>
              <w:rPr>
                <w:rFonts w:hint="eastAsia"/>
                <w:lang w:val="en-US" w:eastAsia="zh-CN"/>
              </w:rPr>
              <w:t>5</w:t>
            </w:r>
            <w:r>
              <w:rPr>
                <w:lang w:val="en-US" w:eastAsia="zh-CN"/>
              </w:rPr>
              <w:t>a</w:t>
            </w:r>
            <w:r>
              <w:rPr>
                <w:rFonts w:hint="eastAsia"/>
                <w:lang w:val="en-US" w:eastAsia="zh-CN"/>
              </w:rPr>
              <w:t>，MA/BDO废气处理设施废活性炭0.81t/5a，危险废物贮存库废气处理设施废活性炭0.43t/a</w:t>
            </w:r>
            <w:r>
              <w:rPr>
                <w:lang w:val="en-US" w:eastAsia="zh-CN"/>
              </w:rPr>
              <w:t>，废</w:t>
            </w:r>
            <w:r>
              <w:rPr>
                <w:rFonts w:hint="eastAsia"/>
                <w:lang w:val="en-US" w:eastAsia="zh-CN"/>
              </w:rPr>
              <w:t>活性炭、废吸附剂</w:t>
            </w:r>
            <w:r>
              <w:rPr>
                <w:lang w:val="en-US" w:eastAsia="zh-CN"/>
              </w:rPr>
              <w:t>作为危废处理，</w:t>
            </w:r>
            <w:r>
              <w:rPr>
                <w:rFonts w:hint="eastAsia"/>
                <w:lang w:val="en-US" w:eastAsia="zh-CN"/>
              </w:rPr>
              <w:t>废物代码分别为</w:t>
            </w:r>
            <w:r>
              <w:rPr>
                <w:lang w:val="en-US" w:eastAsia="zh-CN"/>
              </w:rPr>
              <w:t>HW49（900-039-49）</w:t>
            </w:r>
            <w:r>
              <w:rPr>
                <w:rFonts w:hint="eastAsia"/>
                <w:lang w:val="en-US" w:eastAsia="zh-CN"/>
              </w:rPr>
              <w:t>、</w:t>
            </w:r>
            <w:r>
              <w:rPr>
                <w:lang w:val="en-US" w:eastAsia="zh-CN"/>
              </w:rPr>
              <w:t>HW49（900-041-49）。用桶收集后放置于危险废物贮存库，委托有资质单位处置</w:t>
            </w:r>
            <w:r>
              <w:rPr>
                <w:rFonts w:hint="eastAsia"/>
                <w:lang w:val="en-US" w:eastAsia="zh-CN"/>
              </w:rPr>
              <w:t>。</w:t>
            </w:r>
          </w:p>
          <w:p w14:paraId="4DFE1289">
            <w:pPr>
              <w:pStyle w:val="17"/>
              <w:snapToGrid w:val="0"/>
              <w:spacing w:line="360" w:lineRule="auto"/>
              <w:ind w:left="0" w:right="0" w:firstLine="480" w:firstLineChars="200"/>
              <w:rPr>
                <w:rFonts w:ascii="Times New Roman"/>
                <w:sz w:val="24"/>
              </w:rPr>
            </w:pPr>
            <w:r>
              <w:rPr>
                <w:rFonts w:ascii="Times New Roman"/>
                <w:sz w:val="24"/>
              </w:rPr>
              <w:t>（2）废机油</w:t>
            </w:r>
          </w:p>
          <w:p w14:paraId="164DA32A">
            <w:pPr>
              <w:pStyle w:val="17"/>
              <w:snapToGrid w:val="0"/>
              <w:spacing w:line="360" w:lineRule="auto"/>
              <w:ind w:left="0" w:right="0" w:firstLine="480" w:firstLineChars="200"/>
              <w:rPr>
                <w:rFonts w:ascii="Times New Roman"/>
                <w:sz w:val="24"/>
              </w:rPr>
            </w:pPr>
            <w:r>
              <w:rPr>
                <w:rFonts w:ascii="Times New Roman"/>
                <w:sz w:val="24"/>
                <w:szCs w:val="18"/>
              </w:rPr>
              <w:t>维修保养过程会产生</w:t>
            </w:r>
            <w:r>
              <w:rPr>
                <w:rFonts w:hint="eastAsia" w:ascii="Times New Roman"/>
                <w:sz w:val="24"/>
                <w:szCs w:val="18"/>
              </w:rPr>
              <w:t>废机油，主要为</w:t>
            </w:r>
            <w:r>
              <w:rPr>
                <w:rFonts w:ascii="Times New Roman"/>
                <w:sz w:val="24"/>
                <w:szCs w:val="18"/>
              </w:rPr>
              <w:t>废矿物油及含矿物油物质，</w:t>
            </w:r>
            <w:r>
              <w:rPr>
                <w:rFonts w:hint="eastAsia" w:ascii="Times New Roman"/>
                <w:sz w:val="24"/>
                <w:szCs w:val="18"/>
              </w:rPr>
              <w:t>码头罐区新增</w:t>
            </w:r>
            <w:r>
              <w:rPr>
                <w:rFonts w:ascii="Times New Roman"/>
                <w:sz w:val="24"/>
                <w:szCs w:val="18"/>
              </w:rPr>
              <w:t>产生量约为</w:t>
            </w:r>
            <w:r>
              <w:rPr>
                <w:rFonts w:hint="eastAsia" w:ascii="Times New Roman"/>
                <w:sz w:val="24"/>
                <w:szCs w:val="18"/>
              </w:rPr>
              <w:t>3</w:t>
            </w:r>
            <w:r>
              <w:rPr>
                <w:rFonts w:ascii="Times New Roman"/>
                <w:sz w:val="24"/>
                <w:szCs w:val="18"/>
              </w:rPr>
              <w:t>t/a，</w:t>
            </w:r>
            <w:r>
              <w:rPr>
                <w:rFonts w:ascii="Times New Roman"/>
                <w:sz w:val="24"/>
              </w:rPr>
              <w:t>对照《国家危险废物名录》（2025年），废机油</w:t>
            </w:r>
            <w:r>
              <w:rPr>
                <w:rFonts w:ascii="Times New Roman"/>
                <w:sz w:val="24"/>
                <w:szCs w:val="18"/>
              </w:rPr>
              <w:t>属于危险废物，</w:t>
            </w:r>
            <w:r>
              <w:rPr>
                <w:rFonts w:ascii="Times New Roman"/>
                <w:sz w:val="24"/>
              </w:rPr>
              <w:t>编号为</w:t>
            </w:r>
            <w:r>
              <w:rPr>
                <w:rFonts w:ascii="Times New Roman"/>
                <w:sz w:val="24"/>
                <w:szCs w:val="18"/>
              </w:rPr>
              <w:t>HW08（900-249-08）。用桶收集后放置于危险废物贮存库，委托有资质单位处置</w:t>
            </w:r>
            <w:r>
              <w:rPr>
                <w:rFonts w:ascii="Times New Roman"/>
                <w:sz w:val="24"/>
              </w:rPr>
              <w:t>。</w:t>
            </w:r>
          </w:p>
          <w:p w14:paraId="27A308B7">
            <w:pPr>
              <w:pStyle w:val="17"/>
              <w:snapToGrid w:val="0"/>
              <w:spacing w:line="360" w:lineRule="auto"/>
              <w:ind w:left="0" w:right="0" w:firstLine="480" w:firstLineChars="200"/>
              <w:rPr>
                <w:rFonts w:ascii="Times New Roman"/>
                <w:sz w:val="24"/>
                <w:szCs w:val="18"/>
              </w:rPr>
            </w:pPr>
            <w:r>
              <w:rPr>
                <w:rFonts w:ascii="Times New Roman"/>
                <w:sz w:val="24"/>
                <w:szCs w:val="18"/>
              </w:rPr>
              <w:t>（3）职工生活垃圾</w:t>
            </w:r>
          </w:p>
          <w:p w14:paraId="61E7326A">
            <w:pPr>
              <w:pStyle w:val="17"/>
              <w:snapToGrid w:val="0"/>
              <w:spacing w:line="360" w:lineRule="auto"/>
              <w:ind w:left="0" w:right="0" w:firstLine="480" w:firstLineChars="200"/>
              <w:rPr>
                <w:rFonts w:ascii="Times New Roman"/>
              </w:rPr>
            </w:pPr>
            <w:r>
              <w:rPr>
                <w:rFonts w:hint="eastAsia" w:ascii="Times New Roman"/>
                <w:sz w:val="24"/>
                <w:szCs w:val="18"/>
              </w:rPr>
              <w:t>扩建项目新增劳动定员40人，均不住厂，全年工作天数以350天计，生活垃圾产生量按0.5kg/人•d计，则扩建项目生活垃圾产生量为7t/a，委托环卫部门清运处置。</w:t>
            </w:r>
            <w:r>
              <w:rPr>
                <w:rFonts w:ascii="Times New Roman"/>
                <w:sz w:val="24"/>
                <w:szCs w:val="18"/>
              </w:rPr>
              <w:t>建设项目营运期固废排放情况见表4.5-</w:t>
            </w:r>
            <w:r>
              <w:rPr>
                <w:rFonts w:hint="eastAsia" w:ascii="Times New Roman"/>
                <w:sz w:val="24"/>
                <w:szCs w:val="18"/>
              </w:rPr>
              <w:t>2</w:t>
            </w:r>
            <w:r>
              <w:rPr>
                <w:rFonts w:ascii="Times New Roman"/>
                <w:sz w:val="24"/>
                <w:szCs w:val="18"/>
              </w:rPr>
              <w:t>。</w:t>
            </w:r>
          </w:p>
        </w:tc>
      </w:tr>
    </w:tbl>
    <w:p w14:paraId="668D9911">
      <w:pPr>
        <w:pStyle w:val="6"/>
        <w:spacing w:before="120" w:after="120"/>
        <w:sectPr>
          <w:footerReference r:id="rId37" w:type="default"/>
          <w:pgSz w:w="11905" w:h="16838"/>
          <w:pgMar w:top="1417" w:right="1417" w:bottom="1417" w:left="1417" w:header="851" w:footer="850" w:gutter="0"/>
          <w:cols w:space="720" w:num="1"/>
          <w:docGrid w:linePitch="312" w:charSpace="0"/>
        </w:sectPr>
      </w:pPr>
    </w:p>
    <w:p w14:paraId="58C8E7BD">
      <w:pPr>
        <w:ind w:firstLine="480"/>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9938"/>
      </w:tblGrid>
      <w:tr w14:paraId="4C93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1" w:hRule="atLeast"/>
        </w:trPr>
        <w:tc>
          <w:tcPr>
            <w:tcW w:w="901" w:type="dxa"/>
            <w:vAlign w:val="center"/>
          </w:tcPr>
          <w:p w14:paraId="2C761DD7">
            <w:pPr>
              <w:pStyle w:val="71"/>
              <w:rPr>
                <w:kern w:val="2"/>
                <w:szCs w:val="24"/>
                <w:lang w:val="en-US" w:eastAsia="zh-CN"/>
              </w:rPr>
            </w:pPr>
            <w:r>
              <w:rPr>
                <w:kern w:val="2"/>
                <w:szCs w:val="24"/>
                <w:lang w:val="en-US" w:eastAsia="zh-CN"/>
              </w:rPr>
              <w:t>运营</w:t>
            </w:r>
          </w:p>
          <w:p w14:paraId="558E7083">
            <w:pPr>
              <w:pStyle w:val="71"/>
              <w:rPr>
                <w:kern w:val="2"/>
                <w:szCs w:val="24"/>
                <w:lang w:val="en-US" w:eastAsia="zh-CN"/>
              </w:rPr>
            </w:pPr>
            <w:r>
              <w:rPr>
                <w:kern w:val="2"/>
                <w:szCs w:val="24"/>
                <w:lang w:val="en-US" w:eastAsia="zh-CN"/>
              </w:rPr>
              <w:t>期环</w:t>
            </w:r>
          </w:p>
          <w:p w14:paraId="11E75028">
            <w:pPr>
              <w:pStyle w:val="71"/>
              <w:rPr>
                <w:kern w:val="2"/>
                <w:szCs w:val="24"/>
                <w:lang w:val="en-US" w:eastAsia="zh-CN"/>
              </w:rPr>
            </w:pPr>
            <w:r>
              <w:rPr>
                <w:kern w:val="2"/>
                <w:szCs w:val="24"/>
                <w:lang w:val="en-US" w:eastAsia="zh-CN"/>
              </w:rPr>
              <w:t>境影</w:t>
            </w:r>
          </w:p>
          <w:p w14:paraId="71C66A64">
            <w:pPr>
              <w:pStyle w:val="71"/>
              <w:rPr>
                <w:kern w:val="2"/>
                <w:szCs w:val="24"/>
                <w:lang w:val="en-US" w:eastAsia="zh-CN"/>
              </w:rPr>
            </w:pPr>
            <w:r>
              <w:rPr>
                <w:kern w:val="2"/>
                <w:szCs w:val="24"/>
                <w:lang w:val="en-US" w:eastAsia="zh-CN"/>
              </w:rPr>
              <w:t>响和</w:t>
            </w:r>
          </w:p>
          <w:p w14:paraId="244C8D62">
            <w:pPr>
              <w:pStyle w:val="71"/>
              <w:rPr>
                <w:kern w:val="2"/>
                <w:szCs w:val="24"/>
                <w:lang w:val="en-US" w:eastAsia="zh-CN"/>
              </w:rPr>
            </w:pPr>
            <w:r>
              <w:rPr>
                <w:kern w:val="2"/>
                <w:szCs w:val="24"/>
                <w:lang w:val="en-US" w:eastAsia="zh-CN"/>
              </w:rPr>
              <w:t>保护</w:t>
            </w:r>
          </w:p>
          <w:p w14:paraId="6EDD8A98">
            <w:pPr>
              <w:pStyle w:val="71"/>
              <w:rPr>
                <w:rFonts w:eastAsia="等线"/>
                <w:snapToGrid w:val="0"/>
                <w:kern w:val="2"/>
                <w:szCs w:val="24"/>
                <w:lang w:val="en-US" w:eastAsia="zh-CN"/>
              </w:rPr>
            </w:pPr>
            <w:r>
              <w:rPr>
                <w:kern w:val="2"/>
                <w:szCs w:val="24"/>
                <w:lang w:val="en-US" w:eastAsia="zh-CN"/>
              </w:rPr>
              <w:t>措施</w:t>
            </w:r>
          </w:p>
        </w:tc>
        <w:tc>
          <w:tcPr>
            <w:tcW w:w="19938" w:type="dxa"/>
          </w:tcPr>
          <w:p w14:paraId="0497919E">
            <w:pPr>
              <w:pStyle w:val="68"/>
              <w:rPr>
                <w:kern w:val="2"/>
                <w:sz w:val="24"/>
                <w:szCs w:val="24"/>
                <w:lang w:val="en-US" w:eastAsia="zh-CN"/>
              </w:rPr>
            </w:pPr>
          </w:p>
          <w:p w14:paraId="27142BD0">
            <w:pPr>
              <w:adjustRightInd w:val="0"/>
              <w:snapToGrid w:val="0"/>
              <w:spacing w:line="240" w:lineRule="auto"/>
              <w:ind w:firstLine="0" w:firstLineChars="0"/>
              <w:jc w:val="center"/>
              <w:rPr>
                <w:b/>
                <w:szCs w:val="21"/>
              </w:rPr>
            </w:pPr>
            <w:r>
              <w:rPr>
                <w:b/>
                <w:szCs w:val="21"/>
              </w:rPr>
              <w:t>表4.5-</w:t>
            </w:r>
            <w:r>
              <w:rPr>
                <w:rFonts w:hint="eastAsia"/>
                <w:b/>
                <w:szCs w:val="21"/>
              </w:rPr>
              <w:t>2扩建项目</w:t>
            </w:r>
            <w:r>
              <w:rPr>
                <w:b/>
                <w:szCs w:val="21"/>
              </w:rPr>
              <w:t>固体污染源源强核算结果及相关参数一览表</w:t>
            </w:r>
          </w:p>
          <w:p w14:paraId="229BBCAC">
            <w:pPr>
              <w:ind w:firstLine="482"/>
              <w:jc w:val="center"/>
            </w:pPr>
            <w:r>
              <w:rPr>
                <w:rFonts w:hint="eastAsia"/>
                <w:b/>
              </w:rPr>
              <w:t>***（略，涉及商业秘密）</w:t>
            </w:r>
          </w:p>
          <w:p w14:paraId="06F8AB7F">
            <w:pPr>
              <w:pStyle w:val="68"/>
              <w:rPr>
                <w:kern w:val="2"/>
                <w:sz w:val="24"/>
                <w:szCs w:val="24"/>
                <w:lang w:val="en-US" w:eastAsia="zh-CN"/>
              </w:rPr>
            </w:pPr>
          </w:p>
          <w:p w14:paraId="19C6275C">
            <w:pPr>
              <w:ind w:firstLine="480"/>
              <w:rPr>
                <w:rFonts w:eastAsia="等线"/>
                <w:snapToGrid w:val="0"/>
              </w:rPr>
            </w:pPr>
          </w:p>
        </w:tc>
      </w:tr>
    </w:tbl>
    <w:p w14:paraId="544DE0DD">
      <w:pPr>
        <w:ind w:firstLine="480"/>
      </w:pPr>
    </w:p>
    <w:p w14:paraId="73C6E416">
      <w:pPr>
        <w:ind w:firstLine="480"/>
      </w:pPr>
    </w:p>
    <w:p w14:paraId="0F0CF3D7">
      <w:pPr>
        <w:ind w:firstLine="480"/>
        <w:sectPr>
          <w:footerReference r:id="rId38" w:type="default"/>
          <w:pgSz w:w="23757" w:h="16783" w:orient="landscape"/>
          <w:pgMar w:top="1417" w:right="1417" w:bottom="1417" w:left="1417" w:header="851" w:footer="850" w:gutter="0"/>
          <w:cols w:space="720" w:num="1"/>
          <w:docGrid w:linePitch="312" w:charSpace="0"/>
        </w:sectPr>
      </w:pP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8"/>
        <w:gridCol w:w="8582"/>
      </w:tblGrid>
      <w:tr w14:paraId="0427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8" w:hRule="atLeast"/>
          <w:jc w:val="center"/>
        </w:trPr>
        <w:tc>
          <w:tcPr>
            <w:tcW w:w="295" w:type="pct"/>
            <w:tcMar>
              <w:left w:w="28" w:type="dxa"/>
              <w:right w:w="28" w:type="dxa"/>
            </w:tcMar>
            <w:vAlign w:val="center"/>
          </w:tcPr>
          <w:p w14:paraId="1E164B02">
            <w:pPr>
              <w:pStyle w:val="71"/>
              <w:rPr>
                <w:kern w:val="2"/>
                <w:szCs w:val="24"/>
                <w:lang w:val="en-US" w:eastAsia="zh-CN"/>
              </w:rPr>
            </w:pPr>
            <w:r>
              <w:rPr>
                <w:kern w:val="2"/>
                <w:szCs w:val="24"/>
                <w:lang w:val="en-US" w:eastAsia="zh-CN"/>
              </w:rPr>
              <w:t>运营</w:t>
            </w:r>
          </w:p>
          <w:p w14:paraId="5790075C">
            <w:pPr>
              <w:pStyle w:val="71"/>
              <w:rPr>
                <w:kern w:val="2"/>
                <w:szCs w:val="24"/>
                <w:lang w:val="en-US" w:eastAsia="zh-CN"/>
              </w:rPr>
            </w:pPr>
            <w:r>
              <w:rPr>
                <w:kern w:val="2"/>
                <w:szCs w:val="24"/>
                <w:lang w:val="en-US" w:eastAsia="zh-CN"/>
              </w:rPr>
              <w:t>期环</w:t>
            </w:r>
          </w:p>
          <w:p w14:paraId="66F59B48">
            <w:pPr>
              <w:pStyle w:val="71"/>
              <w:rPr>
                <w:kern w:val="2"/>
                <w:szCs w:val="24"/>
                <w:lang w:val="en-US" w:eastAsia="zh-CN"/>
              </w:rPr>
            </w:pPr>
            <w:r>
              <w:rPr>
                <w:kern w:val="2"/>
                <w:szCs w:val="24"/>
                <w:lang w:val="en-US" w:eastAsia="zh-CN"/>
              </w:rPr>
              <w:t>境影</w:t>
            </w:r>
          </w:p>
          <w:p w14:paraId="4211A726">
            <w:pPr>
              <w:pStyle w:val="71"/>
              <w:rPr>
                <w:kern w:val="2"/>
                <w:szCs w:val="24"/>
                <w:lang w:val="en-US" w:eastAsia="zh-CN"/>
              </w:rPr>
            </w:pPr>
            <w:r>
              <w:rPr>
                <w:kern w:val="2"/>
                <w:szCs w:val="24"/>
                <w:lang w:val="en-US" w:eastAsia="zh-CN"/>
              </w:rPr>
              <w:t>响和</w:t>
            </w:r>
          </w:p>
          <w:p w14:paraId="0C6F8AA1">
            <w:pPr>
              <w:pStyle w:val="71"/>
              <w:rPr>
                <w:kern w:val="2"/>
                <w:szCs w:val="24"/>
                <w:lang w:val="en-US" w:eastAsia="zh-CN"/>
              </w:rPr>
            </w:pPr>
            <w:r>
              <w:rPr>
                <w:kern w:val="2"/>
                <w:szCs w:val="24"/>
                <w:lang w:val="en-US" w:eastAsia="zh-CN"/>
              </w:rPr>
              <w:t>保护</w:t>
            </w:r>
          </w:p>
          <w:p w14:paraId="6A504524">
            <w:pPr>
              <w:pStyle w:val="71"/>
              <w:rPr>
                <w:kern w:val="2"/>
                <w:szCs w:val="24"/>
                <w:lang w:val="en-US" w:eastAsia="zh-CN"/>
              </w:rPr>
            </w:pPr>
            <w:r>
              <w:rPr>
                <w:kern w:val="2"/>
                <w:szCs w:val="24"/>
                <w:lang w:val="en-US" w:eastAsia="zh-CN"/>
              </w:rPr>
              <w:t>措施</w:t>
            </w:r>
          </w:p>
        </w:tc>
        <w:tc>
          <w:tcPr>
            <w:tcW w:w="4705" w:type="pct"/>
            <w:vAlign w:val="center"/>
          </w:tcPr>
          <w:p w14:paraId="4C1736B6">
            <w:pPr>
              <w:pStyle w:val="8"/>
              <w:tabs>
                <w:tab w:val="left" w:pos="5400"/>
              </w:tabs>
              <w:spacing w:before="120"/>
              <w:rPr>
                <w:bCs/>
                <w:lang w:val="en-US" w:eastAsia="zh-CN"/>
              </w:rPr>
            </w:pPr>
            <w:r>
              <w:rPr>
                <w:bCs/>
                <w:lang w:val="en-US" w:eastAsia="zh-CN"/>
              </w:rPr>
              <w:t>4.5.2影响分析</w:t>
            </w:r>
          </w:p>
          <w:p w14:paraId="50CE7411">
            <w:pPr>
              <w:pStyle w:val="17"/>
              <w:snapToGrid w:val="0"/>
              <w:spacing w:line="360" w:lineRule="auto"/>
              <w:ind w:left="0" w:right="0" w:firstLine="480" w:firstLineChars="200"/>
              <w:rPr>
                <w:rFonts w:ascii="Times New Roman"/>
                <w:sz w:val="24"/>
              </w:rPr>
            </w:pPr>
            <w:r>
              <w:rPr>
                <w:rFonts w:ascii="Times New Roman"/>
                <w:sz w:val="24"/>
              </w:rPr>
              <w:t>（1）危险废物环境影响分析</w:t>
            </w:r>
          </w:p>
          <w:p w14:paraId="2AA42AFC">
            <w:pPr>
              <w:pStyle w:val="17"/>
              <w:snapToGrid w:val="0"/>
              <w:spacing w:line="360" w:lineRule="auto"/>
              <w:ind w:left="0" w:right="0" w:firstLine="480" w:firstLineChars="200"/>
              <w:rPr>
                <w:rFonts w:ascii="Times New Roman"/>
                <w:sz w:val="24"/>
              </w:rPr>
            </w:pPr>
            <w:r>
              <w:rPr>
                <w:rFonts w:ascii="Times New Roman"/>
                <w:sz w:val="24"/>
              </w:rPr>
              <w:t>1）危险废物储存场所环境影响分析</w:t>
            </w:r>
          </w:p>
          <w:p w14:paraId="617A41C0">
            <w:pPr>
              <w:pStyle w:val="17"/>
              <w:snapToGrid w:val="0"/>
              <w:spacing w:line="360" w:lineRule="auto"/>
              <w:ind w:left="0" w:right="0" w:firstLine="480" w:firstLineChars="200"/>
              <w:rPr>
                <w:rFonts w:ascii="Times New Roman"/>
                <w:sz w:val="24"/>
              </w:rPr>
            </w:pPr>
            <w:r>
              <w:rPr>
                <w:rFonts w:hint="eastAsia" w:ascii="宋体" w:hAnsi="宋体" w:cs="宋体"/>
                <w:sz w:val="24"/>
              </w:rPr>
              <w:t>①</w:t>
            </w:r>
            <w:r>
              <w:rPr>
                <w:rFonts w:ascii="Times New Roman"/>
                <w:sz w:val="24"/>
              </w:rPr>
              <w:t>污染影响途径分析</w:t>
            </w:r>
          </w:p>
          <w:p w14:paraId="7437E47C">
            <w:pPr>
              <w:pStyle w:val="17"/>
              <w:snapToGrid w:val="0"/>
              <w:spacing w:line="360" w:lineRule="auto"/>
              <w:ind w:left="0" w:right="0" w:firstLine="480" w:firstLineChars="200"/>
              <w:rPr>
                <w:rFonts w:ascii="Times New Roman"/>
                <w:sz w:val="24"/>
              </w:rPr>
            </w:pPr>
            <w:r>
              <w:rPr>
                <w:rFonts w:ascii="Times New Roman"/>
                <w:sz w:val="24"/>
              </w:rPr>
              <w:t>根据工程分析可知，项目危险废物主要有废活性炭、废机油等，危废产生量相对较少，</w:t>
            </w:r>
            <w:r>
              <w:rPr>
                <w:rFonts w:hint="eastAsia" w:ascii="Times New Roman"/>
                <w:sz w:val="24"/>
              </w:rPr>
              <w:t>危废存放在危险废物贮存库内，避免危废厂外自行运输。</w:t>
            </w:r>
            <w:r>
              <w:rPr>
                <w:rFonts w:ascii="Times New Roman"/>
                <w:sz w:val="24"/>
              </w:rPr>
              <w:t>但在从厂区内产生工艺环节运输到危险废物贮存库过程中以及贮存期间，仍存在散落、泄漏、挥发等情形。危废散落、泄漏若未能及时收集处置，则有可能进入雨水系统进而污染周边地表水，或下渗进入地下污染土壤和地下水；危废挥发则会导致周边大气环境受到一定影响。</w:t>
            </w:r>
          </w:p>
          <w:p w14:paraId="76E9B874">
            <w:pPr>
              <w:pStyle w:val="17"/>
              <w:snapToGrid w:val="0"/>
              <w:spacing w:line="360" w:lineRule="auto"/>
              <w:ind w:left="0" w:right="0" w:firstLine="480" w:firstLineChars="200"/>
              <w:rPr>
                <w:rFonts w:ascii="Times New Roman"/>
                <w:sz w:val="24"/>
              </w:rPr>
            </w:pPr>
            <w:r>
              <w:rPr>
                <w:rFonts w:hint="eastAsia" w:ascii="宋体" w:hAnsi="宋体" w:cs="宋体"/>
                <w:sz w:val="24"/>
              </w:rPr>
              <w:t>②</w:t>
            </w:r>
            <w:r>
              <w:rPr>
                <w:rFonts w:ascii="Times New Roman"/>
                <w:sz w:val="24"/>
              </w:rPr>
              <w:t>污染影响分析</w:t>
            </w:r>
          </w:p>
          <w:p w14:paraId="585C4D41">
            <w:pPr>
              <w:pStyle w:val="17"/>
              <w:snapToGrid w:val="0"/>
              <w:spacing w:line="360" w:lineRule="auto"/>
              <w:ind w:left="0" w:right="0" w:firstLine="480" w:firstLineChars="200"/>
              <w:rPr>
                <w:rFonts w:ascii="Times New Roman"/>
                <w:sz w:val="24"/>
              </w:rPr>
            </w:pPr>
            <w:r>
              <w:rPr>
                <w:rFonts w:ascii="Times New Roman"/>
                <w:sz w:val="24"/>
              </w:rPr>
              <w:t>扩建项目产生的危险废物具有可燃性和具有一定的毒性，若防护不当或任意排放，将会引起二次污染，对周围环境造成一定的影响，故对危险废物贮存过程中的防护是十分必要的。本评价要求企业在危险废物收集、贮存过程中要严格执行《危险废物贮存污染控制标准》（GB18597-2023）及《危险废物收集、贮存、运输技术规范》（HJ2025-2012）中相关要求，并制定严密的防护、防渗措施，避免发生事故，做好危险废物的全过程监督管理。在此基础上，扩建项目危险废物贮存库对环境影响不大。</w:t>
            </w:r>
          </w:p>
          <w:p w14:paraId="7BFCDCED">
            <w:pPr>
              <w:pStyle w:val="17"/>
              <w:snapToGrid w:val="0"/>
              <w:spacing w:line="360" w:lineRule="auto"/>
              <w:ind w:left="0" w:right="0" w:firstLine="480" w:firstLineChars="200"/>
              <w:rPr>
                <w:rFonts w:ascii="Times New Roman"/>
                <w:sz w:val="24"/>
              </w:rPr>
            </w:pPr>
            <w:r>
              <w:rPr>
                <w:rFonts w:ascii="Times New Roman"/>
                <w:sz w:val="24"/>
              </w:rPr>
              <w:t>2）危险废物运输过程的环境影响分析</w:t>
            </w:r>
          </w:p>
          <w:p w14:paraId="775AE566">
            <w:pPr>
              <w:pStyle w:val="17"/>
              <w:snapToGrid w:val="0"/>
              <w:spacing w:line="360" w:lineRule="auto"/>
              <w:ind w:left="0" w:right="0" w:firstLine="480" w:firstLineChars="200"/>
              <w:rPr>
                <w:rFonts w:ascii="Times New Roman"/>
                <w:sz w:val="24"/>
              </w:rPr>
            </w:pPr>
            <w:r>
              <w:rPr>
                <w:rFonts w:ascii="Times New Roman"/>
                <w:sz w:val="24"/>
              </w:rPr>
              <w:t>危险废物运输过程中一旦出现事故造成撒落或泄漏，将会对周围环境产生极大危害。扩建项目所产生的危险废物外委处置，危险废物厂外运输全部依托危废接收单位运输力量，企业不负责危废的厂外运输工作。危险废物运输过程中必须严格执行《危险废物收集、贮存、运输技术规范》（HJ2025-2012）中的有关规定。</w:t>
            </w:r>
          </w:p>
          <w:p w14:paraId="569F91BE">
            <w:pPr>
              <w:pStyle w:val="17"/>
              <w:snapToGrid w:val="0"/>
              <w:spacing w:line="360" w:lineRule="auto"/>
              <w:ind w:left="0" w:right="0" w:firstLine="480" w:firstLineChars="200"/>
              <w:rPr>
                <w:rFonts w:ascii="Times New Roman"/>
                <w:sz w:val="24"/>
              </w:rPr>
            </w:pPr>
            <w:r>
              <w:rPr>
                <w:rFonts w:ascii="Times New Roman"/>
                <w:sz w:val="24"/>
              </w:rPr>
              <w:t>3）危险废物委托处置的环境影响分析</w:t>
            </w:r>
          </w:p>
          <w:p w14:paraId="7B1FEE9E">
            <w:pPr>
              <w:pStyle w:val="17"/>
              <w:snapToGrid w:val="0"/>
              <w:spacing w:line="360" w:lineRule="auto"/>
              <w:ind w:left="0" w:right="0" w:firstLine="480" w:firstLineChars="200"/>
              <w:rPr>
                <w:rFonts w:ascii="Times New Roman"/>
                <w:sz w:val="24"/>
              </w:rPr>
            </w:pPr>
            <w:r>
              <w:rPr>
                <w:rFonts w:ascii="Times New Roman"/>
                <w:sz w:val="24"/>
              </w:rPr>
              <w:t>扩建项目产生的废机油、废活性炭均属于危险废物（危废类别为HW08、HW49），分类收集后定期委托有资质的危废处置单位外运处置。</w:t>
            </w:r>
          </w:p>
          <w:p w14:paraId="54144F49">
            <w:pPr>
              <w:pStyle w:val="17"/>
              <w:snapToGrid w:val="0"/>
              <w:spacing w:line="360" w:lineRule="auto"/>
              <w:ind w:left="0" w:right="0" w:firstLine="480" w:firstLineChars="200"/>
              <w:rPr>
                <w:rFonts w:ascii="Times New Roman"/>
                <w:sz w:val="24"/>
              </w:rPr>
            </w:pPr>
            <w:r>
              <w:rPr>
                <w:rFonts w:ascii="Times New Roman"/>
                <w:sz w:val="24"/>
              </w:rPr>
              <w:t>4）危废影响小结</w:t>
            </w:r>
          </w:p>
          <w:p w14:paraId="29C38D06">
            <w:pPr>
              <w:pStyle w:val="17"/>
              <w:snapToGrid w:val="0"/>
              <w:spacing w:line="360" w:lineRule="auto"/>
              <w:ind w:left="0" w:right="0" w:firstLine="480" w:firstLineChars="200"/>
              <w:rPr>
                <w:rFonts w:ascii="Times New Roman"/>
                <w:sz w:val="24"/>
              </w:rPr>
            </w:pPr>
            <w:r>
              <w:rPr>
                <w:rFonts w:ascii="Times New Roman"/>
                <w:sz w:val="24"/>
              </w:rPr>
              <w:t>扩建项目危险废物的收集、暂存、处置均按照《危险废物贮存污染控制标准》（GB18597-2023）及《危险废物收集、贮存、运输技术规范》（HJ2025-2012）、《危险废物联单管理办法》等有关规定执行，具备环境可行性。在采取相应的措施以后，扩建项目产生的危险废物不会对环境造成二次污染。</w:t>
            </w:r>
          </w:p>
          <w:p w14:paraId="3976BF15">
            <w:pPr>
              <w:pStyle w:val="17"/>
              <w:snapToGrid w:val="0"/>
              <w:spacing w:line="360" w:lineRule="auto"/>
              <w:ind w:left="0" w:right="0" w:firstLine="480" w:firstLineChars="200"/>
              <w:rPr>
                <w:rFonts w:ascii="Times New Roman"/>
                <w:sz w:val="24"/>
              </w:rPr>
            </w:pPr>
            <w:r>
              <w:rPr>
                <w:rFonts w:ascii="Times New Roman"/>
                <w:sz w:val="24"/>
              </w:rPr>
              <w:t>（2）生活垃圾环境影响分析</w:t>
            </w:r>
          </w:p>
          <w:p w14:paraId="4E5820C2">
            <w:pPr>
              <w:pStyle w:val="17"/>
              <w:snapToGrid w:val="0"/>
              <w:spacing w:line="360" w:lineRule="auto"/>
              <w:ind w:left="0" w:right="0" w:firstLine="480" w:firstLineChars="200"/>
              <w:rPr>
                <w:rFonts w:ascii="Times New Roman"/>
                <w:sz w:val="24"/>
              </w:rPr>
            </w:pPr>
            <w:r>
              <w:rPr>
                <w:rFonts w:ascii="Times New Roman"/>
                <w:sz w:val="24"/>
              </w:rPr>
              <w:t>项目生活垃圾由当地环卫对集中收集统一处置，做到及时清运，不会对外环境造成二次污染。</w:t>
            </w:r>
          </w:p>
          <w:p w14:paraId="4A7BA5B0">
            <w:pPr>
              <w:pStyle w:val="8"/>
              <w:tabs>
                <w:tab w:val="left" w:pos="5400"/>
              </w:tabs>
              <w:spacing w:before="120"/>
              <w:rPr>
                <w:lang w:val="en-US" w:eastAsia="zh-CN"/>
              </w:rPr>
            </w:pPr>
            <w:r>
              <w:rPr>
                <w:lang w:val="en-US" w:eastAsia="zh-CN"/>
              </w:rPr>
              <w:t>4.5.3固废污染防治措施</w:t>
            </w:r>
          </w:p>
          <w:p w14:paraId="524D658B">
            <w:pPr>
              <w:ind w:firstLine="480"/>
              <w:rPr>
                <w:bCs/>
              </w:rPr>
            </w:pPr>
            <w:r>
              <w:rPr>
                <w:bCs/>
              </w:rPr>
              <w:t>（1）危险废物</w:t>
            </w:r>
          </w:p>
          <w:p w14:paraId="0F287298">
            <w:pPr>
              <w:ind w:firstLine="480"/>
              <w:rPr>
                <w:bCs/>
              </w:rPr>
            </w:pPr>
            <w:r>
              <w:rPr>
                <w:rFonts w:hint="eastAsia" w:ascii="宋体" w:hAnsi="宋体" w:cs="宋体"/>
                <w:bCs/>
              </w:rPr>
              <w:t>①</w:t>
            </w:r>
            <w:r>
              <w:rPr>
                <w:bCs/>
              </w:rPr>
              <w:t>危废贮存场所</w:t>
            </w:r>
          </w:p>
          <w:p w14:paraId="43AC9671">
            <w:pPr>
              <w:ind w:firstLine="480"/>
              <w:rPr>
                <w:bCs/>
              </w:rPr>
            </w:pPr>
            <w:r>
              <w:rPr>
                <w:rFonts w:hint="eastAsia"/>
                <w:bCs/>
              </w:rPr>
              <w:t>扩建项目新建的</w:t>
            </w:r>
            <w:r>
              <w:rPr>
                <w:bCs/>
              </w:rPr>
              <w:t>危险废物贮存库应满足《危险废物贮存污染控制标准》（GB18597-2023）要求</w:t>
            </w:r>
            <w:r>
              <w:rPr>
                <w:rFonts w:hint="eastAsia"/>
                <w:bCs/>
              </w:rPr>
              <w:t>。</w:t>
            </w:r>
            <w:r>
              <w:rPr>
                <w:bCs/>
              </w:rPr>
              <w:t>危险废物贮存场所（设施）基本情况见表4.5</w:t>
            </w:r>
            <w:r>
              <w:rPr>
                <w:rFonts w:hint="eastAsia"/>
                <w:bCs/>
              </w:rPr>
              <w:t>-3</w:t>
            </w:r>
            <w:r>
              <w:rPr>
                <w:bCs/>
              </w:rPr>
              <w:t>。</w:t>
            </w:r>
          </w:p>
          <w:p w14:paraId="432D5AB1">
            <w:pPr>
              <w:adjustRightInd w:val="0"/>
              <w:snapToGrid w:val="0"/>
              <w:spacing w:line="240" w:lineRule="auto"/>
              <w:ind w:firstLine="0" w:firstLineChars="0"/>
              <w:jc w:val="center"/>
              <w:rPr>
                <w:b/>
                <w:szCs w:val="21"/>
              </w:rPr>
            </w:pPr>
            <w:r>
              <w:rPr>
                <w:b/>
                <w:szCs w:val="21"/>
              </w:rPr>
              <w:t>表4.5-</w:t>
            </w:r>
            <w:r>
              <w:rPr>
                <w:rFonts w:hint="eastAsia"/>
                <w:b/>
                <w:szCs w:val="21"/>
              </w:rPr>
              <w:t>3扩建项目新建的</w:t>
            </w:r>
            <w:r>
              <w:rPr>
                <w:b/>
                <w:szCs w:val="21"/>
              </w:rPr>
              <w:t>危险废物贮存场所（设施）基本情况</w:t>
            </w:r>
          </w:p>
          <w:p w14:paraId="51CC7B90">
            <w:pPr>
              <w:ind w:firstLine="482"/>
              <w:jc w:val="center"/>
            </w:pPr>
            <w:r>
              <w:rPr>
                <w:rFonts w:hint="eastAsia"/>
                <w:b/>
              </w:rPr>
              <w:t>***（略，涉及商业秘密）</w:t>
            </w:r>
          </w:p>
          <w:p w14:paraId="2AA18967">
            <w:pPr>
              <w:ind w:firstLine="480"/>
              <w:rPr>
                <w:bCs/>
              </w:rPr>
            </w:pPr>
            <w:r>
              <w:rPr>
                <w:rFonts w:hint="eastAsia"/>
                <w:bCs/>
              </w:rPr>
              <w:t>危险废物贮存库最大贮存设计能力为20t，现有项目危险废物需求</w:t>
            </w:r>
            <w:r>
              <w:rPr>
                <w:bCs/>
              </w:rPr>
              <w:t>贮存</w:t>
            </w:r>
            <w:r>
              <w:rPr>
                <w:rFonts w:hint="eastAsia"/>
                <w:bCs/>
              </w:rPr>
              <w:t>量合计为0.3t，本次扩建后新增危险废物量为3t，危险废物贮存库仍富余贮存能力为15t，能够满足现有项目及扩建项目共用的要求。</w:t>
            </w:r>
          </w:p>
          <w:p w14:paraId="300B84BA">
            <w:pPr>
              <w:pStyle w:val="17"/>
              <w:spacing w:line="360" w:lineRule="auto"/>
              <w:ind w:left="0" w:right="0" w:firstLine="480" w:firstLineChars="200"/>
              <w:rPr>
                <w:rFonts w:ascii="Times New Roman"/>
                <w:sz w:val="24"/>
                <w:szCs w:val="28"/>
              </w:rPr>
            </w:pPr>
            <w:r>
              <w:rPr>
                <w:rFonts w:hint="eastAsia" w:ascii="宋体" w:hAnsi="宋体" w:cs="宋体"/>
                <w:sz w:val="24"/>
                <w:szCs w:val="28"/>
              </w:rPr>
              <w:t>②</w:t>
            </w:r>
            <w:r>
              <w:rPr>
                <w:rFonts w:ascii="Times New Roman"/>
                <w:sz w:val="24"/>
                <w:szCs w:val="28"/>
              </w:rPr>
              <w:t>危险废物的收集包装</w:t>
            </w:r>
          </w:p>
          <w:p w14:paraId="36D6173F">
            <w:pPr>
              <w:pStyle w:val="17"/>
              <w:spacing w:line="360" w:lineRule="auto"/>
              <w:ind w:left="0" w:right="0" w:firstLine="480" w:firstLineChars="200"/>
              <w:rPr>
                <w:rFonts w:ascii="Times New Roman"/>
                <w:sz w:val="24"/>
                <w:szCs w:val="28"/>
              </w:rPr>
            </w:pPr>
            <w:r>
              <w:rPr>
                <w:rFonts w:ascii="Times New Roman"/>
                <w:sz w:val="24"/>
                <w:szCs w:val="28"/>
              </w:rPr>
              <w:t>A、有符合要求的包装容器、收集人员的个人防护设备；</w:t>
            </w:r>
          </w:p>
          <w:p w14:paraId="7363CD55">
            <w:pPr>
              <w:pStyle w:val="17"/>
              <w:spacing w:line="360" w:lineRule="auto"/>
              <w:ind w:left="0" w:right="0" w:firstLine="480" w:firstLineChars="200"/>
              <w:rPr>
                <w:rFonts w:ascii="Times New Roman"/>
                <w:sz w:val="24"/>
                <w:szCs w:val="28"/>
              </w:rPr>
            </w:pPr>
            <w:r>
              <w:rPr>
                <w:rFonts w:ascii="Times New Roman"/>
                <w:sz w:val="24"/>
                <w:szCs w:val="28"/>
              </w:rPr>
              <w:t>B、危险废物的收集容器应在醒目位置贴有危险废物标签，在收集场所醒目的地方设置危险废物警告标识；</w:t>
            </w:r>
          </w:p>
          <w:p w14:paraId="20D92559">
            <w:pPr>
              <w:pStyle w:val="17"/>
              <w:spacing w:line="360" w:lineRule="auto"/>
              <w:ind w:left="0" w:right="0" w:firstLine="480" w:firstLineChars="200"/>
              <w:rPr>
                <w:rFonts w:ascii="Times New Roman"/>
                <w:sz w:val="24"/>
                <w:szCs w:val="28"/>
              </w:rPr>
            </w:pPr>
            <w:r>
              <w:rPr>
                <w:rFonts w:ascii="Times New Roman"/>
                <w:sz w:val="24"/>
                <w:szCs w:val="28"/>
              </w:rPr>
              <w:t>C、危险废物标签应标明以下信息：主要化学成分或危险废物名称、数量、物理形态、危险类别、安全措施以及危险废物产生单位名称、地址、联系人及电话。</w:t>
            </w:r>
          </w:p>
          <w:p w14:paraId="565D550F">
            <w:pPr>
              <w:pStyle w:val="17"/>
              <w:spacing w:line="360" w:lineRule="auto"/>
              <w:ind w:left="0" w:right="0" w:firstLine="480" w:firstLineChars="200"/>
              <w:rPr>
                <w:rFonts w:ascii="Times New Roman"/>
                <w:sz w:val="24"/>
                <w:szCs w:val="28"/>
              </w:rPr>
            </w:pPr>
            <w:r>
              <w:rPr>
                <w:rFonts w:hint="eastAsia" w:ascii="宋体" w:hAnsi="宋体" w:cs="宋体"/>
                <w:sz w:val="24"/>
                <w:szCs w:val="28"/>
              </w:rPr>
              <w:t>③</w:t>
            </w:r>
            <w:r>
              <w:rPr>
                <w:rFonts w:ascii="Times New Roman"/>
                <w:sz w:val="24"/>
                <w:szCs w:val="28"/>
              </w:rPr>
              <w:t>危险废物的暂存要求</w:t>
            </w:r>
          </w:p>
          <w:p w14:paraId="5D446CD1">
            <w:pPr>
              <w:pStyle w:val="17"/>
              <w:spacing w:line="360" w:lineRule="auto"/>
              <w:ind w:left="0" w:right="0" w:firstLine="480" w:firstLineChars="200"/>
              <w:rPr>
                <w:rFonts w:ascii="Times New Roman"/>
                <w:sz w:val="24"/>
                <w:szCs w:val="28"/>
              </w:rPr>
            </w:pPr>
            <w:r>
              <w:rPr>
                <w:rFonts w:ascii="Times New Roman"/>
                <w:sz w:val="24"/>
                <w:szCs w:val="28"/>
              </w:rPr>
              <w:t>危险废物堆放场应满足《危险废物贮存污染控制标准》（GB18597-2023）有关规定：</w:t>
            </w:r>
          </w:p>
          <w:p w14:paraId="2F945E82">
            <w:pPr>
              <w:pStyle w:val="17"/>
              <w:spacing w:line="360" w:lineRule="auto"/>
              <w:ind w:left="0" w:right="0" w:firstLine="480" w:firstLineChars="200"/>
              <w:rPr>
                <w:rFonts w:ascii="Times New Roman"/>
                <w:sz w:val="24"/>
                <w:szCs w:val="28"/>
              </w:rPr>
            </w:pPr>
            <w:r>
              <w:rPr>
                <w:rFonts w:ascii="Times New Roman"/>
                <w:sz w:val="24"/>
                <w:szCs w:val="28"/>
              </w:rPr>
              <w:t>A、按</w:t>
            </w:r>
            <w:r>
              <w:rPr>
                <w:rFonts w:hint="eastAsia" w:ascii="Times New Roman"/>
                <w:sz w:val="24"/>
                <w:szCs w:val="28"/>
              </w:rPr>
              <w:t>《危险废物识别标志设置技术规范》（HJ1276-2022）设警示标志</w:t>
            </w:r>
            <w:r>
              <w:rPr>
                <w:rFonts w:ascii="Times New Roman"/>
                <w:sz w:val="24"/>
                <w:szCs w:val="28"/>
              </w:rPr>
              <w:t>；</w:t>
            </w:r>
          </w:p>
          <w:p w14:paraId="3355AA73">
            <w:pPr>
              <w:pStyle w:val="17"/>
              <w:spacing w:line="360" w:lineRule="auto"/>
              <w:ind w:left="0" w:right="0" w:firstLine="480" w:firstLineChars="200"/>
              <w:rPr>
                <w:rFonts w:ascii="Times New Roman"/>
                <w:sz w:val="24"/>
                <w:szCs w:val="28"/>
              </w:rPr>
            </w:pPr>
            <w:r>
              <w:rPr>
                <w:rFonts w:ascii="Times New Roman"/>
                <w:sz w:val="24"/>
                <w:szCs w:val="28"/>
              </w:rPr>
              <w:t>B、必须有耐腐蚀的硬化地面和基础防渗层，地面无裂隙；设施底部必须高于地下水最高水位；</w:t>
            </w:r>
          </w:p>
          <w:p w14:paraId="02232B3A">
            <w:pPr>
              <w:pStyle w:val="17"/>
              <w:spacing w:line="360" w:lineRule="auto"/>
              <w:ind w:left="0" w:right="0" w:firstLine="480" w:firstLineChars="200"/>
              <w:rPr>
                <w:rFonts w:ascii="Times New Roman"/>
                <w:sz w:val="24"/>
                <w:szCs w:val="28"/>
              </w:rPr>
            </w:pPr>
            <w:r>
              <w:rPr>
                <w:rFonts w:ascii="Times New Roman"/>
                <w:sz w:val="24"/>
                <w:szCs w:val="28"/>
              </w:rPr>
              <w:t>C、要求必要的防风、防雨、防晒措施等。</w:t>
            </w:r>
          </w:p>
          <w:p w14:paraId="3BE36DC5">
            <w:pPr>
              <w:pStyle w:val="17"/>
              <w:spacing w:line="360" w:lineRule="auto"/>
              <w:ind w:left="0" w:right="0" w:firstLine="480" w:firstLineChars="200"/>
              <w:rPr>
                <w:rFonts w:ascii="Times New Roman"/>
                <w:sz w:val="24"/>
                <w:szCs w:val="28"/>
              </w:rPr>
            </w:pPr>
            <w:r>
              <w:rPr>
                <w:rFonts w:hint="eastAsia" w:ascii="宋体" w:hAnsi="宋体" w:cs="宋体"/>
                <w:sz w:val="24"/>
                <w:szCs w:val="28"/>
              </w:rPr>
              <w:t>④</w:t>
            </w:r>
            <w:r>
              <w:rPr>
                <w:rFonts w:ascii="Times New Roman"/>
                <w:sz w:val="24"/>
                <w:szCs w:val="28"/>
              </w:rPr>
              <w:t>危险废物</w:t>
            </w:r>
            <w:r>
              <w:rPr>
                <w:rFonts w:hint="eastAsia" w:ascii="Times New Roman"/>
                <w:sz w:val="24"/>
                <w:szCs w:val="28"/>
              </w:rPr>
              <w:t>转移的运行和管理</w:t>
            </w:r>
          </w:p>
          <w:p w14:paraId="3E52F2AD">
            <w:pPr>
              <w:pStyle w:val="17"/>
              <w:spacing w:line="360" w:lineRule="auto"/>
              <w:ind w:left="0" w:right="0" w:firstLine="480" w:firstLineChars="200"/>
              <w:rPr>
                <w:rFonts w:ascii="Times New Roman"/>
                <w:sz w:val="24"/>
                <w:szCs w:val="28"/>
              </w:rPr>
            </w:pPr>
            <w:r>
              <w:rPr>
                <w:rFonts w:hint="eastAsia" w:ascii="Times New Roman"/>
                <w:sz w:val="24"/>
                <w:szCs w:val="28"/>
              </w:rPr>
              <w:t>（1）危险废物的运输采取危险废物转移“电子联单”制度，保证运输安全，防止非法转移和非法处置，保证危险废物的安全监控，防止危险废物污染事故发生。“电子联单”应通过福建省固体废物环境监管平台申请电子联单，危险废物产生者及其它需要转移危险废物的单位在转移危险废物之前，须按照国家有关规定报批危险废物转移计划。经批准后，通过《信息系统》申请电子联单。</w:t>
            </w:r>
          </w:p>
          <w:p w14:paraId="20191835">
            <w:pPr>
              <w:pStyle w:val="17"/>
              <w:spacing w:line="360" w:lineRule="auto"/>
              <w:ind w:left="0" w:right="0" w:firstLine="480" w:firstLineChars="200"/>
              <w:rPr>
                <w:rFonts w:ascii="Times New Roman"/>
                <w:sz w:val="24"/>
                <w:szCs w:val="28"/>
              </w:rPr>
            </w:pPr>
            <w:r>
              <w:rPr>
                <w:rFonts w:hint="eastAsia" w:ascii="Times New Roman"/>
                <w:sz w:val="24"/>
                <w:szCs w:val="28"/>
              </w:rPr>
              <w:t>危险废物转移联单应当根据危险废物管理计划中填报的危险废物转移等备案信息填写、运行。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采用联运方式转移危险废物的，前一承运人和后一承运人应当明确运输交接的时间和地点。后一承运人应当核实危险废物转移联单确定的移出人信息、前一承运人信息及危险废物相关信息。</w:t>
            </w:r>
          </w:p>
          <w:p w14:paraId="09F84A8B">
            <w:pPr>
              <w:pStyle w:val="17"/>
              <w:spacing w:line="360" w:lineRule="auto"/>
              <w:ind w:left="0" w:right="0" w:firstLine="480" w:firstLineChars="200"/>
              <w:rPr>
                <w:rFonts w:ascii="Times New Roman"/>
                <w:sz w:val="24"/>
                <w:szCs w:val="28"/>
              </w:rPr>
            </w:pPr>
            <w:r>
              <w:rPr>
                <w:rFonts w:hint="eastAsia" w:ascii="Times New Roman"/>
                <w:sz w:val="24"/>
                <w:szCs w:val="28"/>
              </w:rPr>
              <w:t>（2）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14070FA6">
            <w:pPr>
              <w:pStyle w:val="17"/>
              <w:spacing w:line="360" w:lineRule="auto"/>
              <w:ind w:left="0" w:right="0" w:firstLine="480" w:firstLineChars="200"/>
              <w:rPr>
                <w:rFonts w:ascii="Times New Roman"/>
                <w:sz w:val="24"/>
                <w:szCs w:val="28"/>
              </w:rPr>
            </w:pPr>
            <w:r>
              <w:rPr>
                <w:rFonts w:hint="eastAsia" w:ascii="Times New Roman"/>
                <w:sz w:val="24"/>
                <w:szCs w:val="28"/>
              </w:rPr>
              <w:t>（3）对不通过车（船或者其他运输工具）</w:t>
            </w:r>
            <w:r>
              <w:rPr>
                <w:rFonts w:hint="eastAsia" w:ascii="Times New Roman"/>
                <w:sz w:val="24"/>
                <w:szCs w:val="28"/>
                <w:lang w:eastAsia="zh-CN"/>
              </w:rPr>
              <w:t>且</w:t>
            </w:r>
            <w:r>
              <w:rPr>
                <w:rFonts w:hint="eastAsia" w:ascii="Times New Roman"/>
                <w:sz w:val="24"/>
                <w:szCs w:val="28"/>
              </w:rPr>
              <w:t>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14:paraId="76FB2F9F">
            <w:pPr>
              <w:pStyle w:val="17"/>
              <w:spacing w:line="360" w:lineRule="auto"/>
              <w:ind w:left="0" w:right="0" w:firstLine="480" w:firstLineChars="200"/>
              <w:rPr>
                <w:rFonts w:ascii="Times New Roman"/>
                <w:sz w:val="24"/>
                <w:szCs w:val="28"/>
              </w:rPr>
            </w:pPr>
            <w:r>
              <w:rPr>
                <w:rFonts w:hint="eastAsia" w:ascii="Times New Roman"/>
                <w:sz w:val="24"/>
                <w:szCs w:val="28"/>
              </w:rPr>
              <w:t>（4）危险废物电子转移联单数据应当在信息系统中至少保存十年。因特殊原因无法运行危险废物电子转移联单的，可以先使用纸质转移联单，并于转移活动完成后十个工作日内在信息系统中补录电子转移联单。</w:t>
            </w:r>
          </w:p>
          <w:p w14:paraId="12BF1EDB">
            <w:pPr>
              <w:pStyle w:val="17"/>
              <w:spacing w:line="360" w:lineRule="auto"/>
              <w:ind w:left="0" w:right="0" w:firstLine="480" w:firstLineChars="200"/>
              <w:rPr>
                <w:rFonts w:ascii="Times New Roman"/>
                <w:sz w:val="24"/>
                <w:szCs w:val="28"/>
              </w:rPr>
            </w:pPr>
            <w:r>
              <w:rPr>
                <w:rFonts w:hint="eastAsia" w:ascii="Times New Roman"/>
                <w:sz w:val="24"/>
                <w:szCs w:val="28"/>
              </w:rPr>
              <w:t>（5）采用包装方式运输危险废物的，应当妥善包装，并按照国家有关标准在外包装上设置相应的识别标志。</w:t>
            </w:r>
          </w:p>
          <w:p w14:paraId="6867E9E3">
            <w:pPr>
              <w:pStyle w:val="7"/>
              <w:tabs>
                <w:tab w:val="left" w:pos="5400"/>
              </w:tabs>
              <w:spacing w:before="120"/>
            </w:pPr>
            <w:r>
              <w:t>4.6运营期</w:t>
            </w:r>
            <w:r>
              <w:rPr>
                <w:rFonts w:hint="eastAsia"/>
              </w:rPr>
              <w:t>土壤、地下水</w:t>
            </w:r>
            <w:r>
              <w:t>环境影响和保护措施</w:t>
            </w:r>
          </w:p>
          <w:p w14:paraId="0B283F7F">
            <w:pPr>
              <w:pStyle w:val="7"/>
              <w:tabs>
                <w:tab w:val="left" w:pos="5400"/>
              </w:tabs>
              <w:spacing w:before="120"/>
            </w:pPr>
            <w:r>
              <w:rPr>
                <w:rFonts w:hint="eastAsia"/>
              </w:rPr>
              <w:t>4.6.1环境影响途经</w:t>
            </w:r>
          </w:p>
          <w:p w14:paraId="3584F2B0">
            <w:pPr>
              <w:ind w:firstLine="480"/>
            </w:pPr>
            <w:r>
              <w:rPr>
                <w:rFonts w:hint="eastAsia"/>
              </w:rPr>
              <w:t>扩建项目对土壤、地下水污染途径主要为储罐中存储的MA、BDO、THF泄漏对地下水和土壤产生影响，扩建项目土壤、地下水污染途径详见表4.6-1。</w:t>
            </w:r>
          </w:p>
          <w:p w14:paraId="4C9AE7E4">
            <w:pPr>
              <w:adjustRightInd w:val="0"/>
              <w:snapToGrid w:val="0"/>
              <w:spacing w:line="240" w:lineRule="auto"/>
              <w:ind w:firstLine="0" w:firstLineChars="0"/>
              <w:jc w:val="center"/>
              <w:rPr>
                <w:b/>
                <w:szCs w:val="21"/>
              </w:rPr>
            </w:pPr>
            <w:r>
              <w:rPr>
                <w:rFonts w:hint="eastAsia"/>
                <w:b/>
                <w:szCs w:val="21"/>
              </w:rPr>
              <w:t>表4.6-1土壤、地下水环境影响源及影响因子识别表</w:t>
            </w:r>
          </w:p>
          <w:p w14:paraId="7A42EB32">
            <w:pPr>
              <w:ind w:firstLine="482"/>
              <w:jc w:val="center"/>
            </w:pPr>
            <w:r>
              <w:rPr>
                <w:rFonts w:hint="eastAsia"/>
                <w:b/>
              </w:rPr>
              <w:t>***（略，涉及商业秘密）</w:t>
            </w:r>
          </w:p>
          <w:p w14:paraId="17D8D715">
            <w:pPr>
              <w:pStyle w:val="8"/>
              <w:tabs>
                <w:tab w:val="left" w:pos="5400"/>
              </w:tabs>
              <w:spacing w:before="120"/>
              <w:rPr>
                <w:lang w:val="en-US" w:eastAsia="zh-CN"/>
              </w:rPr>
            </w:pPr>
            <w:r>
              <w:rPr>
                <w:lang w:val="en-US" w:eastAsia="zh-CN"/>
              </w:rPr>
              <w:t>4.6.</w:t>
            </w:r>
            <w:r>
              <w:rPr>
                <w:rFonts w:hint="eastAsia"/>
                <w:lang w:val="en-US" w:eastAsia="zh-CN"/>
              </w:rPr>
              <w:t>2地下水、土壤保护措施</w:t>
            </w:r>
          </w:p>
          <w:p w14:paraId="3E52F444">
            <w:pPr>
              <w:pStyle w:val="121"/>
              <w:numPr>
                <w:ilvl w:val="3"/>
                <w:numId w:val="0"/>
              </w:numPr>
              <w:adjustRightInd w:val="0"/>
              <w:snapToGrid w:val="0"/>
              <w:ind w:firstLine="480"/>
            </w:pPr>
            <w:r>
              <w:rPr>
                <w:rFonts w:hint="eastAsia"/>
              </w:rPr>
              <w:t>4.6.2.1</w:t>
            </w:r>
            <w:r>
              <w:t>分区防渗</w:t>
            </w:r>
          </w:p>
          <w:p w14:paraId="11B6EFED">
            <w:pPr>
              <w:pStyle w:val="117"/>
              <w:adjustRightInd w:val="0"/>
              <w:snapToGrid w:val="0"/>
              <w:ind w:firstLine="480"/>
              <w:rPr>
                <w:lang w:val="en-US" w:eastAsia="zh-CN"/>
              </w:rPr>
            </w:pPr>
            <w:r>
              <w:rPr>
                <w:lang w:val="en-US" w:eastAsia="zh-CN"/>
              </w:rPr>
              <w:t>（1）防渗区划分标准</w:t>
            </w:r>
          </w:p>
          <w:p w14:paraId="65BF9A78">
            <w:pPr>
              <w:pStyle w:val="117"/>
              <w:adjustRightInd w:val="0"/>
              <w:snapToGrid w:val="0"/>
              <w:ind w:firstLine="480"/>
              <w:rPr>
                <w:lang w:val="en-US" w:eastAsia="zh-CN"/>
              </w:rPr>
            </w:pPr>
            <w:r>
              <w:rPr>
                <w:rFonts w:hint="eastAsia"/>
                <w:lang w:val="en-US" w:eastAsia="zh-CN"/>
              </w:rPr>
              <w:t>扩建项目用地为现有用地红线范围内未开发的预留地，应</w:t>
            </w:r>
            <w:r>
              <w:rPr>
                <w:lang w:val="en-US" w:eastAsia="zh-CN"/>
              </w:rPr>
              <w:t>根据《石油化工工程防渗技术规范》</w:t>
            </w:r>
            <w:r>
              <w:rPr>
                <w:rFonts w:hint="eastAsia"/>
                <w:lang w:val="en-US" w:eastAsia="zh-CN"/>
              </w:rPr>
              <w:t>（</w:t>
            </w:r>
            <w:r>
              <w:rPr>
                <w:lang w:val="en-US" w:eastAsia="zh-CN"/>
              </w:rPr>
              <w:t>GB/T50934-2013</w:t>
            </w:r>
            <w:r>
              <w:rPr>
                <w:rFonts w:hint="eastAsia"/>
                <w:lang w:val="en-US" w:eastAsia="zh-CN"/>
              </w:rPr>
              <w:t>）</w:t>
            </w:r>
            <w:r>
              <w:rPr>
                <w:lang w:val="en-US" w:eastAsia="zh-CN"/>
              </w:rPr>
              <w:t>以及《环境影响评价技术导则-地下水环境》（HJ610-2016）</w:t>
            </w:r>
            <w:r>
              <w:rPr>
                <w:rFonts w:hint="eastAsia"/>
                <w:lang w:val="en-US" w:eastAsia="zh-CN"/>
              </w:rPr>
              <w:t>要求对扩建项目预留地</w:t>
            </w:r>
            <w:r>
              <w:rPr>
                <w:lang w:val="en-US" w:eastAsia="zh-CN"/>
              </w:rPr>
              <w:t>进行防渗区域划分</w:t>
            </w:r>
            <w:r>
              <w:rPr>
                <w:rFonts w:hint="eastAsia"/>
                <w:lang w:val="en-US" w:eastAsia="zh-CN"/>
              </w:rPr>
              <w:t>。将</w:t>
            </w:r>
            <w:r>
              <w:rPr>
                <w:lang w:val="en-US" w:eastAsia="zh-CN"/>
              </w:rPr>
              <w:t>场区各生产、生活功能单元可能产生污染的地区，划分为重点污染防治区、一般污染防治区和简单污染防治区。</w:t>
            </w:r>
          </w:p>
          <w:p w14:paraId="6310DB51">
            <w:pPr>
              <w:pStyle w:val="117"/>
              <w:adjustRightInd w:val="0"/>
              <w:snapToGrid w:val="0"/>
              <w:ind w:firstLine="480"/>
              <w:rPr>
                <w:lang w:val="en-US" w:eastAsia="zh-CN"/>
              </w:rPr>
            </w:pPr>
            <w:r>
              <w:rPr>
                <w:lang w:val="en-US" w:eastAsia="zh-CN"/>
              </w:rPr>
              <w:t>1）重点污染防治区：指对地下水环境有污染的物料或污染物泄漏后，不能及时发现或处理的区域或部位。例如处于地下或半地下的生产功能单元，包括埋地管道、地下容器、（半）地下污水池等区域或部位。这些区域或部位一旦出现设备腐蚀穿孔、地基不均匀沉降造成管道和罐基础地基变形等情况，就会发生物料和污染物泄漏，并渗入土壤，进入地下水，对地下水环境造成污染。此类工程隐蔽区内，一旦出现渗漏现象，又不容易被人发现，不容易得到及时</w:t>
            </w:r>
            <w:r>
              <w:rPr>
                <w:rFonts w:hint="eastAsia"/>
                <w:lang w:val="en-US" w:eastAsia="zh-CN"/>
              </w:rPr>
              <w:t>地</w:t>
            </w:r>
            <w:r>
              <w:rPr>
                <w:lang w:val="en-US" w:eastAsia="zh-CN"/>
              </w:rPr>
              <w:t>处理，因此，将此类隐蔽工程区域定位为重点污染防治区。</w:t>
            </w:r>
          </w:p>
          <w:p w14:paraId="62BC1C10">
            <w:pPr>
              <w:pStyle w:val="117"/>
              <w:adjustRightInd w:val="0"/>
              <w:snapToGrid w:val="0"/>
              <w:ind w:firstLine="480"/>
              <w:rPr>
                <w:lang w:val="en-US" w:eastAsia="zh-CN"/>
              </w:rPr>
            </w:pPr>
            <w:r>
              <w:rPr>
                <w:lang w:val="en-US" w:eastAsia="zh-CN"/>
              </w:rPr>
              <w:t>2）一般污染防治区：指对地下水环境有污染的物料或污染物泄漏后，不可及时发现或处理的区域或部位。例如裸露于地面之上的生产功能单元，包括架空设备、容器、管道，地面明沟等。这些设备、区域发生损坏，出现物料和污染物泄漏现象，可及时被人或仪器发现与报警，及时得到处理，即使物料和污染物泄漏出来，也首先落在地面上，在短时间内不会大量渗入土壤及地下水。</w:t>
            </w:r>
          </w:p>
          <w:p w14:paraId="4697E3EC">
            <w:pPr>
              <w:pStyle w:val="117"/>
              <w:adjustRightInd w:val="0"/>
              <w:snapToGrid w:val="0"/>
              <w:ind w:firstLine="480"/>
              <w:rPr>
                <w:lang w:val="en-US" w:eastAsia="zh-CN"/>
              </w:rPr>
            </w:pPr>
            <w:r>
              <w:rPr>
                <w:lang w:val="en-US" w:eastAsia="zh-CN"/>
              </w:rPr>
              <w:t>3）非污染防治区：指除污染防治区以外的区域。该区域没有物料或污染物泄漏，不会对地下水环境造成污染。如管理区、集中控制室等辅助区域，装置区以外的系统管廊区和雨水明沟等。本区可不采取专门针对地下水污染的防治措施，但装置区外系统管廊区地基处理应分层压实。</w:t>
            </w:r>
          </w:p>
          <w:p w14:paraId="0B44C1C1">
            <w:pPr>
              <w:pStyle w:val="117"/>
              <w:adjustRightInd w:val="0"/>
              <w:snapToGrid w:val="0"/>
              <w:ind w:firstLine="480"/>
              <w:rPr>
                <w:lang w:val="en-US" w:eastAsia="zh-CN"/>
              </w:rPr>
            </w:pPr>
            <w:r>
              <w:rPr>
                <w:lang w:val="en-US" w:eastAsia="zh-CN"/>
              </w:rPr>
              <w:t>（2）项目污染防治分区要求</w:t>
            </w:r>
          </w:p>
          <w:p w14:paraId="051567EA">
            <w:pPr>
              <w:pStyle w:val="117"/>
              <w:ind w:firstLine="480"/>
              <w:rPr>
                <w:lang w:val="en-US" w:eastAsia="zh-CN"/>
              </w:rPr>
            </w:pPr>
            <w:r>
              <w:rPr>
                <w:lang w:val="en-US" w:eastAsia="zh-CN"/>
              </w:rPr>
              <w:t>根据扩建项目的工程组成情况，项目污染分区防渗划分情况见</w:t>
            </w:r>
            <w:r>
              <w:rPr>
                <w:rFonts w:hint="eastAsia"/>
                <w:lang w:val="en-US" w:eastAsia="zh-CN"/>
              </w:rPr>
              <w:t>表4.6-2</w:t>
            </w:r>
            <w:r>
              <w:rPr>
                <w:lang w:val="en-US" w:eastAsia="zh-CN"/>
              </w:rPr>
              <w:t>。</w:t>
            </w:r>
          </w:p>
          <w:p w14:paraId="18217C05">
            <w:pPr>
              <w:adjustRightInd w:val="0"/>
              <w:snapToGrid w:val="0"/>
              <w:spacing w:line="240" w:lineRule="auto"/>
              <w:ind w:firstLine="0" w:firstLineChars="0"/>
              <w:jc w:val="center"/>
              <w:rPr>
                <w:b/>
                <w:szCs w:val="21"/>
              </w:rPr>
            </w:pPr>
            <w:bookmarkStart w:id="46" w:name="_Ref53999528"/>
            <w:r>
              <w:rPr>
                <w:b/>
                <w:szCs w:val="21"/>
              </w:rPr>
              <w:t>表</w:t>
            </w:r>
            <w:bookmarkEnd w:id="46"/>
            <w:r>
              <w:rPr>
                <w:rFonts w:hint="eastAsia"/>
                <w:b/>
                <w:szCs w:val="21"/>
              </w:rPr>
              <w:t>4.6-2扩建项目</w:t>
            </w:r>
            <w:r>
              <w:rPr>
                <w:b/>
                <w:szCs w:val="21"/>
              </w:rPr>
              <w:t>污染防治分区划分表</w:t>
            </w:r>
          </w:p>
          <w:p w14:paraId="64B320E7">
            <w:pPr>
              <w:ind w:firstLine="482"/>
              <w:jc w:val="center"/>
            </w:pPr>
            <w:r>
              <w:rPr>
                <w:rFonts w:hint="eastAsia"/>
                <w:b/>
              </w:rPr>
              <w:t>***（略，涉及商业秘密）</w:t>
            </w:r>
          </w:p>
          <w:p w14:paraId="643F66FE">
            <w:pPr>
              <w:pStyle w:val="121"/>
              <w:numPr>
                <w:ilvl w:val="3"/>
                <w:numId w:val="0"/>
              </w:numPr>
              <w:adjustRightInd w:val="0"/>
              <w:snapToGrid w:val="0"/>
              <w:ind w:firstLine="480"/>
            </w:pPr>
            <w:r>
              <w:t>4.6.2</w:t>
            </w:r>
            <w:r>
              <w:rPr>
                <w:rFonts w:hint="eastAsia"/>
              </w:rPr>
              <w:t>.2</w:t>
            </w:r>
            <w:r>
              <w:t>防渗技术要求</w:t>
            </w:r>
          </w:p>
          <w:p w14:paraId="47BA2C1A">
            <w:pPr>
              <w:pStyle w:val="117"/>
              <w:ind w:firstLine="480"/>
              <w:rPr>
                <w:lang w:val="en-US" w:eastAsia="zh-CN"/>
              </w:rPr>
            </w:pPr>
            <w:r>
              <w:rPr>
                <w:lang w:val="en-US" w:eastAsia="zh-CN"/>
              </w:rPr>
              <w:t>一般防渗区的防渗性能不应低于1.5m厚，渗透系数为1×10</w:t>
            </w:r>
            <w:r>
              <w:rPr>
                <w:vertAlign w:val="superscript"/>
                <w:lang w:val="en-US" w:eastAsia="zh-CN"/>
              </w:rPr>
              <w:t>-7</w:t>
            </w:r>
            <w:r>
              <w:rPr>
                <w:lang w:val="en-US" w:eastAsia="zh-CN"/>
              </w:rPr>
              <w:t>cm/s的黏土层的防渗性能。重点防渗区的防渗性能不应低于6.0m厚，渗透系数为1×10</w:t>
            </w:r>
            <w:r>
              <w:rPr>
                <w:vertAlign w:val="superscript"/>
                <w:lang w:val="en-US" w:eastAsia="zh-CN"/>
              </w:rPr>
              <w:t>-7</w:t>
            </w:r>
            <w:r>
              <w:rPr>
                <w:lang w:val="en-US" w:eastAsia="zh-CN"/>
              </w:rPr>
              <w:t>cm/s的黏土层的防渗性能。</w:t>
            </w:r>
          </w:p>
          <w:p w14:paraId="21AD18F5">
            <w:pPr>
              <w:pStyle w:val="121"/>
              <w:numPr>
                <w:ilvl w:val="3"/>
                <w:numId w:val="0"/>
              </w:numPr>
              <w:adjustRightInd w:val="0"/>
              <w:snapToGrid w:val="0"/>
              <w:ind w:firstLine="480"/>
            </w:pPr>
            <w:r>
              <w:t>4.6</w:t>
            </w:r>
            <w:r>
              <w:rPr>
                <w:rFonts w:hint="eastAsia"/>
              </w:rPr>
              <w:t>.2.3地下水监控</w:t>
            </w:r>
          </w:p>
          <w:p w14:paraId="6FADB1B9">
            <w:pPr>
              <w:pStyle w:val="117"/>
              <w:adjustRightInd w:val="0"/>
              <w:snapToGrid w:val="0"/>
              <w:ind w:firstLine="480"/>
              <w:rPr>
                <w:lang w:val="en-US" w:eastAsia="zh-CN"/>
              </w:rPr>
            </w:pPr>
            <w:r>
              <w:rPr>
                <w:lang w:val="en-US" w:eastAsia="zh-CN"/>
              </w:rPr>
              <w:t>为了防止污染物渗漏引进的地下水污染，采取以下防控措施：</w:t>
            </w:r>
          </w:p>
          <w:p w14:paraId="0E8DBAE8">
            <w:pPr>
              <w:pStyle w:val="117"/>
              <w:adjustRightInd w:val="0"/>
              <w:snapToGrid w:val="0"/>
              <w:ind w:firstLine="480"/>
              <w:rPr>
                <w:lang w:val="en-US" w:eastAsia="zh-CN"/>
              </w:rPr>
            </w:pPr>
            <w:r>
              <w:rPr>
                <w:lang w:val="en-US" w:eastAsia="zh-CN"/>
              </w:rPr>
              <w:t>（1）结合扩建项目所在区域的水文地质条件、厂区及周边的现有情况，</w:t>
            </w:r>
            <w:r>
              <w:rPr>
                <w:rFonts w:hint="eastAsia"/>
                <w:lang w:val="en-US" w:eastAsia="zh-CN"/>
              </w:rPr>
              <w:t>在码头罐区及其</w:t>
            </w:r>
            <w:r>
              <w:rPr>
                <w:lang w:val="en-US" w:eastAsia="zh-CN"/>
              </w:rPr>
              <w:t>上下游</w:t>
            </w:r>
            <w:r>
              <w:rPr>
                <w:rFonts w:hint="eastAsia"/>
                <w:lang w:val="en-US" w:eastAsia="zh-CN"/>
              </w:rPr>
              <w:t>新增3</w:t>
            </w:r>
            <w:r>
              <w:rPr>
                <w:lang w:val="en-US" w:eastAsia="zh-CN"/>
              </w:rPr>
              <w:t>个日常监控井</w:t>
            </w:r>
            <w:r>
              <w:rPr>
                <w:rFonts w:hint="eastAsia"/>
                <w:lang w:val="en-US" w:eastAsia="zh-CN"/>
              </w:rPr>
              <w:t>，</w:t>
            </w:r>
            <w:r>
              <w:rPr>
                <w:lang w:val="en-US" w:eastAsia="zh-CN"/>
              </w:rPr>
              <w:t>监测</w:t>
            </w:r>
            <w:r>
              <w:rPr>
                <w:rFonts w:hint="eastAsia"/>
                <w:lang w:val="en-US" w:eastAsia="zh-CN"/>
              </w:rPr>
              <w:t>因子和</w:t>
            </w:r>
            <w:r>
              <w:rPr>
                <w:rFonts w:hint="eastAsia"/>
              </w:rPr>
              <w:t>监测频次</w:t>
            </w:r>
            <w:r>
              <w:rPr>
                <w:rFonts w:hint="eastAsia"/>
                <w:lang w:eastAsia="zh-CN"/>
              </w:rPr>
              <w:t>应按</w:t>
            </w:r>
            <w:r>
              <w:t>《工业企业土壤和地下水自行监测技术指南（试行）》（HJ1209-2021）</w:t>
            </w:r>
            <w:r>
              <w:rPr>
                <w:rFonts w:hint="eastAsia"/>
                <w:lang w:eastAsia="zh-CN"/>
              </w:rPr>
              <w:t>要求开展</w:t>
            </w:r>
            <w:r>
              <w:rPr>
                <w:lang w:val="en-US" w:eastAsia="zh-CN"/>
              </w:rPr>
              <w:t>。当发生泄漏事故时，应加密监测。监测结果应按有关规定及时建立档案。发现污染和水质恶化时，要及时进行处理，开展系统调查，并上报相关部门。</w:t>
            </w:r>
          </w:p>
          <w:p w14:paraId="3B3140F4">
            <w:pPr>
              <w:pStyle w:val="117"/>
              <w:adjustRightInd w:val="0"/>
              <w:snapToGrid w:val="0"/>
              <w:ind w:firstLine="480"/>
              <w:rPr>
                <w:lang w:val="en-US" w:eastAsia="zh-CN"/>
              </w:rPr>
            </w:pPr>
            <w:r>
              <w:rPr>
                <w:lang w:val="en-US" w:eastAsia="zh-CN"/>
              </w:rPr>
              <w:t>（2）若发生污染突发泄漏事故对地下水造成污染时，可采取在现场去除污染物和在厂区地下水下游设置水力屏障，通过抽水井大强度抽出被污染的地下水，必要时应更换受污染的土壤，防止污染地下水向下游扩散。</w:t>
            </w:r>
          </w:p>
          <w:p w14:paraId="03F43A6B">
            <w:pPr>
              <w:ind w:firstLine="480"/>
            </w:pPr>
          </w:p>
        </w:tc>
      </w:tr>
    </w:tbl>
    <w:p w14:paraId="25D0D8A5">
      <w:pPr>
        <w:pStyle w:val="6"/>
        <w:spacing w:before="120" w:after="120"/>
        <w:sectPr>
          <w:footerReference r:id="rId39" w:type="default"/>
          <w:pgSz w:w="11905" w:h="16838"/>
          <w:pgMar w:top="1417" w:right="1417" w:bottom="1417" w:left="1417" w:header="851" w:footer="850" w:gutter="0"/>
          <w:cols w:space="720" w:num="1"/>
          <w:docGrid w:linePitch="312" w:charSpace="0"/>
        </w:sectPr>
      </w:pPr>
    </w:p>
    <w:p w14:paraId="33D15F16">
      <w:pPr>
        <w:pStyle w:val="6"/>
        <w:spacing w:before="120" w:beforeAutospacing="0"/>
      </w:pPr>
      <w:r>
        <w:t>五、</w:t>
      </w:r>
      <w:bookmarkStart w:id="47" w:name="_Hlk54167917"/>
      <w:r>
        <w:t>环境保护措施监督检查清单</w:t>
      </w:r>
      <w:bookmarkEnd w:id="47"/>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9"/>
        <w:gridCol w:w="1482"/>
        <w:gridCol w:w="1280"/>
        <w:gridCol w:w="1272"/>
        <w:gridCol w:w="2271"/>
        <w:gridCol w:w="2293"/>
      </w:tblGrid>
      <w:tr w14:paraId="32FA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596AF8ED">
            <w:pPr>
              <w:pStyle w:val="71"/>
              <w:rPr>
                <w:kern w:val="2"/>
                <w:szCs w:val="24"/>
                <w:lang w:val="en-US" w:eastAsia="zh-CN"/>
              </w:rPr>
            </w:pPr>
            <w:r>
              <w:rPr>
                <w:kern w:val="2"/>
                <w:szCs w:val="24"/>
                <w:lang w:val="en-US" w:eastAsia="zh-CN"/>
              </w:rPr>
              <w:t>内容</w:t>
            </w:r>
          </w:p>
          <w:p w14:paraId="17D79E6C">
            <w:pPr>
              <w:pStyle w:val="71"/>
              <w:rPr>
                <w:kern w:val="2"/>
                <w:szCs w:val="24"/>
                <w:lang w:val="en-US" w:eastAsia="zh-CN"/>
              </w:rPr>
            </w:pPr>
            <w:r>
              <w:rPr>
                <w:kern w:val="2"/>
                <w:szCs w:val="24"/>
                <w:lang w:val="en-US" w:eastAsia="zh-CN"/>
              </w:rPr>
              <w:t>要素</w:t>
            </w:r>
          </w:p>
        </w:tc>
        <w:tc>
          <w:tcPr>
            <w:tcW w:w="1513" w:type="pct"/>
            <w:gridSpan w:val="2"/>
            <w:vAlign w:val="center"/>
          </w:tcPr>
          <w:p w14:paraId="7968152F">
            <w:pPr>
              <w:pStyle w:val="71"/>
              <w:rPr>
                <w:kern w:val="2"/>
                <w:szCs w:val="24"/>
                <w:lang w:val="en-US" w:eastAsia="zh-CN"/>
              </w:rPr>
            </w:pPr>
            <w:r>
              <w:rPr>
                <w:kern w:val="2"/>
                <w:szCs w:val="24"/>
                <w:lang w:val="en-US" w:eastAsia="zh-CN"/>
              </w:rPr>
              <w:t>排放口（编号、名称）/污染源</w:t>
            </w:r>
          </w:p>
        </w:tc>
        <w:tc>
          <w:tcPr>
            <w:tcW w:w="697" w:type="pct"/>
            <w:vAlign w:val="center"/>
          </w:tcPr>
          <w:p w14:paraId="5F1DA176">
            <w:pPr>
              <w:pStyle w:val="71"/>
              <w:rPr>
                <w:kern w:val="2"/>
                <w:szCs w:val="24"/>
                <w:lang w:val="en-US" w:eastAsia="zh-CN"/>
              </w:rPr>
            </w:pPr>
            <w:r>
              <w:rPr>
                <w:kern w:val="2"/>
                <w:szCs w:val="24"/>
                <w:lang w:val="en-US" w:eastAsia="zh-CN"/>
              </w:rPr>
              <w:t>污染物项目</w:t>
            </w:r>
          </w:p>
        </w:tc>
        <w:tc>
          <w:tcPr>
            <w:tcW w:w="1244" w:type="pct"/>
            <w:vAlign w:val="center"/>
          </w:tcPr>
          <w:p w14:paraId="7DFBB0C5">
            <w:pPr>
              <w:pStyle w:val="71"/>
              <w:rPr>
                <w:kern w:val="2"/>
                <w:szCs w:val="24"/>
                <w:lang w:val="en-US" w:eastAsia="zh-CN"/>
              </w:rPr>
            </w:pPr>
            <w:r>
              <w:rPr>
                <w:kern w:val="2"/>
                <w:szCs w:val="24"/>
                <w:lang w:val="en-US" w:eastAsia="zh-CN"/>
              </w:rPr>
              <w:t>环境保护措施</w:t>
            </w:r>
          </w:p>
        </w:tc>
        <w:tc>
          <w:tcPr>
            <w:tcW w:w="1256" w:type="pct"/>
            <w:vAlign w:val="center"/>
          </w:tcPr>
          <w:p w14:paraId="120FAC8E">
            <w:pPr>
              <w:pStyle w:val="71"/>
              <w:rPr>
                <w:kern w:val="2"/>
                <w:szCs w:val="24"/>
                <w:lang w:val="en-US" w:eastAsia="zh-CN"/>
              </w:rPr>
            </w:pPr>
            <w:r>
              <w:rPr>
                <w:kern w:val="2"/>
                <w:szCs w:val="24"/>
                <w:lang w:val="en-US" w:eastAsia="zh-CN"/>
              </w:rPr>
              <w:t>执行标准</w:t>
            </w:r>
          </w:p>
        </w:tc>
      </w:tr>
      <w:tr w14:paraId="1711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Merge w:val="restart"/>
            <w:vAlign w:val="center"/>
          </w:tcPr>
          <w:p w14:paraId="2A90FF85">
            <w:pPr>
              <w:pStyle w:val="71"/>
              <w:rPr>
                <w:kern w:val="2"/>
                <w:szCs w:val="24"/>
                <w:lang w:val="en-US" w:eastAsia="zh-CN"/>
              </w:rPr>
            </w:pPr>
            <w:r>
              <w:rPr>
                <w:kern w:val="2"/>
                <w:szCs w:val="24"/>
                <w:lang w:val="en-US" w:eastAsia="zh-CN"/>
              </w:rPr>
              <w:t>大气环境</w:t>
            </w:r>
          </w:p>
        </w:tc>
        <w:tc>
          <w:tcPr>
            <w:tcW w:w="812" w:type="pct"/>
            <w:vMerge w:val="restart"/>
            <w:vAlign w:val="center"/>
          </w:tcPr>
          <w:p w14:paraId="7C052BE0">
            <w:pPr>
              <w:pBdr>
                <w:top w:val="none" w:color="auto" w:sz="0" w:space="1"/>
                <w:left w:val="dashed" w:color="FFFFFF" w:sz="4" w:space="4"/>
                <w:bottom w:val="none" w:color="auto" w:sz="0" w:space="1"/>
                <w:right w:val="dashed" w:color="FFFFFF" w:sz="4" w:space="4"/>
              </w:pBdr>
              <w:adjustRightInd w:val="0"/>
              <w:snapToGrid w:val="0"/>
              <w:spacing w:line="240" w:lineRule="auto"/>
              <w:ind w:firstLine="0" w:firstLineChars="0"/>
              <w:jc w:val="center"/>
              <w:rPr>
                <w:sz w:val="21"/>
                <w:szCs w:val="21"/>
              </w:rPr>
            </w:pPr>
            <w:r>
              <w:rPr>
                <w:rFonts w:hint="eastAsia"/>
                <w:sz w:val="21"/>
                <w:szCs w:val="21"/>
              </w:rPr>
              <w:t>MA/BDO废气处理设施</w:t>
            </w:r>
          </w:p>
        </w:tc>
        <w:tc>
          <w:tcPr>
            <w:tcW w:w="700" w:type="pct"/>
            <w:vMerge w:val="restart"/>
            <w:vAlign w:val="center"/>
          </w:tcPr>
          <w:p w14:paraId="3903BC26">
            <w:pPr>
              <w:adjustRightInd w:val="0"/>
              <w:snapToGrid w:val="0"/>
              <w:spacing w:line="240" w:lineRule="auto"/>
              <w:ind w:firstLine="0" w:firstLineChars="0"/>
              <w:jc w:val="center"/>
              <w:rPr>
                <w:sz w:val="21"/>
                <w:szCs w:val="21"/>
              </w:rPr>
            </w:pPr>
            <w:r>
              <w:rPr>
                <w:sz w:val="21"/>
                <w:szCs w:val="21"/>
              </w:rPr>
              <w:t>DA001排气筒</w:t>
            </w:r>
          </w:p>
        </w:tc>
        <w:tc>
          <w:tcPr>
            <w:tcW w:w="697" w:type="pct"/>
            <w:vAlign w:val="center"/>
          </w:tcPr>
          <w:p w14:paraId="76D04BDD">
            <w:pPr>
              <w:adjustRightInd w:val="0"/>
              <w:snapToGrid w:val="0"/>
              <w:spacing w:line="240" w:lineRule="auto"/>
              <w:ind w:firstLine="0" w:firstLineChars="0"/>
              <w:rPr>
                <w:sz w:val="21"/>
                <w:szCs w:val="21"/>
              </w:rPr>
            </w:pPr>
            <w:r>
              <w:rPr>
                <w:rFonts w:hint="eastAsia"/>
                <w:sz w:val="21"/>
                <w:szCs w:val="21"/>
              </w:rPr>
              <w:t>MA、非甲烷总烃</w:t>
            </w:r>
          </w:p>
        </w:tc>
        <w:tc>
          <w:tcPr>
            <w:tcW w:w="1244" w:type="pct"/>
            <w:vMerge w:val="restart"/>
            <w:vAlign w:val="center"/>
          </w:tcPr>
          <w:p w14:paraId="40678893">
            <w:pPr>
              <w:adjustRightInd w:val="0"/>
              <w:snapToGrid w:val="0"/>
              <w:spacing w:line="240" w:lineRule="auto"/>
              <w:ind w:firstLine="0" w:firstLineChars="0"/>
              <w:jc w:val="center"/>
              <w:rPr>
                <w:sz w:val="21"/>
                <w:szCs w:val="21"/>
              </w:rPr>
            </w:pPr>
            <w:r>
              <w:rPr>
                <w:sz w:val="21"/>
                <w:szCs w:val="21"/>
              </w:rPr>
              <w:t>水洗塔+碱洗塔+活性炭吸附+15m排气筒</w:t>
            </w:r>
            <w:r>
              <w:rPr>
                <w:rFonts w:hint="eastAsia"/>
                <w:sz w:val="21"/>
                <w:szCs w:val="21"/>
              </w:rPr>
              <w:t>（DA001）</w:t>
            </w:r>
          </w:p>
        </w:tc>
        <w:tc>
          <w:tcPr>
            <w:tcW w:w="1256" w:type="pct"/>
            <w:vMerge w:val="restart"/>
            <w:vAlign w:val="center"/>
          </w:tcPr>
          <w:p w14:paraId="4FE79969">
            <w:pPr>
              <w:adjustRightInd w:val="0"/>
              <w:snapToGrid w:val="0"/>
              <w:spacing w:line="240" w:lineRule="auto"/>
              <w:ind w:firstLine="0" w:firstLineChars="0"/>
              <w:jc w:val="center"/>
              <w:rPr>
                <w:sz w:val="21"/>
                <w:szCs w:val="21"/>
              </w:rPr>
            </w:pPr>
            <w:r>
              <w:rPr>
                <w:sz w:val="21"/>
                <w:szCs w:val="21"/>
              </w:rPr>
              <w:t>顺酐</w:t>
            </w:r>
            <w:r>
              <w:rPr>
                <w:rFonts w:hint="eastAsia"/>
                <w:sz w:val="21"/>
                <w:szCs w:val="21"/>
              </w:rPr>
              <w:t>（MA）</w:t>
            </w:r>
            <w:r>
              <w:rPr>
                <w:sz w:val="21"/>
                <w:szCs w:val="21"/>
              </w:rPr>
              <w:t>、四氢呋喃（THF）废气排放执行《石油化学工业污染物排放标准》（GB31571-2015）及其修改单表6</w:t>
            </w:r>
            <w:r>
              <w:rPr>
                <w:rFonts w:hint="eastAsia"/>
                <w:sz w:val="21"/>
                <w:szCs w:val="21"/>
              </w:rPr>
              <w:t>中</w:t>
            </w:r>
            <w:r>
              <w:rPr>
                <w:sz w:val="21"/>
                <w:szCs w:val="21"/>
              </w:rPr>
              <w:t>的标准。</w:t>
            </w:r>
            <w:r>
              <w:rPr>
                <w:rFonts w:hint="eastAsia"/>
                <w:sz w:val="21"/>
                <w:szCs w:val="21"/>
              </w:rPr>
              <w:t>非</w:t>
            </w:r>
            <w:r>
              <w:rPr>
                <w:sz w:val="21"/>
                <w:szCs w:val="21"/>
              </w:rPr>
              <w:t>甲烷</w:t>
            </w:r>
            <w:r>
              <w:rPr>
                <w:rFonts w:hint="eastAsia"/>
                <w:sz w:val="21"/>
                <w:szCs w:val="21"/>
              </w:rPr>
              <w:t>总</w:t>
            </w:r>
            <w:r>
              <w:rPr>
                <w:sz w:val="21"/>
                <w:szCs w:val="21"/>
              </w:rPr>
              <w:t>烃排放</w:t>
            </w:r>
            <w:r>
              <w:rPr>
                <w:rFonts w:hint="eastAsia"/>
                <w:sz w:val="21"/>
                <w:szCs w:val="21"/>
              </w:rPr>
              <w:t>参</w:t>
            </w:r>
            <w:r>
              <w:rPr>
                <w:sz w:val="21"/>
                <w:szCs w:val="21"/>
              </w:rPr>
              <w:t>照</w:t>
            </w:r>
            <w:r>
              <w:rPr>
                <w:rFonts w:hint="eastAsia"/>
                <w:sz w:val="21"/>
                <w:szCs w:val="21"/>
              </w:rPr>
              <w:t>执行</w:t>
            </w:r>
            <w:r>
              <w:rPr>
                <w:sz w:val="21"/>
                <w:szCs w:val="21"/>
              </w:rPr>
              <w:t>《</w:t>
            </w:r>
            <w:r>
              <w:rPr>
                <w:rFonts w:hint="eastAsia"/>
                <w:sz w:val="21"/>
                <w:szCs w:val="21"/>
              </w:rPr>
              <w:t>工业企业挥发性有机物排放标准》（DB35/1782-2018）表1中排放限值，1,4-丁二醇（BDO）排</w:t>
            </w:r>
            <w:r>
              <w:rPr>
                <w:sz w:val="21"/>
                <w:szCs w:val="21"/>
              </w:rPr>
              <w:t>放浓度</w:t>
            </w:r>
            <w:r>
              <w:rPr>
                <w:rFonts w:hint="eastAsia"/>
                <w:sz w:val="21"/>
                <w:szCs w:val="21"/>
              </w:rPr>
              <w:t>参</w:t>
            </w:r>
            <w:r>
              <w:rPr>
                <w:sz w:val="21"/>
                <w:szCs w:val="21"/>
              </w:rPr>
              <w:t>照非甲烷总烃</w:t>
            </w:r>
            <w:r>
              <w:rPr>
                <w:rFonts w:hint="eastAsia"/>
                <w:sz w:val="21"/>
                <w:szCs w:val="21"/>
              </w:rPr>
              <w:t>排放标准。</w:t>
            </w:r>
          </w:p>
        </w:tc>
      </w:tr>
      <w:tr w14:paraId="219D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Merge w:val="continue"/>
            <w:vAlign w:val="center"/>
          </w:tcPr>
          <w:p w14:paraId="42F5C769">
            <w:pPr>
              <w:pStyle w:val="71"/>
              <w:rPr>
                <w:kern w:val="2"/>
                <w:szCs w:val="24"/>
                <w:lang w:val="en-US" w:eastAsia="zh-CN"/>
              </w:rPr>
            </w:pPr>
          </w:p>
        </w:tc>
        <w:tc>
          <w:tcPr>
            <w:tcW w:w="812" w:type="pct"/>
            <w:vMerge w:val="continue"/>
            <w:vAlign w:val="center"/>
          </w:tcPr>
          <w:p w14:paraId="6F6B5DB7">
            <w:pPr>
              <w:adjustRightInd w:val="0"/>
              <w:snapToGrid w:val="0"/>
              <w:spacing w:line="240" w:lineRule="auto"/>
              <w:ind w:firstLine="0" w:firstLineChars="0"/>
              <w:jc w:val="center"/>
              <w:rPr>
                <w:sz w:val="21"/>
                <w:szCs w:val="21"/>
              </w:rPr>
            </w:pPr>
          </w:p>
        </w:tc>
        <w:tc>
          <w:tcPr>
            <w:tcW w:w="700" w:type="pct"/>
            <w:vMerge w:val="continue"/>
            <w:vAlign w:val="center"/>
          </w:tcPr>
          <w:p w14:paraId="43CCBC8F">
            <w:pPr>
              <w:adjustRightInd w:val="0"/>
              <w:snapToGrid w:val="0"/>
              <w:spacing w:line="240" w:lineRule="auto"/>
              <w:ind w:firstLine="0" w:firstLineChars="0"/>
              <w:jc w:val="center"/>
              <w:rPr>
                <w:sz w:val="21"/>
                <w:szCs w:val="21"/>
              </w:rPr>
            </w:pPr>
          </w:p>
        </w:tc>
        <w:tc>
          <w:tcPr>
            <w:tcW w:w="697" w:type="pct"/>
            <w:vAlign w:val="center"/>
          </w:tcPr>
          <w:p w14:paraId="7515C5FD">
            <w:pPr>
              <w:adjustRightInd w:val="0"/>
              <w:snapToGrid w:val="0"/>
              <w:spacing w:line="240" w:lineRule="auto"/>
              <w:ind w:firstLine="0" w:firstLineChars="0"/>
              <w:jc w:val="center"/>
              <w:rPr>
                <w:sz w:val="21"/>
                <w:szCs w:val="21"/>
              </w:rPr>
            </w:pPr>
            <w:r>
              <w:rPr>
                <w:rFonts w:hint="eastAsia"/>
                <w:sz w:val="21"/>
                <w:szCs w:val="21"/>
              </w:rPr>
              <w:t>BDO、非甲烷总烃</w:t>
            </w:r>
          </w:p>
        </w:tc>
        <w:tc>
          <w:tcPr>
            <w:tcW w:w="1244" w:type="pct"/>
            <w:vMerge w:val="continue"/>
            <w:vAlign w:val="center"/>
          </w:tcPr>
          <w:p w14:paraId="6D6B245A">
            <w:pPr>
              <w:adjustRightInd w:val="0"/>
              <w:snapToGrid w:val="0"/>
              <w:spacing w:line="240" w:lineRule="auto"/>
              <w:ind w:firstLine="0" w:firstLineChars="0"/>
              <w:jc w:val="center"/>
              <w:rPr>
                <w:sz w:val="21"/>
                <w:szCs w:val="21"/>
              </w:rPr>
            </w:pPr>
          </w:p>
        </w:tc>
        <w:tc>
          <w:tcPr>
            <w:tcW w:w="1256" w:type="pct"/>
            <w:vMerge w:val="continue"/>
            <w:vAlign w:val="center"/>
          </w:tcPr>
          <w:p w14:paraId="28EBCEE9">
            <w:pPr>
              <w:pStyle w:val="117"/>
              <w:ind w:firstLine="420"/>
              <w:rPr>
                <w:sz w:val="21"/>
                <w:szCs w:val="18"/>
                <w:lang w:val="en-US" w:eastAsia="zh-CN"/>
              </w:rPr>
            </w:pPr>
          </w:p>
        </w:tc>
      </w:tr>
      <w:tr w14:paraId="5476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Merge w:val="continue"/>
            <w:vAlign w:val="center"/>
          </w:tcPr>
          <w:p w14:paraId="0378939C">
            <w:pPr>
              <w:pStyle w:val="71"/>
              <w:rPr>
                <w:kern w:val="2"/>
                <w:szCs w:val="24"/>
                <w:lang w:val="en-US" w:eastAsia="zh-CN"/>
              </w:rPr>
            </w:pPr>
          </w:p>
        </w:tc>
        <w:tc>
          <w:tcPr>
            <w:tcW w:w="812" w:type="pct"/>
            <w:vAlign w:val="center"/>
          </w:tcPr>
          <w:p w14:paraId="3EAF6C92">
            <w:pPr>
              <w:pBdr>
                <w:top w:val="none" w:color="auto" w:sz="0" w:space="1"/>
                <w:left w:val="dashed" w:color="FFFFFF" w:sz="4" w:space="4"/>
                <w:bottom w:val="none" w:color="auto" w:sz="0" w:space="1"/>
                <w:right w:val="dashed" w:color="FFFFFF" w:sz="4" w:space="4"/>
              </w:pBdr>
              <w:adjustRightInd w:val="0"/>
              <w:snapToGrid w:val="0"/>
              <w:spacing w:line="240" w:lineRule="auto"/>
              <w:ind w:firstLine="0" w:firstLineChars="0"/>
              <w:jc w:val="center"/>
              <w:rPr>
                <w:sz w:val="21"/>
                <w:szCs w:val="21"/>
              </w:rPr>
            </w:pPr>
            <w:r>
              <w:rPr>
                <w:rFonts w:hint="eastAsia"/>
                <w:sz w:val="21"/>
                <w:szCs w:val="21"/>
              </w:rPr>
              <w:t>THF</w:t>
            </w:r>
            <w:r>
              <w:rPr>
                <w:sz w:val="21"/>
                <w:szCs w:val="21"/>
              </w:rPr>
              <w:t>油气回收系统</w:t>
            </w:r>
          </w:p>
        </w:tc>
        <w:tc>
          <w:tcPr>
            <w:tcW w:w="700" w:type="pct"/>
            <w:vMerge w:val="continue"/>
            <w:vAlign w:val="center"/>
          </w:tcPr>
          <w:p w14:paraId="40FD8E39">
            <w:pPr>
              <w:adjustRightInd w:val="0"/>
              <w:snapToGrid w:val="0"/>
              <w:spacing w:line="240" w:lineRule="auto"/>
              <w:ind w:firstLine="0" w:firstLineChars="0"/>
              <w:jc w:val="center"/>
              <w:rPr>
                <w:sz w:val="21"/>
                <w:szCs w:val="21"/>
              </w:rPr>
            </w:pPr>
          </w:p>
        </w:tc>
        <w:tc>
          <w:tcPr>
            <w:tcW w:w="697" w:type="pct"/>
            <w:vAlign w:val="center"/>
          </w:tcPr>
          <w:p w14:paraId="032BFD3B">
            <w:pPr>
              <w:adjustRightInd w:val="0"/>
              <w:snapToGrid w:val="0"/>
              <w:spacing w:line="240" w:lineRule="auto"/>
              <w:ind w:firstLine="0" w:firstLineChars="0"/>
              <w:jc w:val="center"/>
              <w:rPr>
                <w:sz w:val="21"/>
                <w:szCs w:val="21"/>
              </w:rPr>
            </w:pPr>
            <w:r>
              <w:rPr>
                <w:rFonts w:hint="eastAsia"/>
                <w:sz w:val="21"/>
                <w:szCs w:val="21"/>
              </w:rPr>
              <w:t>非甲烷总烃</w:t>
            </w:r>
          </w:p>
        </w:tc>
        <w:tc>
          <w:tcPr>
            <w:tcW w:w="1244" w:type="pct"/>
            <w:vAlign w:val="center"/>
          </w:tcPr>
          <w:p w14:paraId="5816D60B">
            <w:pPr>
              <w:adjustRightInd w:val="0"/>
              <w:snapToGrid w:val="0"/>
              <w:spacing w:line="240" w:lineRule="auto"/>
              <w:ind w:firstLine="0" w:firstLineChars="0"/>
              <w:jc w:val="center"/>
              <w:rPr>
                <w:sz w:val="21"/>
                <w:szCs w:val="21"/>
              </w:rPr>
            </w:pPr>
            <w:r>
              <w:rPr>
                <w:sz w:val="21"/>
                <w:szCs w:val="21"/>
              </w:rPr>
              <w:t>油气回收系统（三级深冷回收+硅胶吸附）</w:t>
            </w:r>
            <w:r>
              <w:rPr>
                <w:rFonts w:hint="eastAsia"/>
                <w:sz w:val="21"/>
                <w:szCs w:val="21"/>
              </w:rPr>
              <w:t>+15m排气筒（DA001）</w:t>
            </w:r>
          </w:p>
        </w:tc>
        <w:tc>
          <w:tcPr>
            <w:tcW w:w="1256" w:type="pct"/>
            <w:vMerge w:val="continue"/>
            <w:vAlign w:val="center"/>
          </w:tcPr>
          <w:p w14:paraId="74337CFC">
            <w:pPr>
              <w:pStyle w:val="117"/>
              <w:ind w:firstLine="420"/>
              <w:rPr>
                <w:sz w:val="21"/>
                <w:szCs w:val="18"/>
                <w:lang w:val="en-US" w:eastAsia="zh-CN"/>
              </w:rPr>
            </w:pPr>
          </w:p>
        </w:tc>
      </w:tr>
      <w:tr w14:paraId="114A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Merge w:val="continue"/>
            <w:vAlign w:val="center"/>
          </w:tcPr>
          <w:p w14:paraId="2CBA7E2E">
            <w:pPr>
              <w:pStyle w:val="71"/>
              <w:rPr>
                <w:kern w:val="2"/>
                <w:szCs w:val="24"/>
                <w:lang w:val="en-US" w:eastAsia="zh-CN"/>
              </w:rPr>
            </w:pPr>
          </w:p>
        </w:tc>
        <w:tc>
          <w:tcPr>
            <w:tcW w:w="812" w:type="pct"/>
            <w:vAlign w:val="center"/>
          </w:tcPr>
          <w:p w14:paraId="51C819DF">
            <w:pPr>
              <w:pBdr>
                <w:top w:val="none" w:color="auto" w:sz="0" w:space="1"/>
                <w:left w:val="dashed" w:color="FFFFFF" w:sz="4" w:space="4"/>
                <w:bottom w:val="none" w:color="auto" w:sz="0" w:space="1"/>
                <w:right w:val="dashed" w:color="FFFFFF" w:sz="4" w:space="4"/>
              </w:pBdr>
              <w:adjustRightInd w:val="0"/>
              <w:snapToGrid w:val="0"/>
              <w:spacing w:line="240" w:lineRule="auto"/>
              <w:ind w:firstLine="0" w:firstLineChars="0"/>
              <w:jc w:val="center"/>
              <w:rPr>
                <w:sz w:val="21"/>
                <w:szCs w:val="21"/>
              </w:rPr>
            </w:pPr>
            <w:r>
              <w:rPr>
                <w:rFonts w:hint="eastAsia"/>
                <w:sz w:val="21"/>
                <w:szCs w:val="21"/>
              </w:rPr>
              <w:t>危废贮存库</w:t>
            </w:r>
            <w:r>
              <w:rPr>
                <w:sz w:val="21"/>
                <w:szCs w:val="21"/>
              </w:rPr>
              <w:t>活性炭吸附</w:t>
            </w:r>
            <w:r>
              <w:rPr>
                <w:rFonts w:hint="eastAsia"/>
                <w:sz w:val="21"/>
                <w:szCs w:val="21"/>
              </w:rPr>
              <w:t>设施</w:t>
            </w:r>
          </w:p>
        </w:tc>
        <w:tc>
          <w:tcPr>
            <w:tcW w:w="700" w:type="pct"/>
            <w:vAlign w:val="center"/>
          </w:tcPr>
          <w:p w14:paraId="61853DE5">
            <w:pPr>
              <w:adjustRightInd w:val="0"/>
              <w:snapToGrid w:val="0"/>
              <w:spacing w:line="240" w:lineRule="auto"/>
              <w:ind w:firstLine="0" w:firstLineChars="0"/>
              <w:jc w:val="center"/>
              <w:rPr>
                <w:sz w:val="21"/>
                <w:szCs w:val="18"/>
              </w:rPr>
            </w:pPr>
            <w:r>
              <w:rPr>
                <w:rFonts w:hint="eastAsia"/>
                <w:sz w:val="21"/>
                <w:szCs w:val="18"/>
              </w:rPr>
              <w:t>DA002</w:t>
            </w:r>
            <w:r>
              <w:rPr>
                <w:sz w:val="21"/>
                <w:szCs w:val="21"/>
              </w:rPr>
              <w:t>排气筒</w:t>
            </w:r>
          </w:p>
        </w:tc>
        <w:tc>
          <w:tcPr>
            <w:tcW w:w="697" w:type="pct"/>
            <w:vAlign w:val="center"/>
          </w:tcPr>
          <w:p w14:paraId="31BFE166">
            <w:pPr>
              <w:adjustRightInd w:val="0"/>
              <w:snapToGrid w:val="0"/>
              <w:spacing w:line="240" w:lineRule="auto"/>
              <w:ind w:firstLine="0" w:firstLineChars="0"/>
              <w:jc w:val="center"/>
              <w:rPr>
                <w:sz w:val="21"/>
                <w:szCs w:val="18"/>
              </w:rPr>
            </w:pPr>
            <w:r>
              <w:rPr>
                <w:rFonts w:hint="eastAsia"/>
                <w:sz w:val="21"/>
                <w:szCs w:val="18"/>
              </w:rPr>
              <w:t>非甲烷总烃</w:t>
            </w:r>
          </w:p>
        </w:tc>
        <w:tc>
          <w:tcPr>
            <w:tcW w:w="1244" w:type="pct"/>
            <w:vAlign w:val="center"/>
          </w:tcPr>
          <w:p w14:paraId="12E394B5">
            <w:pPr>
              <w:adjustRightInd w:val="0"/>
              <w:snapToGrid w:val="0"/>
              <w:spacing w:line="240" w:lineRule="auto"/>
              <w:ind w:firstLine="0" w:firstLineChars="0"/>
              <w:jc w:val="center"/>
              <w:rPr>
                <w:sz w:val="21"/>
                <w:szCs w:val="18"/>
              </w:rPr>
            </w:pPr>
            <w:r>
              <w:rPr>
                <w:rFonts w:hint="eastAsia"/>
                <w:sz w:val="21"/>
                <w:szCs w:val="18"/>
              </w:rPr>
              <w:t>二级活性炭吸附装置+15m排气筒（DA002）</w:t>
            </w:r>
          </w:p>
        </w:tc>
        <w:tc>
          <w:tcPr>
            <w:tcW w:w="1256" w:type="pct"/>
            <w:vMerge w:val="continue"/>
            <w:vAlign w:val="center"/>
          </w:tcPr>
          <w:p w14:paraId="1C1C401C">
            <w:pPr>
              <w:adjustRightInd w:val="0"/>
              <w:snapToGrid w:val="0"/>
              <w:spacing w:line="240" w:lineRule="auto"/>
              <w:ind w:firstLine="0" w:firstLineChars="0"/>
              <w:jc w:val="center"/>
              <w:rPr>
                <w:sz w:val="21"/>
                <w:szCs w:val="18"/>
              </w:rPr>
            </w:pPr>
          </w:p>
        </w:tc>
      </w:tr>
      <w:tr w14:paraId="115F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Merge w:val="continue"/>
            <w:vAlign w:val="center"/>
          </w:tcPr>
          <w:p w14:paraId="5A919853">
            <w:pPr>
              <w:pStyle w:val="71"/>
              <w:rPr>
                <w:kern w:val="2"/>
                <w:szCs w:val="24"/>
                <w:lang w:val="en-US" w:eastAsia="zh-CN"/>
              </w:rPr>
            </w:pPr>
          </w:p>
        </w:tc>
        <w:tc>
          <w:tcPr>
            <w:tcW w:w="1513" w:type="pct"/>
            <w:gridSpan w:val="2"/>
            <w:vAlign w:val="center"/>
          </w:tcPr>
          <w:p w14:paraId="4D1984DD">
            <w:pPr>
              <w:adjustRightInd w:val="0"/>
              <w:snapToGrid w:val="0"/>
              <w:spacing w:line="240" w:lineRule="auto"/>
              <w:ind w:firstLine="0" w:firstLineChars="0"/>
              <w:jc w:val="center"/>
              <w:rPr>
                <w:sz w:val="21"/>
                <w:szCs w:val="18"/>
              </w:rPr>
            </w:pPr>
            <w:r>
              <w:rPr>
                <w:rFonts w:hint="eastAsia"/>
                <w:sz w:val="21"/>
                <w:szCs w:val="18"/>
              </w:rPr>
              <w:t>罐区无组织排放</w:t>
            </w:r>
          </w:p>
        </w:tc>
        <w:tc>
          <w:tcPr>
            <w:tcW w:w="697" w:type="pct"/>
            <w:vAlign w:val="center"/>
          </w:tcPr>
          <w:p w14:paraId="09CDD5F6">
            <w:pPr>
              <w:adjustRightInd w:val="0"/>
              <w:snapToGrid w:val="0"/>
              <w:spacing w:line="240" w:lineRule="auto"/>
              <w:ind w:firstLine="0" w:firstLineChars="0"/>
              <w:jc w:val="center"/>
              <w:rPr>
                <w:sz w:val="21"/>
                <w:szCs w:val="18"/>
              </w:rPr>
            </w:pPr>
            <w:r>
              <w:rPr>
                <w:rFonts w:hint="eastAsia"/>
                <w:sz w:val="21"/>
                <w:szCs w:val="18"/>
              </w:rPr>
              <w:t>MA、BDO、</w:t>
            </w:r>
            <w:r>
              <w:rPr>
                <w:sz w:val="21"/>
                <w:szCs w:val="18"/>
              </w:rPr>
              <w:t>非甲烷总烃</w:t>
            </w:r>
          </w:p>
        </w:tc>
        <w:tc>
          <w:tcPr>
            <w:tcW w:w="1244" w:type="pct"/>
            <w:vAlign w:val="center"/>
          </w:tcPr>
          <w:p w14:paraId="757DF00E">
            <w:pPr>
              <w:widowControl/>
              <w:adjustRightInd w:val="0"/>
              <w:snapToGrid w:val="0"/>
              <w:spacing w:line="240" w:lineRule="auto"/>
              <w:ind w:firstLine="0" w:firstLineChars="0"/>
              <w:rPr>
                <w:sz w:val="21"/>
                <w:szCs w:val="21"/>
              </w:rPr>
            </w:pPr>
            <w:r>
              <w:rPr>
                <w:sz w:val="21"/>
                <w:szCs w:val="21"/>
              </w:rPr>
              <w:t>a采用浮顶罐；</w:t>
            </w:r>
            <w:r>
              <w:rPr>
                <w:rFonts w:hint="eastAsia"/>
                <w:sz w:val="21"/>
                <w:szCs w:val="21"/>
              </w:rPr>
              <w:t>四氢呋喃</w:t>
            </w:r>
            <w:r>
              <w:rPr>
                <w:sz w:val="21"/>
                <w:szCs w:val="21"/>
              </w:rPr>
              <w:t>浮顶罐，浮顶与罐壁之间采机</w:t>
            </w:r>
            <w:r>
              <w:rPr>
                <w:rFonts w:hint="eastAsia"/>
                <w:sz w:val="21"/>
                <w:szCs w:val="21"/>
              </w:rPr>
              <w:t>液态镶嵌式密封</w:t>
            </w:r>
            <w:r>
              <w:rPr>
                <w:sz w:val="21"/>
                <w:szCs w:val="21"/>
              </w:rPr>
              <w:t>等高效密封方式</w:t>
            </w:r>
            <w:r>
              <w:rPr>
                <w:rFonts w:hint="eastAsia"/>
                <w:sz w:val="21"/>
                <w:szCs w:val="21"/>
              </w:rPr>
              <w:t>，并采用油气回收系统。</w:t>
            </w:r>
          </w:p>
          <w:p w14:paraId="3B18DD14">
            <w:pPr>
              <w:widowControl/>
              <w:adjustRightInd w:val="0"/>
              <w:snapToGrid w:val="0"/>
              <w:spacing w:line="240" w:lineRule="auto"/>
              <w:ind w:firstLine="0" w:firstLineChars="0"/>
              <w:rPr>
                <w:sz w:val="21"/>
                <w:szCs w:val="21"/>
              </w:rPr>
            </w:pPr>
            <w:r>
              <w:rPr>
                <w:sz w:val="21"/>
                <w:szCs w:val="21"/>
              </w:rPr>
              <w:t>b采用固定顶罐</w:t>
            </w:r>
            <w:r>
              <w:rPr>
                <w:rFonts w:hint="eastAsia"/>
                <w:sz w:val="21"/>
                <w:szCs w:val="21"/>
              </w:rPr>
              <w:t>MA储罐、BDO储罐</w:t>
            </w:r>
            <w:r>
              <w:rPr>
                <w:sz w:val="21"/>
                <w:szCs w:val="21"/>
              </w:rPr>
              <w:t>排放的废气</w:t>
            </w:r>
            <w:r>
              <w:rPr>
                <w:rFonts w:hint="eastAsia"/>
                <w:sz w:val="21"/>
                <w:szCs w:val="21"/>
              </w:rPr>
              <w:t>经</w:t>
            </w:r>
            <w:r>
              <w:rPr>
                <w:sz w:val="21"/>
                <w:szCs w:val="21"/>
              </w:rPr>
              <w:t>收集</w:t>
            </w:r>
            <w:r>
              <w:rPr>
                <w:rFonts w:hint="eastAsia"/>
                <w:sz w:val="21"/>
                <w:szCs w:val="21"/>
              </w:rPr>
              <w:t>后采用相应的废气</w:t>
            </w:r>
            <w:r>
              <w:rPr>
                <w:sz w:val="21"/>
                <w:szCs w:val="21"/>
              </w:rPr>
              <w:t>处理</w:t>
            </w:r>
            <w:r>
              <w:rPr>
                <w:rFonts w:hint="eastAsia"/>
                <w:sz w:val="21"/>
                <w:szCs w:val="21"/>
              </w:rPr>
              <w:t>设施处理</w:t>
            </w:r>
            <w:r>
              <w:rPr>
                <w:sz w:val="21"/>
                <w:szCs w:val="21"/>
              </w:rPr>
              <w:t>。</w:t>
            </w:r>
          </w:p>
          <w:p w14:paraId="26E51F91">
            <w:pPr>
              <w:adjustRightInd w:val="0"/>
              <w:snapToGrid w:val="0"/>
              <w:spacing w:line="240" w:lineRule="auto"/>
              <w:ind w:firstLine="0" w:firstLineChars="0"/>
              <w:rPr>
                <w:sz w:val="21"/>
                <w:szCs w:val="18"/>
              </w:rPr>
            </w:pPr>
            <w:r>
              <w:rPr>
                <w:sz w:val="21"/>
                <w:szCs w:val="21"/>
              </w:rPr>
              <w:t>c采用气相平衡系统。</w:t>
            </w:r>
          </w:p>
        </w:tc>
        <w:tc>
          <w:tcPr>
            <w:tcW w:w="1256" w:type="pct"/>
            <w:vAlign w:val="center"/>
          </w:tcPr>
          <w:p w14:paraId="21A23D66">
            <w:pPr>
              <w:widowControl/>
              <w:adjustRightInd w:val="0"/>
              <w:snapToGrid w:val="0"/>
              <w:spacing w:line="240" w:lineRule="auto"/>
              <w:ind w:firstLine="0" w:firstLineChars="0"/>
              <w:rPr>
                <w:sz w:val="21"/>
                <w:szCs w:val="18"/>
              </w:rPr>
            </w:pPr>
            <w:r>
              <w:rPr>
                <w:rFonts w:hint="eastAsia"/>
                <w:sz w:val="21"/>
                <w:szCs w:val="21"/>
              </w:rPr>
              <w:t>非甲烷总烃厂界无组织排放参照执行《工业企业挥发性有机物排放标准》（DB35/1782-2018）表3无组织排放监控点浓度限值；厂区内非甲烷总烃无组织排放执行《挥发性有机物无组织排放控制标准》（GB37822-2019）</w:t>
            </w:r>
            <w:r>
              <w:rPr>
                <w:sz w:val="21"/>
                <w:szCs w:val="21"/>
              </w:rPr>
              <w:t>附录A的表A.1规定</w:t>
            </w:r>
            <w:r>
              <w:rPr>
                <w:rFonts w:hint="eastAsia"/>
                <w:sz w:val="21"/>
                <w:szCs w:val="21"/>
              </w:rPr>
              <w:t>VOCs无组织特别排放限值。</w:t>
            </w:r>
          </w:p>
        </w:tc>
      </w:tr>
      <w:tr w14:paraId="2CBE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5AA3F7F4">
            <w:pPr>
              <w:pStyle w:val="71"/>
              <w:rPr>
                <w:kern w:val="2"/>
                <w:szCs w:val="24"/>
                <w:lang w:val="en-US" w:eastAsia="zh-CN"/>
              </w:rPr>
            </w:pPr>
            <w:r>
              <w:rPr>
                <w:kern w:val="2"/>
                <w:szCs w:val="24"/>
                <w:lang w:val="en-US" w:eastAsia="zh-CN"/>
              </w:rPr>
              <w:t>地表水环境</w:t>
            </w:r>
          </w:p>
        </w:tc>
        <w:tc>
          <w:tcPr>
            <w:tcW w:w="1513" w:type="pct"/>
            <w:gridSpan w:val="2"/>
            <w:vAlign w:val="center"/>
          </w:tcPr>
          <w:p w14:paraId="76C8DAA6">
            <w:pPr>
              <w:adjustRightInd w:val="0"/>
              <w:snapToGrid w:val="0"/>
              <w:spacing w:line="240" w:lineRule="auto"/>
              <w:ind w:firstLine="0" w:firstLineChars="0"/>
              <w:jc w:val="center"/>
              <w:rPr>
                <w:sz w:val="21"/>
                <w:szCs w:val="18"/>
              </w:rPr>
            </w:pPr>
            <w:r>
              <w:rPr>
                <w:rFonts w:hint="eastAsia"/>
                <w:sz w:val="21"/>
                <w:szCs w:val="18"/>
              </w:rPr>
              <w:t>BDO/MA储罐废气水洗/碱洗废水、初期雨水、地面冲洗废水</w:t>
            </w:r>
            <w:r>
              <w:rPr>
                <w:sz w:val="21"/>
                <w:szCs w:val="18"/>
              </w:rPr>
              <w:t>、储罐清洗废水</w:t>
            </w:r>
            <w:r>
              <w:rPr>
                <w:rFonts w:hint="eastAsia"/>
                <w:sz w:val="21"/>
                <w:szCs w:val="18"/>
              </w:rPr>
              <w:t>（非正常工况））</w:t>
            </w:r>
          </w:p>
        </w:tc>
        <w:tc>
          <w:tcPr>
            <w:tcW w:w="697" w:type="pct"/>
            <w:vAlign w:val="center"/>
          </w:tcPr>
          <w:p w14:paraId="346C1645">
            <w:pPr>
              <w:adjustRightInd w:val="0"/>
              <w:snapToGrid w:val="0"/>
              <w:spacing w:line="240" w:lineRule="auto"/>
              <w:ind w:firstLine="0" w:firstLineChars="0"/>
              <w:jc w:val="center"/>
              <w:rPr>
                <w:sz w:val="21"/>
                <w:szCs w:val="18"/>
              </w:rPr>
            </w:pPr>
            <w:r>
              <w:rPr>
                <w:sz w:val="21"/>
                <w:szCs w:val="18"/>
              </w:rPr>
              <w:t>pH值、悬浮物、化学需氧量、生化需氧量、氮氨、石油类</w:t>
            </w:r>
          </w:p>
        </w:tc>
        <w:tc>
          <w:tcPr>
            <w:tcW w:w="1244" w:type="pct"/>
            <w:vAlign w:val="center"/>
          </w:tcPr>
          <w:p w14:paraId="1446BCA2">
            <w:pPr>
              <w:adjustRightInd w:val="0"/>
              <w:snapToGrid w:val="0"/>
              <w:spacing w:line="240" w:lineRule="auto"/>
              <w:ind w:firstLine="0" w:firstLineChars="0"/>
              <w:jc w:val="center"/>
              <w:rPr>
                <w:sz w:val="21"/>
                <w:szCs w:val="18"/>
              </w:rPr>
            </w:pPr>
            <w:r>
              <w:rPr>
                <w:sz w:val="21"/>
                <w:szCs w:val="18"/>
              </w:rPr>
              <w:t>生活污水经预处理后</w:t>
            </w:r>
            <w:r>
              <w:rPr>
                <w:rFonts w:hint="eastAsia"/>
                <w:sz w:val="21"/>
                <w:szCs w:val="18"/>
              </w:rPr>
              <w:t>与BDO/MA储罐废气水洗/碱洗废水、初期雨水、地面冲洗废水</w:t>
            </w:r>
            <w:r>
              <w:rPr>
                <w:sz w:val="21"/>
                <w:szCs w:val="18"/>
              </w:rPr>
              <w:t>、储罐清洗废水</w:t>
            </w:r>
            <w:r>
              <w:rPr>
                <w:rFonts w:hint="eastAsia"/>
                <w:sz w:val="21"/>
                <w:szCs w:val="18"/>
              </w:rPr>
              <w:t>（非正常工况）</w:t>
            </w:r>
            <w:r>
              <w:rPr>
                <w:sz w:val="21"/>
                <w:szCs w:val="18"/>
              </w:rPr>
              <w:t>送福州万景石化有限公司污水处理站</w:t>
            </w:r>
          </w:p>
        </w:tc>
        <w:tc>
          <w:tcPr>
            <w:tcW w:w="1256" w:type="pct"/>
            <w:vAlign w:val="center"/>
          </w:tcPr>
          <w:p w14:paraId="238E43E1">
            <w:pPr>
              <w:adjustRightInd w:val="0"/>
              <w:snapToGrid w:val="0"/>
              <w:spacing w:line="240" w:lineRule="auto"/>
              <w:ind w:firstLine="0" w:firstLineChars="0"/>
              <w:jc w:val="center"/>
              <w:rPr>
                <w:sz w:val="21"/>
                <w:szCs w:val="18"/>
              </w:rPr>
            </w:pPr>
            <w:r>
              <w:rPr>
                <w:rFonts w:hint="eastAsia"/>
                <w:sz w:val="21"/>
                <w:szCs w:val="18"/>
              </w:rPr>
              <w:t>依托</w:t>
            </w:r>
            <w:r>
              <w:rPr>
                <w:sz w:val="21"/>
                <w:szCs w:val="18"/>
              </w:rPr>
              <w:t>福州万景石化有限公司污水处理站低浓度废水处理段</w:t>
            </w:r>
            <w:r>
              <w:rPr>
                <w:rFonts w:hint="eastAsia"/>
                <w:sz w:val="21"/>
                <w:szCs w:val="18"/>
              </w:rPr>
              <w:t>，由</w:t>
            </w:r>
            <w:r>
              <w:rPr>
                <w:sz w:val="21"/>
                <w:szCs w:val="18"/>
              </w:rPr>
              <w:t>万景石化有限公司</w:t>
            </w:r>
            <w:r>
              <w:rPr>
                <w:rFonts w:hint="eastAsia"/>
                <w:sz w:val="21"/>
                <w:szCs w:val="18"/>
              </w:rPr>
              <w:t>控制相应的排放标准</w:t>
            </w:r>
          </w:p>
        </w:tc>
      </w:tr>
      <w:tr w14:paraId="06E4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605B2E4C">
            <w:pPr>
              <w:pStyle w:val="71"/>
              <w:rPr>
                <w:kern w:val="2"/>
                <w:szCs w:val="24"/>
                <w:lang w:val="en-US" w:eastAsia="zh-CN"/>
              </w:rPr>
            </w:pPr>
            <w:r>
              <w:rPr>
                <w:kern w:val="2"/>
                <w:szCs w:val="24"/>
                <w:lang w:val="en-US" w:eastAsia="zh-CN"/>
              </w:rPr>
              <w:t>声环境</w:t>
            </w:r>
          </w:p>
        </w:tc>
        <w:tc>
          <w:tcPr>
            <w:tcW w:w="1513" w:type="pct"/>
            <w:gridSpan w:val="2"/>
            <w:vAlign w:val="center"/>
          </w:tcPr>
          <w:p w14:paraId="6A9E8159">
            <w:pPr>
              <w:pStyle w:val="71"/>
              <w:rPr>
                <w:kern w:val="2"/>
                <w:szCs w:val="24"/>
                <w:lang w:val="en-US" w:eastAsia="zh-CN"/>
              </w:rPr>
            </w:pPr>
            <w:r>
              <w:rPr>
                <w:szCs w:val="18"/>
                <w:lang w:val="en-US" w:eastAsia="zh-CN"/>
              </w:rPr>
              <w:t>生产设备运行噪声</w:t>
            </w:r>
          </w:p>
        </w:tc>
        <w:tc>
          <w:tcPr>
            <w:tcW w:w="697" w:type="pct"/>
            <w:vAlign w:val="center"/>
          </w:tcPr>
          <w:p w14:paraId="01840777">
            <w:pPr>
              <w:pStyle w:val="71"/>
              <w:rPr>
                <w:kern w:val="2"/>
                <w:szCs w:val="24"/>
                <w:lang w:val="en-US" w:eastAsia="zh-CN"/>
              </w:rPr>
            </w:pPr>
            <w:r>
              <w:rPr>
                <w:kern w:val="2"/>
                <w:szCs w:val="24"/>
                <w:lang w:val="en-US" w:eastAsia="zh-CN"/>
              </w:rPr>
              <w:t>噪声</w:t>
            </w:r>
          </w:p>
        </w:tc>
        <w:tc>
          <w:tcPr>
            <w:tcW w:w="1244" w:type="pct"/>
            <w:vAlign w:val="center"/>
          </w:tcPr>
          <w:p w14:paraId="4B91E7E0">
            <w:pPr>
              <w:pStyle w:val="71"/>
              <w:rPr>
                <w:kern w:val="2"/>
                <w:szCs w:val="24"/>
                <w:lang w:val="en-US" w:eastAsia="zh-CN"/>
              </w:rPr>
            </w:pPr>
            <w:r>
              <w:rPr>
                <w:szCs w:val="18"/>
                <w:lang w:val="en-US" w:eastAsia="zh-CN"/>
              </w:rPr>
              <w:t>选用环保低噪声型设备，设备安置在车间内，采取基础减震等措施，维持设备处于良好运转状态</w:t>
            </w:r>
          </w:p>
        </w:tc>
        <w:tc>
          <w:tcPr>
            <w:tcW w:w="1256" w:type="pct"/>
            <w:vAlign w:val="center"/>
          </w:tcPr>
          <w:p w14:paraId="2DDB880A">
            <w:pPr>
              <w:pStyle w:val="71"/>
              <w:rPr>
                <w:kern w:val="2"/>
                <w:szCs w:val="24"/>
                <w:lang w:val="en-US" w:eastAsia="zh-CN"/>
              </w:rPr>
            </w:pPr>
            <w:r>
              <w:rPr>
                <w:kern w:val="2"/>
                <w:szCs w:val="24"/>
                <w:lang w:val="en-US" w:eastAsia="zh-CN"/>
              </w:rPr>
              <w:t>《工业企业厂界环境噪声排放标准》（GB12348-2008）中3类标准</w:t>
            </w:r>
          </w:p>
        </w:tc>
      </w:tr>
      <w:tr w14:paraId="6293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2548C34A">
            <w:pPr>
              <w:pStyle w:val="71"/>
              <w:rPr>
                <w:kern w:val="2"/>
                <w:szCs w:val="24"/>
                <w:lang w:val="en-US" w:eastAsia="zh-CN"/>
              </w:rPr>
            </w:pPr>
            <w:r>
              <w:rPr>
                <w:kern w:val="2"/>
                <w:szCs w:val="24"/>
                <w:lang w:val="en-US" w:eastAsia="zh-CN"/>
              </w:rPr>
              <w:t>固体废物</w:t>
            </w:r>
          </w:p>
        </w:tc>
        <w:tc>
          <w:tcPr>
            <w:tcW w:w="4710" w:type="pct"/>
            <w:gridSpan w:val="5"/>
            <w:vAlign w:val="center"/>
          </w:tcPr>
          <w:p w14:paraId="208AE9A1">
            <w:pPr>
              <w:pStyle w:val="71"/>
              <w:rPr>
                <w:kern w:val="2"/>
                <w:szCs w:val="24"/>
                <w:lang w:val="en-US" w:eastAsia="zh-CN"/>
              </w:rPr>
            </w:pPr>
            <w:r>
              <w:rPr>
                <w:szCs w:val="21"/>
                <w:lang w:val="en-US" w:eastAsia="zh-CN"/>
              </w:rPr>
              <w:t>废机油</w:t>
            </w:r>
            <w:r>
              <w:rPr>
                <w:rFonts w:hint="eastAsia"/>
                <w:szCs w:val="21"/>
                <w:lang w:val="en-US" w:eastAsia="zh-CN"/>
              </w:rPr>
              <w:t>、</w:t>
            </w:r>
            <w:r>
              <w:rPr>
                <w:szCs w:val="21"/>
                <w:lang w:val="en-US" w:eastAsia="zh-CN"/>
              </w:rPr>
              <w:t>废活性炭</w:t>
            </w:r>
            <w:r>
              <w:rPr>
                <w:rFonts w:hint="eastAsia"/>
                <w:szCs w:val="21"/>
                <w:lang w:val="en-US" w:eastAsia="zh-CN"/>
              </w:rPr>
              <w:t>、废硅胶</w:t>
            </w:r>
            <w:r>
              <w:rPr>
                <w:kern w:val="2"/>
                <w:szCs w:val="24"/>
                <w:lang w:val="en-US" w:eastAsia="zh-CN"/>
              </w:rPr>
              <w:t>暂存于</w:t>
            </w:r>
            <w:r>
              <w:rPr>
                <w:rFonts w:hint="eastAsia"/>
                <w:kern w:val="2"/>
                <w:szCs w:val="24"/>
                <w:lang w:val="en-US" w:eastAsia="zh-CN"/>
              </w:rPr>
              <w:t>危险废物贮存库</w:t>
            </w:r>
            <w:r>
              <w:rPr>
                <w:kern w:val="2"/>
                <w:szCs w:val="24"/>
                <w:lang w:val="en-US" w:eastAsia="zh-CN"/>
              </w:rPr>
              <w:t>，委托有资质单位处置。</w:t>
            </w:r>
          </w:p>
        </w:tc>
      </w:tr>
      <w:tr w14:paraId="4709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28DD8999">
            <w:pPr>
              <w:pStyle w:val="71"/>
              <w:rPr>
                <w:kern w:val="2"/>
                <w:szCs w:val="24"/>
                <w:lang w:val="en-US" w:eastAsia="zh-CN"/>
              </w:rPr>
            </w:pPr>
            <w:r>
              <w:rPr>
                <w:kern w:val="2"/>
                <w:szCs w:val="24"/>
                <w:lang w:val="en-US" w:eastAsia="zh-CN"/>
              </w:rPr>
              <w:t>土壤及地下水</w:t>
            </w:r>
          </w:p>
          <w:p w14:paraId="17F723C5">
            <w:pPr>
              <w:pStyle w:val="71"/>
              <w:rPr>
                <w:kern w:val="2"/>
                <w:szCs w:val="24"/>
                <w:lang w:val="en-US" w:eastAsia="zh-CN"/>
              </w:rPr>
            </w:pPr>
            <w:r>
              <w:rPr>
                <w:kern w:val="2"/>
                <w:szCs w:val="24"/>
                <w:lang w:val="en-US" w:eastAsia="zh-CN"/>
              </w:rPr>
              <w:t>污染防治措施</w:t>
            </w:r>
          </w:p>
        </w:tc>
        <w:tc>
          <w:tcPr>
            <w:tcW w:w="4710" w:type="pct"/>
            <w:gridSpan w:val="5"/>
            <w:vAlign w:val="center"/>
          </w:tcPr>
          <w:p w14:paraId="66AE2BDE">
            <w:pPr>
              <w:pStyle w:val="71"/>
              <w:rPr>
                <w:kern w:val="2"/>
                <w:szCs w:val="24"/>
                <w:lang w:val="en-US" w:eastAsia="zh-CN"/>
              </w:rPr>
            </w:pPr>
            <w:r>
              <w:rPr>
                <w:lang w:val="en-US" w:eastAsia="zh-CN"/>
              </w:rPr>
              <w:t>根据场区各生产、生活功能单元可能产生污染的地区，</w:t>
            </w:r>
            <w:r>
              <w:rPr>
                <w:rFonts w:hint="eastAsia"/>
                <w:lang w:val="en-US" w:eastAsia="zh-CN"/>
              </w:rPr>
              <w:t>进行分区防渗，主要分为</w:t>
            </w:r>
            <w:r>
              <w:rPr>
                <w:lang w:val="en-US" w:eastAsia="zh-CN"/>
              </w:rPr>
              <w:t>重点污染防治区、一般污染防治区和简单污染防治区</w:t>
            </w:r>
            <w:r>
              <w:rPr>
                <w:rFonts w:hint="eastAsia"/>
                <w:lang w:val="en-US" w:eastAsia="zh-CN"/>
              </w:rPr>
              <w:t>。在码头罐区场地及其</w:t>
            </w:r>
            <w:r>
              <w:rPr>
                <w:lang w:val="en-US" w:eastAsia="zh-CN"/>
              </w:rPr>
              <w:t>上下游设置</w:t>
            </w:r>
            <w:r>
              <w:rPr>
                <w:rFonts w:hint="eastAsia"/>
                <w:lang w:val="en-US" w:eastAsia="zh-CN"/>
              </w:rPr>
              <w:t>3</w:t>
            </w:r>
            <w:r>
              <w:rPr>
                <w:lang w:val="en-US" w:eastAsia="zh-CN"/>
              </w:rPr>
              <w:t>个日常监控井</w:t>
            </w:r>
            <w:r>
              <w:rPr>
                <w:rFonts w:hint="eastAsia"/>
                <w:lang w:val="en-US" w:eastAsia="zh-CN"/>
              </w:rPr>
              <w:t>。</w:t>
            </w:r>
          </w:p>
        </w:tc>
      </w:tr>
      <w:tr w14:paraId="555C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044A278F">
            <w:pPr>
              <w:pStyle w:val="71"/>
              <w:rPr>
                <w:kern w:val="2"/>
                <w:szCs w:val="24"/>
                <w:lang w:val="en-US" w:eastAsia="zh-CN"/>
              </w:rPr>
            </w:pPr>
            <w:r>
              <w:rPr>
                <w:kern w:val="2"/>
                <w:szCs w:val="24"/>
                <w:lang w:val="en-US" w:eastAsia="zh-CN"/>
              </w:rPr>
              <w:t>生态保护措施</w:t>
            </w:r>
          </w:p>
        </w:tc>
        <w:tc>
          <w:tcPr>
            <w:tcW w:w="4710" w:type="pct"/>
            <w:gridSpan w:val="5"/>
            <w:vAlign w:val="center"/>
          </w:tcPr>
          <w:p w14:paraId="7031E3D8">
            <w:pPr>
              <w:pStyle w:val="71"/>
              <w:rPr>
                <w:kern w:val="2"/>
                <w:szCs w:val="24"/>
                <w:lang w:val="en-US" w:eastAsia="zh-CN"/>
              </w:rPr>
            </w:pPr>
            <w:r>
              <w:rPr>
                <w:kern w:val="2"/>
                <w:szCs w:val="24"/>
                <w:lang w:val="en-US" w:eastAsia="zh-CN"/>
              </w:rPr>
              <w:t>/</w:t>
            </w:r>
          </w:p>
        </w:tc>
      </w:tr>
      <w:tr w14:paraId="7E55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4977738A">
            <w:pPr>
              <w:pStyle w:val="71"/>
              <w:rPr>
                <w:kern w:val="2"/>
                <w:szCs w:val="24"/>
                <w:lang w:val="en-US" w:eastAsia="zh-CN"/>
              </w:rPr>
            </w:pPr>
            <w:r>
              <w:rPr>
                <w:kern w:val="2"/>
                <w:szCs w:val="24"/>
                <w:lang w:val="en-US" w:eastAsia="zh-CN"/>
              </w:rPr>
              <w:t>环境风险</w:t>
            </w:r>
          </w:p>
          <w:p w14:paraId="31D71D2C">
            <w:pPr>
              <w:pStyle w:val="71"/>
              <w:rPr>
                <w:kern w:val="2"/>
                <w:szCs w:val="24"/>
                <w:lang w:val="en-US" w:eastAsia="zh-CN"/>
              </w:rPr>
            </w:pPr>
            <w:r>
              <w:rPr>
                <w:kern w:val="2"/>
                <w:szCs w:val="24"/>
                <w:lang w:val="en-US" w:eastAsia="zh-CN"/>
              </w:rPr>
              <w:t>防范措施</w:t>
            </w:r>
          </w:p>
        </w:tc>
        <w:tc>
          <w:tcPr>
            <w:tcW w:w="4710" w:type="pct"/>
            <w:gridSpan w:val="5"/>
            <w:vAlign w:val="center"/>
          </w:tcPr>
          <w:p w14:paraId="68CCB7E3">
            <w:pPr>
              <w:pStyle w:val="71"/>
              <w:jc w:val="left"/>
              <w:rPr>
                <w:lang w:val="en-US" w:eastAsia="zh-CN"/>
              </w:rPr>
            </w:pPr>
            <w:r>
              <w:rPr>
                <w:rFonts w:hint="eastAsia"/>
                <w:lang w:val="en-US" w:eastAsia="zh-CN"/>
              </w:rPr>
              <w:t>1、建立</w:t>
            </w:r>
            <w:r>
              <w:rPr>
                <w:lang w:val="en-US" w:eastAsia="zh-CN"/>
              </w:rPr>
              <w:t>企业环境风险管理体系</w:t>
            </w:r>
            <w:r>
              <w:rPr>
                <w:rFonts w:hint="eastAsia"/>
                <w:lang w:val="en-US" w:eastAsia="zh-CN"/>
              </w:rPr>
              <w:t>、</w:t>
            </w:r>
            <w:r>
              <w:rPr>
                <w:lang w:val="en-US" w:eastAsia="zh-CN"/>
              </w:rPr>
              <w:t>罐区风险事故防范措施、输送管线防范措施、火灾防范措施、其他风险防范措施以及防止事故废水泄漏至外环境的风险防范措施</w:t>
            </w:r>
            <w:r>
              <w:rPr>
                <w:rFonts w:hint="eastAsia"/>
                <w:lang w:val="en-US" w:eastAsia="zh-CN"/>
              </w:rPr>
              <w:t>；</w:t>
            </w:r>
          </w:p>
          <w:p w14:paraId="43DADC3E">
            <w:pPr>
              <w:pStyle w:val="71"/>
              <w:jc w:val="left"/>
              <w:rPr>
                <w:lang w:val="en-US" w:eastAsia="zh-CN"/>
              </w:rPr>
            </w:pPr>
            <w:r>
              <w:rPr>
                <w:rFonts w:hint="eastAsia"/>
                <w:lang w:val="en-US" w:eastAsia="zh-CN"/>
              </w:rPr>
              <w:t>2、</w:t>
            </w:r>
            <w:r>
              <w:rPr>
                <w:lang w:val="en-US" w:eastAsia="zh-CN"/>
              </w:rPr>
              <w:t>应落实的环境风险应急措施，配备相应的应急风险物资</w:t>
            </w:r>
          </w:p>
          <w:p w14:paraId="4C0CACF3">
            <w:pPr>
              <w:pStyle w:val="71"/>
              <w:jc w:val="left"/>
              <w:rPr>
                <w:szCs w:val="21"/>
                <w:lang w:val="en-US" w:eastAsia="zh-CN"/>
              </w:rPr>
            </w:pPr>
            <w:r>
              <w:rPr>
                <w:rFonts w:hint="eastAsia"/>
                <w:lang w:val="en-US" w:eastAsia="zh-CN"/>
              </w:rPr>
              <w:t>3、扩建项目新建</w:t>
            </w:r>
            <w:r>
              <w:rPr>
                <w:rFonts w:hint="eastAsia"/>
                <w:szCs w:val="21"/>
                <w:lang w:val="en-US" w:eastAsia="zh-CN"/>
              </w:rPr>
              <w:t>初期雨水池：1700m³，</w:t>
            </w:r>
            <w:r>
              <w:rPr>
                <w:rFonts w:hint="eastAsia"/>
                <w:szCs w:val="21"/>
              </w:rPr>
              <w:t>依托中民新能源已建设</w:t>
            </w:r>
            <w:r>
              <w:rPr>
                <w:szCs w:val="21"/>
              </w:rPr>
              <w:t>1</w:t>
            </w:r>
            <w:r>
              <w:rPr>
                <w:rFonts w:hint="eastAsia"/>
                <w:szCs w:val="21"/>
              </w:rPr>
              <w:t>个</w:t>
            </w:r>
            <w:r>
              <w:rPr>
                <w:szCs w:val="21"/>
              </w:rPr>
              <w:t>15000m³</w:t>
            </w:r>
            <w:r>
              <w:rPr>
                <w:rFonts w:hint="eastAsia"/>
                <w:szCs w:val="21"/>
              </w:rPr>
              <w:t>的事故应急池，并新建收集管网</w:t>
            </w:r>
            <w:r>
              <w:rPr>
                <w:rFonts w:hint="eastAsia"/>
                <w:szCs w:val="21"/>
                <w:lang w:val="en-US" w:eastAsia="zh-CN"/>
              </w:rPr>
              <w:t>。</w:t>
            </w:r>
          </w:p>
          <w:p w14:paraId="61830D12">
            <w:pPr>
              <w:pStyle w:val="71"/>
              <w:jc w:val="left"/>
              <w:rPr>
                <w:spacing w:val="-1"/>
                <w:kern w:val="2"/>
                <w:szCs w:val="24"/>
                <w:lang w:val="en-US" w:eastAsia="zh-CN"/>
              </w:rPr>
            </w:pPr>
            <w:r>
              <w:rPr>
                <w:rFonts w:hint="eastAsia"/>
                <w:lang w:val="en-US" w:eastAsia="zh-CN"/>
              </w:rPr>
              <w:t>4</w:t>
            </w:r>
            <w:r>
              <w:rPr>
                <w:rFonts w:hint="eastAsia"/>
                <w:spacing w:val="-1"/>
                <w:kern w:val="2"/>
                <w:szCs w:val="24"/>
                <w:lang w:val="en-US" w:eastAsia="zh-CN"/>
              </w:rPr>
              <w:t>、根据《福州中民新能源有限公司突发环境事件风险评估报告》当事故废水超出15000m³时，启动提升泵，事故废水可由管道输送至下游中景石化科技园26600m³事故缓冲池内。</w:t>
            </w:r>
            <w:r>
              <w:rPr>
                <w:spacing w:val="-1"/>
                <w:kern w:val="2"/>
                <w:szCs w:val="24"/>
                <w:lang w:val="en-US" w:eastAsia="zh-CN"/>
              </w:rPr>
              <w:t>防止</w:t>
            </w:r>
            <w:r>
              <w:rPr>
                <w:rFonts w:hint="eastAsia"/>
                <w:spacing w:val="-1"/>
                <w:kern w:val="2"/>
                <w:szCs w:val="24"/>
                <w:lang w:val="en-US" w:eastAsia="zh-CN"/>
              </w:rPr>
              <w:t>扩建项目</w:t>
            </w:r>
            <w:r>
              <w:rPr>
                <w:spacing w:val="-1"/>
                <w:kern w:val="2"/>
                <w:szCs w:val="24"/>
                <w:lang w:val="en-US" w:eastAsia="zh-CN"/>
              </w:rPr>
              <w:t>重大事故泄漏物料和污染消防水造成的环境污染</w:t>
            </w:r>
            <w:r>
              <w:rPr>
                <w:rFonts w:hint="eastAsia"/>
                <w:spacing w:val="-1"/>
                <w:kern w:val="2"/>
                <w:szCs w:val="24"/>
                <w:lang w:val="en-US" w:eastAsia="zh-CN"/>
              </w:rPr>
              <w:t>，确保事故废水不排入外环境。</w:t>
            </w:r>
          </w:p>
          <w:p w14:paraId="2F2703B0">
            <w:pPr>
              <w:pStyle w:val="71"/>
              <w:jc w:val="left"/>
              <w:rPr>
                <w:kern w:val="2"/>
                <w:szCs w:val="24"/>
                <w:lang w:val="en-US" w:eastAsia="zh-CN"/>
              </w:rPr>
            </w:pPr>
            <w:r>
              <w:rPr>
                <w:rFonts w:hint="eastAsia"/>
                <w:spacing w:val="-1"/>
                <w:kern w:val="2"/>
                <w:szCs w:val="24"/>
                <w:lang w:val="en-US" w:eastAsia="zh-CN"/>
              </w:rPr>
              <w:t>5、建设单位应结合本次扩建内容以及涉及的危险化学品等，按照福建省环保厅转发生态环境部关于印发《企业事业单位突发环境事件应急预案备案管理办法（试行）》（闽环保应急〔2015〕2号）的通知，对应急预案进行修编，并报福州市福清生态环境局再次备案。</w:t>
            </w:r>
          </w:p>
        </w:tc>
      </w:tr>
      <w:tr w14:paraId="07DC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0" w:type="pct"/>
            <w:vAlign w:val="center"/>
          </w:tcPr>
          <w:p w14:paraId="11CCC94E">
            <w:pPr>
              <w:pStyle w:val="71"/>
              <w:rPr>
                <w:kern w:val="2"/>
                <w:szCs w:val="24"/>
                <w:lang w:val="en-US" w:eastAsia="zh-CN"/>
              </w:rPr>
            </w:pPr>
            <w:r>
              <w:rPr>
                <w:kern w:val="2"/>
                <w:szCs w:val="24"/>
                <w:lang w:val="en-US" w:eastAsia="zh-CN"/>
              </w:rPr>
              <w:t>其他环境</w:t>
            </w:r>
          </w:p>
          <w:p w14:paraId="3F7CCF67">
            <w:pPr>
              <w:pStyle w:val="71"/>
              <w:rPr>
                <w:kern w:val="2"/>
                <w:szCs w:val="24"/>
                <w:lang w:val="en-US" w:eastAsia="zh-CN"/>
              </w:rPr>
            </w:pPr>
            <w:r>
              <w:rPr>
                <w:kern w:val="2"/>
                <w:szCs w:val="24"/>
                <w:lang w:val="en-US" w:eastAsia="zh-CN"/>
              </w:rPr>
              <w:t>管理要求</w:t>
            </w:r>
          </w:p>
        </w:tc>
        <w:tc>
          <w:tcPr>
            <w:tcW w:w="4710" w:type="pct"/>
            <w:gridSpan w:val="5"/>
            <w:vAlign w:val="center"/>
          </w:tcPr>
          <w:p w14:paraId="0EEBBB25">
            <w:pPr>
              <w:pStyle w:val="71"/>
              <w:jc w:val="left"/>
              <w:rPr>
                <w:kern w:val="2"/>
                <w:szCs w:val="24"/>
                <w:lang w:val="en-US" w:eastAsia="zh-CN"/>
              </w:rPr>
            </w:pPr>
            <w:r>
              <w:rPr>
                <w:rFonts w:hint="eastAsia"/>
                <w:kern w:val="2"/>
                <w:szCs w:val="24"/>
                <w:lang w:val="en-US" w:eastAsia="zh-CN"/>
              </w:rPr>
              <w:t>扩建项目依托福州万景石化有限公司污水处理站</w:t>
            </w:r>
            <w:r>
              <w:rPr>
                <w:kern w:val="2"/>
                <w:szCs w:val="24"/>
                <w:lang w:val="en-US" w:eastAsia="zh-CN"/>
              </w:rPr>
              <w:t>低浓度废水处理段</w:t>
            </w:r>
            <w:r>
              <w:rPr>
                <w:rFonts w:hint="eastAsia"/>
                <w:kern w:val="2"/>
                <w:szCs w:val="24"/>
                <w:lang w:val="en-US" w:eastAsia="zh-CN"/>
              </w:rPr>
              <w:t>，由万景石化</w:t>
            </w:r>
            <w:r>
              <w:rPr>
                <w:kern w:val="2"/>
                <w:szCs w:val="24"/>
                <w:lang w:val="en-US" w:eastAsia="zh-CN"/>
              </w:rPr>
              <w:t>有限公司控制相应生产废水排放标准及废水监测计划</w:t>
            </w:r>
            <w:r>
              <w:rPr>
                <w:rFonts w:hint="eastAsia"/>
                <w:kern w:val="2"/>
                <w:szCs w:val="24"/>
                <w:lang w:val="en-US" w:eastAsia="zh-CN"/>
              </w:rPr>
              <w:t>，</w:t>
            </w:r>
            <w:r>
              <w:rPr>
                <w:kern w:val="2"/>
                <w:szCs w:val="24"/>
                <w:lang w:val="en-US" w:eastAsia="zh-CN"/>
              </w:rPr>
              <w:t>环境管理</w:t>
            </w:r>
            <w:r>
              <w:rPr>
                <w:rFonts w:hint="eastAsia"/>
                <w:kern w:val="2"/>
                <w:szCs w:val="24"/>
                <w:lang w:val="en-US" w:eastAsia="zh-CN"/>
              </w:rPr>
              <w:t>、</w:t>
            </w:r>
            <w:r>
              <w:rPr>
                <w:kern w:val="2"/>
                <w:szCs w:val="24"/>
                <w:lang w:val="en-US" w:eastAsia="zh-CN"/>
              </w:rPr>
              <w:t>废水达标排放均由</w:t>
            </w:r>
            <w:r>
              <w:rPr>
                <w:rFonts w:hint="eastAsia"/>
                <w:kern w:val="2"/>
                <w:szCs w:val="24"/>
                <w:lang w:val="en-US" w:eastAsia="zh-CN"/>
              </w:rPr>
              <w:t>万景石化环保</w:t>
            </w:r>
            <w:r>
              <w:rPr>
                <w:kern w:val="2"/>
                <w:szCs w:val="24"/>
                <w:lang w:val="en-US" w:eastAsia="zh-CN"/>
              </w:rPr>
              <w:t>全权负责</w:t>
            </w:r>
            <w:r>
              <w:rPr>
                <w:rFonts w:hint="eastAsia"/>
                <w:kern w:val="2"/>
                <w:szCs w:val="24"/>
                <w:lang w:val="en-US" w:eastAsia="zh-CN"/>
              </w:rPr>
              <w:t>。</w:t>
            </w:r>
          </w:p>
          <w:p w14:paraId="406C6784">
            <w:pPr>
              <w:pStyle w:val="71"/>
              <w:jc w:val="left"/>
              <w:rPr>
                <w:kern w:val="2"/>
                <w:szCs w:val="24"/>
                <w:lang w:val="en-US" w:eastAsia="zh-CN"/>
              </w:rPr>
            </w:pPr>
            <w:r>
              <w:rPr>
                <w:rFonts w:hint="eastAsia"/>
                <w:kern w:val="2"/>
                <w:szCs w:val="24"/>
                <w:lang w:val="en-US" w:eastAsia="zh-CN"/>
              </w:rPr>
              <w:t>1、扩建项目</w:t>
            </w:r>
            <w:r>
              <w:rPr>
                <w:kern w:val="2"/>
                <w:szCs w:val="24"/>
                <w:lang w:val="en-US" w:eastAsia="zh-CN"/>
              </w:rPr>
              <w:t>设置在线流量监控，对废水水量进行控制，</w:t>
            </w:r>
            <w:r>
              <w:rPr>
                <w:rFonts w:hint="eastAsia"/>
                <w:kern w:val="2"/>
                <w:szCs w:val="24"/>
                <w:lang w:val="en-US" w:eastAsia="zh-CN"/>
              </w:rPr>
              <w:t>并按照福州万景石化有限公司污水处理站</w:t>
            </w:r>
            <w:r>
              <w:rPr>
                <w:kern w:val="2"/>
                <w:szCs w:val="24"/>
                <w:lang w:val="en-US" w:eastAsia="zh-CN"/>
              </w:rPr>
              <w:t>低浓度废水处理段</w:t>
            </w:r>
            <w:r>
              <w:rPr>
                <w:rFonts w:hint="eastAsia"/>
                <w:kern w:val="2"/>
                <w:szCs w:val="24"/>
                <w:lang w:val="en-US" w:eastAsia="zh-CN"/>
              </w:rPr>
              <w:t>的进水水质要求进行控制</w:t>
            </w:r>
            <w:r>
              <w:rPr>
                <w:kern w:val="2"/>
                <w:szCs w:val="24"/>
                <w:lang w:val="en-US" w:eastAsia="zh-CN"/>
              </w:rPr>
              <w:t>。</w:t>
            </w:r>
          </w:p>
          <w:p w14:paraId="422AE23B">
            <w:pPr>
              <w:pStyle w:val="71"/>
              <w:jc w:val="left"/>
              <w:rPr>
                <w:kern w:val="2"/>
                <w:szCs w:val="24"/>
                <w:lang w:val="en-US" w:eastAsia="zh-CN"/>
              </w:rPr>
            </w:pPr>
            <w:r>
              <w:rPr>
                <w:rFonts w:hint="eastAsia"/>
                <w:kern w:val="2"/>
                <w:szCs w:val="24"/>
                <w:lang w:val="en-US" w:eastAsia="zh-CN"/>
              </w:rPr>
              <w:t>2、</w:t>
            </w:r>
            <w:r>
              <w:rPr>
                <w:kern w:val="2"/>
                <w:szCs w:val="24"/>
                <w:lang w:val="en-US" w:eastAsia="zh-CN"/>
              </w:rPr>
              <w:t>废水排污总量由</w:t>
            </w:r>
            <w:r>
              <w:rPr>
                <w:rFonts w:hint="eastAsia"/>
                <w:kern w:val="2"/>
                <w:szCs w:val="24"/>
                <w:lang w:val="en-US" w:eastAsia="zh-CN"/>
              </w:rPr>
              <w:t>扩建项目</w:t>
            </w:r>
            <w:r>
              <w:rPr>
                <w:kern w:val="2"/>
                <w:szCs w:val="24"/>
                <w:lang w:val="en-US" w:eastAsia="zh-CN"/>
              </w:rPr>
              <w:t>自行交易的COD、氨氮排污权，不计入福州万景石化有限公司污水处理站</w:t>
            </w:r>
            <w:r>
              <w:rPr>
                <w:rFonts w:hint="eastAsia"/>
                <w:kern w:val="2"/>
                <w:szCs w:val="24"/>
                <w:lang w:val="en-US" w:eastAsia="zh-CN"/>
              </w:rPr>
              <w:t>污水处理设施</w:t>
            </w:r>
            <w:r>
              <w:rPr>
                <w:kern w:val="2"/>
                <w:szCs w:val="24"/>
                <w:lang w:val="en-US" w:eastAsia="zh-CN"/>
              </w:rPr>
              <w:t>。</w:t>
            </w:r>
          </w:p>
          <w:p w14:paraId="2FDCC410">
            <w:pPr>
              <w:pStyle w:val="71"/>
              <w:jc w:val="left"/>
              <w:rPr>
                <w:kern w:val="2"/>
                <w:szCs w:val="24"/>
                <w:lang w:val="en-US" w:eastAsia="zh-CN"/>
              </w:rPr>
            </w:pPr>
            <w:r>
              <w:rPr>
                <w:rFonts w:hint="eastAsia"/>
                <w:kern w:val="2"/>
                <w:szCs w:val="24"/>
                <w:lang w:val="en-US" w:eastAsia="zh-CN"/>
              </w:rPr>
              <w:t>3、扩建项目新增2个废气排放口，1个废水排放口，</w:t>
            </w:r>
            <w:r>
              <w:rPr>
                <w:kern w:val="2"/>
                <w:szCs w:val="24"/>
                <w:lang w:val="en-US" w:eastAsia="zh-CN"/>
              </w:rPr>
              <w:t>要求建设单位按照《关于开展排放口规范化整治工作的通知》（环发〔1999〕24号）和《排污口规范化整治技术要求（试行）》（环监〔1996〕470号）等文件要求，进行排污口规范化设置工作。</w:t>
            </w:r>
          </w:p>
          <w:p w14:paraId="68A8CF90">
            <w:pPr>
              <w:pStyle w:val="71"/>
              <w:jc w:val="left"/>
              <w:rPr>
                <w:kern w:val="2"/>
                <w:szCs w:val="24"/>
                <w:lang w:val="en-US" w:eastAsia="zh-CN"/>
              </w:rPr>
            </w:pPr>
            <w:r>
              <w:rPr>
                <w:rFonts w:hint="eastAsia"/>
                <w:kern w:val="2"/>
                <w:szCs w:val="24"/>
                <w:lang w:val="en-US" w:eastAsia="zh-CN"/>
              </w:rPr>
              <w:t>3、</w:t>
            </w:r>
            <w:r>
              <w:rPr>
                <w:kern w:val="2"/>
                <w:szCs w:val="24"/>
                <w:lang w:val="en-US" w:eastAsia="zh-CN"/>
              </w:rP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14:paraId="7586C6A7">
            <w:pPr>
              <w:pStyle w:val="71"/>
              <w:jc w:val="left"/>
              <w:rPr>
                <w:kern w:val="2"/>
                <w:szCs w:val="24"/>
                <w:lang w:val="en-US" w:eastAsia="zh-CN"/>
              </w:rPr>
            </w:pPr>
            <w:r>
              <w:rPr>
                <w:rFonts w:hint="eastAsia"/>
                <w:kern w:val="2"/>
                <w:szCs w:val="24"/>
                <w:lang w:val="en-US" w:eastAsia="zh-CN"/>
              </w:rPr>
              <w:t>4、</w:t>
            </w:r>
            <w:r>
              <w:rPr>
                <w:kern w:val="2"/>
                <w:szCs w:val="24"/>
                <w:lang w:val="en-US" w:eastAsia="zh-CN"/>
              </w:rPr>
              <w:t>根据</w:t>
            </w:r>
            <w:r>
              <w:rPr>
                <w:rFonts w:hint="eastAsia"/>
                <w:kern w:val="2"/>
                <w:szCs w:val="24"/>
                <w:lang w:val="en-US" w:eastAsia="zh-CN"/>
              </w:rPr>
              <w:t>《固定污染源排污许可分类管理名录（2019年版）》</w:t>
            </w:r>
            <w:r>
              <w:rPr>
                <w:kern w:val="2"/>
                <w:szCs w:val="24"/>
                <w:lang w:val="en-US" w:eastAsia="zh-CN"/>
              </w:rPr>
              <w:t>等相关规范要求，</w:t>
            </w:r>
            <w:r>
              <w:rPr>
                <w:rFonts w:hint="eastAsia"/>
                <w:kern w:val="2"/>
                <w:szCs w:val="24"/>
                <w:lang w:val="en-US" w:eastAsia="zh-CN"/>
              </w:rPr>
              <w:t>扩建项目为其他危险品仓储（含油品码头后方配套油库，不含储备油库），属于登记管理</w:t>
            </w:r>
            <w:r>
              <w:rPr>
                <w:kern w:val="2"/>
                <w:szCs w:val="24"/>
                <w:lang w:val="en-US" w:eastAsia="zh-CN"/>
              </w:rPr>
              <w:t>。</w:t>
            </w:r>
          </w:p>
          <w:p w14:paraId="1F619578">
            <w:pPr>
              <w:pStyle w:val="71"/>
              <w:jc w:val="left"/>
              <w:rPr>
                <w:kern w:val="2"/>
                <w:szCs w:val="24"/>
                <w:lang w:val="en-US" w:eastAsia="zh-CN"/>
              </w:rPr>
            </w:pPr>
            <w:r>
              <w:rPr>
                <w:rFonts w:hint="eastAsia"/>
                <w:kern w:val="2"/>
                <w:szCs w:val="24"/>
                <w:lang w:val="en-US" w:eastAsia="zh-CN"/>
              </w:rPr>
              <w:t>根据《固定污染源排污许可分类管理名录（2019年版）》，扩建项目为登记管理，未明确要求开展自行监测。企业根据自身生产情况，为加强企业自身污染源管理，依据《排污许可证申请与核发技术规范总则》（HJ942-2018）等相关规范的要求，对扩建项目大气污染物进行自行监测，以满足江阴港城经济区VOCs总量控制的要求。</w:t>
            </w:r>
          </w:p>
          <w:p w14:paraId="3A67DAA0">
            <w:pPr>
              <w:adjustRightInd w:val="0"/>
              <w:snapToGrid w:val="0"/>
              <w:spacing w:line="240" w:lineRule="auto"/>
              <w:ind w:firstLine="0" w:firstLineChars="0"/>
              <w:jc w:val="center"/>
              <w:rPr>
                <w:b/>
                <w:szCs w:val="21"/>
              </w:rPr>
            </w:pPr>
          </w:p>
          <w:p w14:paraId="0E577722">
            <w:pPr>
              <w:adjustRightInd w:val="0"/>
              <w:snapToGrid w:val="0"/>
              <w:spacing w:line="240" w:lineRule="auto"/>
              <w:ind w:firstLine="0" w:firstLineChars="0"/>
              <w:jc w:val="center"/>
              <w:rPr>
                <w:b/>
                <w:szCs w:val="21"/>
              </w:rPr>
            </w:pPr>
            <w:r>
              <w:rPr>
                <w:b/>
                <w:szCs w:val="21"/>
              </w:rPr>
              <w:t>表</w:t>
            </w:r>
            <w:r>
              <w:rPr>
                <w:rFonts w:hint="eastAsia"/>
                <w:b/>
                <w:szCs w:val="21"/>
              </w:rPr>
              <w:t>5.1-1</w:t>
            </w:r>
            <w:r>
              <w:rPr>
                <w:b/>
                <w:szCs w:val="21"/>
              </w:rPr>
              <w:t>运营期监测计划表</w:t>
            </w:r>
          </w:p>
          <w:p w14:paraId="63EC5C25">
            <w:pPr>
              <w:ind w:firstLine="482"/>
              <w:jc w:val="center"/>
            </w:pPr>
            <w:r>
              <w:rPr>
                <w:rFonts w:hint="eastAsia"/>
                <w:b/>
              </w:rPr>
              <w:t>***（略，涉及商业秘密）</w:t>
            </w:r>
          </w:p>
          <w:p w14:paraId="0F943182">
            <w:pPr>
              <w:pStyle w:val="2"/>
              <w:ind w:firstLine="480"/>
              <w:rPr>
                <w:lang w:val="en-US" w:eastAsia="zh-CN"/>
              </w:rPr>
            </w:pPr>
          </w:p>
          <w:p w14:paraId="4B240B4E">
            <w:pPr>
              <w:pStyle w:val="71"/>
              <w:jc w:val="left"/>
              <w:rPr>
                <w:kern w:val="2"/>
                <w:szCs w:val="24"/>
                <w:lang w:val="en-US" w:eastAsia="zh-CN"/>
              </w:rPr>
            </w:pPr>
          </w:p>
        </w:tc>
      </w:tr>
    </w:tbl>
    <w:p w14:paraId="0C351E55">
      <w:pPr>
        <w:ind w:firstLine="0" w:firstLineChars="0"/>
        <w:jc w:val="center"/>
        <w:outlineLvl w:val="0"/>
        <w:rPr>
          <w:rStyle w:val="65"/>
        </w:rPr>
      </w:pPr>
      <w:r>
        <w:rPr>
          <w:snapToGrid w:val="0"/>
        </w:rPr>
        <w:br w:type="page"/>
      </w:r>
      <w: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562215" cy="10691495"/>
            <wp:effectExtent l="0" t="0" r="635" b="0"/>
            <wp:wrapNone/>
            <wp:docPr id="59" name="图片 59" descr="J:\xwechat_files\yaoyaoyuzui504089_13f3\temp\InputTemp\601c304e-57d2-46e7-a850-0c49449923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J:\xwechat_files\yaoyaoyuzui504089_13f3\temp\InputTemp\601c304e-57d2-46e7-a850-0c494499233d.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7562215" cy="10691495"/>
                    </a:xfrm>
                    <a:prstGeom prst="rect">
                      <a:avLst/>
                    </a:prstGeom>
                    <a:noFill/>
                    <a:ln>
                      <a:noFill/>
                    </a:ln>
                  </pic:spPr>
                </pic:pic>
              </a:graphicData>
            </a:graphic>
          </wp:anchor>
        </w:drawing>
      </w:r>
      <w:r>
        <w:rPr>
          <w:rStyle w:val="65"/>
        </w:rPr>
        <w:t>六、结论</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28" w:type="dxa"/>
          <w:bottom w:w="0" w:type="dxa"/>
          <w:right w:w="28" w:type="dxa"/>
        </w:tblCellMar>
      </w:tblPr>
      <w:tblGrid>
        <w:gridCol w:w="9127"/>
      </w:tblGrid>
      <w:tr w14:paraId="29E88478">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11991" w:hRule="atLeast"/>
        </w:trPr>
        <w:tc>
          <w:tcPr>
            <w:tcW w:w="5000" w:type="pct"/>
          </w:tcPr>
          <w:p w14:paraId="1346BFA7">
            <w:pPr>
              <w:snapToGrid w:val="0"/>
              <w:ind w:firstLine="480"/>
            </w:pPr>
            <w:r>
              <w:t>福州中江化工码头罐区扩建项目符合国家产业政策，选址合理。</w:t>
            </w:r>
            <w:r>
              <w:rPr>
                <w:rFonts w:hint="eastAsia"/>
              </w:rPr>
              <w:t>扩建项目符合</w:t>
            </w:r>
            <w:r>
              <w:t>《福州港总体规划》（2035年）</w:t>
            </w:r>
            <w:r>
              <w:rPr>
                <w:rFonts w:hint="eastAsia"/>
              </w:rPr>
              <w:t>、</w:t>
            </w:r>
            <w:r>
              <w:rPr>
                <w:kern w:val="0"/>
              </w:rPr>
              <w:t>《福州江阴港城总体规划（2018-2035年）》</w:t>
            </w:r>
            <w:r>
              <w:rPr>
                <w:rFonts w:hint="eastAsia"/>
                <w:kern w:val="0"/>
              </w:rPr>
              <w:t>、</w:t>
            </w:r>
            <w:r>
              <w:rPr>
                <w:rFonts w:hint="eastAsia"/>
              </w:rPr>
              <w:t>《</w:t>
            </w:r>
            <w:r>
              <w:rPr>
                <w:rFonts w:hint="eastAsia"/>
                <w:szCs w:val="20"/>
              </w:rPr>
              <w:t>福州江阴港城经济区产业发展规划》、</w:t>
            </w:r>
            <w:r>
              <w:rPr>
                <w:rFonts w:hint="eastAsia"/>
              </w:rPr>
              <w:t>《江阴港城经济区（暨江阴镇、新厝镇）国土空间总体规划（2021-2035年）》</w:t>
            </w:r>
            <w:r>
              <w:rPr>
                <w:rFonts w:hint="eastAsia"/>
                <w:kern w:val="0"/>
              </w:rPr>
              <w:t>等规划，符合</w:t>
            </w:r>
            <w:r>
              <w:t>《福州港总体规划（修订）环境影响报告书》</w:t>
            </w:r>
            <w:r>
              <w:rPr>
                <w:rFonts w:hint="eastAsia"/>
              </w:rPr>
              <w:t>及其</w:t>
            </w:r>
            <w:r>
              <w:t>审查意见</w:t>
            </w:r>
            <w:r>
              <w:rPr>
                <w:rFonts w:hint="eastAsia"/>
              </w:rPr>
              <w:t>、</w:t>
            </w:r>
            <w:r>
              <w:t>《福州江阴港城总体规划（2018-2035年）环境影响报告书》</w:t>
            </w:r>
            <w:r>
              <w:rPr>
                <w:rFonts w:hint="eastAsia"/>
              </w:rPr>
              <w:t>及其</w:t>
            </w:r>
            <w:r>
              <w:t>规划环评审查意见</w:t>
            </w:r>
            <w:r>
              <w:rPr>
                <w:rFonts w:hint="eastAsia"/>
              </w:rPr>
              <w:t>、《</w:t>
            </w:r>
            <w:r>
              <w:rPr>
                <w:rFonts w:hint="eastAsia"/>
                <w:szCs w:val="20"/>
              </w:rPr>
              <w:t>福州江阴港城经济区产业发展规划环境影响报告书》</w:t>
            </w:r>
            <w:r>
              <w:rPr>
                <w:rFonts w:hint="eastAsia"/>
              </w:rPr>
              <w:t>及其</w:t>
            </w:r>
            <w:r>
              <w:t>审查意见</w:t>
            </w:r>
            <w:r>
              <w:rPr>
                <w:rFonts w:hint="eastAsia"/>
              </w:rPr>
              <w:t>的要求。符合福州市“生态环境分区管控”要求。</w:t>
            </w:r>
            <w:r>
              <w:t>项目建成后具有较明显的社会、经济、环境综合效益；其所在地环境质量较良好。项目建成投入使用、落实各项环保措施后，在正常生产情况下排放的各类污染物数量不大，对周边环境影响较小。</w:t>
            </w:r>
            <w:r>
              <w:rPr>
                <w:rFonts w:hint="eastAsia"/>
              </w:rPr>
              <w:t>扩建项目</w:t>
            </w:r>
            <w:r>
              <w:t>在确保安全生产、避免因安全生产事故引发的环境污染事件，切实落实环评提出的环境风险防范措施、应急措施，并加强环境管理的前提下，建设项目环境风险是可防控的</w:t>
            </w:r>
            <w:r>
              <w:rPr>
                <w:rFonts w:hint="eastAsia"/>
              </w:rPr>
              <w:t>。因此</w:t>
            </w:r>
            <w:r>
              <w:t>建设项目在认真落实本报告表提出的各项措施，在</w:t>
            </w:r>
            <w:r>
              <w:rPr>
                <w:rFonts w:hint="eastAsia"/>
              </w:rPr>
              <w:t>落实环保</w:t>
            </w:r>
            <w:r>
              <w:t>“三同时”基础上，从</w:t>
            </w:r>
            <w:r>
              <w:rPr>
                <w:rFonts w:hint="eastAsia"/>
              </w:rPr>
              <w:t>环境影响</w:t>
            </w:r>
            <w:r>
              <w:t>角度分析</w:t>
            </w:r>
            <w:r>
              <w:rPr>
                <w:rFonts w:hint="eastAsia"/>
              </w:rPr>
              <w:t>，本次扩建项目的</w:t>
            </w:r>
            <w:r>
              <w:t>建设是可行的。</w:t>
            </w:r>
          </w:p>
          <w:p w14:paraId="19284354">
            <w:pPr>
              <w:pStyle w:val="2"/>
              <w:ind w:firstLine="480"/>
              <w:jc w:val="right"/>
              <w:rPr>
                <w:lang w:val="en-US" w:eastAsia="zh-CN"/>
              </w:rPr>
            </w:pPr>
          </w:p>
          <w:p w14:paraId="081DAF8C">
            <w:pPr>
              <w:pStyle w:val="2"/>
              <w:ind w:firstLine="480"/>
              <w:jc w:val="right"/>
              <w:rPr>
                <w:lang w:val="en-US" w:eastAsia="zh-CN"/>
              </w:rPr>
            </w:pPr>
          </w:p>
          <w:p w14:paraId="367DE8A2">
            <w:pPr>
              <w:pStyle w:val="2"/>
              <w:wordWrap w:val="0"/>
              <w:ind w:firstLine="482"/>
              <w:jc w:val="right"/>
              <w:rPr>
                <w:b/>
                <w:lang w:val="en-US" w:eastAsia="zh-CN"/>
              </w:rPr>
            </w:pPr>
            <w:r>
              <w:rPr>
                <w:b/>
                <w:lang w:val="en-US" w:eastAsia="zh-CN"/>
              </w:rPr>
              <w:t>福建省石油化学工业设计院</w:t>
            </w:r>
            <w:r>
              <w:rPr>
                <w:rFonts w:hint="eastAsia"/>
                <w:b/>
                <w:lang w:val="en-US" w:eastAsia="zh-CN"/>
              </w:rPr>
              <w:t>有限公司</w:t>
            </w:r>
          </w:p>
          <w:p w14:paraId="65580029">
            <w:pPr>
              <w:pStyle w:val="3"/>
              <w:ind w:firstLine="482"/>
              <w:jc w:val="right"/>
              <w:rPr>
                <w:b/>
              </w:rPr>
            </w:pPr>
            <w:r>
              <w:rPr>
                <w:b/>
              </w:rPr>
              <w:t>202</w:t>
            </w:r>
            <w:r>
              <w:rPr>
                <w:rFonts w:hint="eastAsia"/>
                <w:b/>
              </w:rPr>
              <w:t>6</w:t>
            </w:r>
            <w:r>
              <w:rPr>
                <w:b/>
              </w:rPr>
              <w:t>年</w:t>
            </w:r>
            <w:r>
              <w:rPr>
                <w:rFonts w:hint="eastAsia"/>
                <w:b/>
              </w:rPr>
              <w:t>3</w:t>
            </w:r>
            <w:r>
              <w:rPr>
                <w:b/>
              </w:rPr>
              <w:t>月</w:t>
            </w:r>
          </w:p>
          <w:p w14:paraId="4B0278C3">
            <w:pPr>
              <w:pStyle w:val="3"/>
              <w:ind w:firstLine="480"/>
            </w:pPr>
          </w:p>
          <w:p w14:paraId="668D284A">
            <w:pPr>
              <w:ind w:firstLine="480"/>
            </w:pPr>
          </w:p>
          <w:p w14:paraId="3C3A9F01">
            <w:pPr>
              <w:pStyle w:val="2"/>
              <w:ind w:firstLine="480"/>
              <w:rPr>
                <w:lang w:val="en-US" w:eastAsia="zh-CN"/>
              </w:rPr>
            </w:pPr>
          </w:p>
          <w:p w14:paraId="1B168694">
            <w:pPr>
              <w:pStyle w:val="3"/>
              <w:ind w:firstLine="480"/>
            </w:pPr>
          </w:p>
          <w:p w14:paraId="6D3B7101">
            <w:pPr>
              <w:ind w:firstLine="480"/>
            </w:pPr>
          </w:p>
        </w:tc>
      </w:tr>
    </w:tbl>
    <w:p w14:paraId="6CD05162">
      <w:pPr>
        <w:ind w:firstLine="0" w:firstLineChars="0"/>
        <w:jc w:val="center"/>
        <w:outlineLvl w:val="0"/>
        <w:sectPr>
          <w:pgSz w:w="11905" w:h="16838"/>
          <w:pgMar w:top="1417" w:right="1417" w:bottom="1417" w:left="1417" w:header="851" w:footer="850" w:gutter="0"/>
          <w:cols w:space="720" w:num="1"/>
          <w:docGrid w:linePitch="312" w:charSpace="0"/>
        </w:sectPr>
      </w:pPr>
    </w:p>
    <w:p w14:paraId="73D03F3C">
      <w:pPr>
        <w:pStyle w:val="6"/>
        <w:spacing w:before="120" w:after="120"/>
        <w:jc w:val="left"/>
      </w:pPr>
      <w:r>
        <w:t>附表</w:t>
      </w:r>
    </w:p>
    <w:p w14:paraId="5F3AE2A5">
      <w:pPr>
        <w:pStyle w:val="7"/>
        <w:tabs>
          <w:tab w:val="left" w:pos="5400"/>
        </w:tabs>
        <w:spacing w:before="120"/>
        <w:jc w:val="center"/>
        <w:rPr>
          <w:sz w:val="36"/>
          <w:szCs w:val="36"/>
        </w:rPr>
      </w:pPr>
      <w:r>
        <w:rPr>
          <w:sz w:val="36"/>
          <w:szCs w:val="36"/>
        </w:rPr>
        <w:t>建设项目污染物排放量汇总表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485"/>
        <w:gridCol w:w="1564"/>
        <w:gridCol w:w="1121"/>
        <w:gridCol w:w="2372"/>
        <w:gridCol w:w="1422"/>
        <w:gridCol w:w="1817"/>
        <w:gridCol w:w="1843"/>
        <w:gridCol w:w="1354"/>
      </w:tblGrid>
      <w:tr w14:paraId="520D0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single" w:color="auto" w:sz="4" w:space="0"/>
            </w:tcBorders>
            <w:vAlign w:val="center"/>
          </w:tcPr>
          <w:p w14:paraId="484A0A18">
            <w:pPr>
              <w:spacing w:line="240" w:lineRule="auto"/>
              <w:ind w:firstLine="0" w:firstLineChars="0"/>
              <w:jc w:val="right"/>
              <w:rPr>
                <w:rFonts w:eastAsia="黑体"/>
                <w:sz w:val="21"/>
              </w:rPr>
            </w:pPr>
            <w:r>
              <w:rPr>
                <w:rFonts w:eastAsia="黑体"/>
                <w:sz w:val="21"/>
              </w:rPr>
              <w:t>项目</w:t>
            </w:r>
          </w:p>
          <w:p w14:paraId="45EF4AAB">
            <w:pPr>
              <w:spacing w:line="240" w:lineRule="auto"/>
              <w:ind w:firstLine="0" w:firstLineChars="0"/>
              <w:jc w:val="left"/>
              <w:rPr>
                <w:rFonts w:eastAsia="黑体"/>
                <w:sz w:val="21"/>
              </w:rPr>
            </w:pPr>
            <w:r>
              <w:rPr>
                <w:rFonts w:eastAsia="黑体"/>
                <w:sz w:val="21"/>
              </w:rPr>
              <w:t>分类</w:t>
            </w:r>
          </w:p>
        </w:tc>
        <w:tc>
          <w:tcPr>
            <w:tcW w:w="522" w:type="pct"/>
            <w:vAlign w:val="center"/>
          </w:tcPr>
          <w:p w14:paraId="5D222E99">
            <w:pPr>
              <w:spacing w:line="240" w:lineRule="auto"/>
              <w:ind w:firstLine="0" w:firstLineChars="0"/>
              <w:jc w:val="center"/>
              <w:rPr>
                <w:rFonts w:eastAsia="黑体"/>
                <w:sz w:val="21"/>
              </w:rPr>
            </w:pPr>
            <w:r>
              <w:rPr>
                <w:rFonts w:eastAsia="黑体"/>
                <w:sz w:val="21"/>
              </w:rPr>
              <w:t>污染物名称</w:t>
            </w:r>
          </w:p>
        </w:tc>
        <w:tc>
          <w:tcPr>
            <w:tcW w:w="550" w:type="pct"/>
            <w:vAlign w:val="center"/>
          </w:tcPr>
          <w:p w14:paraId="6322F3DE">
            <w:pPr>
              <w:spacing w:line="240" w:lineRule="auto"/>
              <w:ind w:firstLine="0" w:firstLineChars="0"/>
              <w:jc w:val="center"/>
              <w:rPr>
                <w:rFonts w:eastAsia="黑体"/>
                <w:sz w:val="21"/>
              </w:rPr>
            </w:pPr>
            <w:r>
              <w:rPr>
                <w:rFonts w:eastAsia="黑体"/>
                <w:sz w:val="21"/>
              </w:rPr>
              <w:t>现有工程排放量（固体废物产生量）</w:t>
            </w:r>
            <w:r>
              <w:rPr>
                <w:rFonts w:eastAsia="黑体"/>
                <w:sz w:val="21"/>
              </w:rPr>
              <w:fldChar w:fldCharType="begin"/>
            </w:r>
            <w:r>
              <w:rPr>
                <w:rFonts w:eastAsia="黑体"/>
                <w:sz w:val="21"/>
              </w:rPr>
              <w:instrText xml:space="preserve"> = 1 \* GB3 \* MERGEFORMAT </w:instrText>
            </w:r>
            <w:r>
              <w:rPr>
                <w:rFonts w:eastAsia="黑体"/>
                <w:sz w:val="21"/>
              </w:rPr>
              <w:fldChar w:fldCharType="separate"/>
            </w:r>
            <w:r>
              <w:rPr>
                <w:rFonts w:hint="eastAsia" w:ascii="宋体" w:hAnsi="宋体" w:cs="宋体"/>
                <w:sz w:val="21"/>
              </w:rPr>
              <w:t>①</w:t>
            </w:r>
            <w:r>
              <w:rPr>
                <w:rFonts w:eastAsia="黑体"/>
                <w:sz w:val="21"/>
              </w:rPr>
              <w:fldChar w:fldCharType="end"/>
            </w:r>
          </w:p>
        </w:tc>
        <w:tc>
          <w:tcPr>
            <w:tcW w:w="394" w:type="pct"/>
            <w:vAlign w:val="center"/>
          </w:tcPr>
          <w:p w14:paraId="5A57E9CF">
            <w:pPr>
              <w:spacing w:line="240" w:lineRule="auto"/>
              <w:ind w:firstLine="0" w:firstLineChars="0"/>
              <w:jc w:val="center"/>
              <w:rPr>
                <w:rFonts w:eastAsia="黑体"/>
                <w:sz w:val="21"/>
              </w:rPr>
            </w:pPr>
            <w:r>
              <w:rPr>
                <w:rFonts w:eastAsia="黑体"/>
                <w:sz w:val="21"/>
              </w:rPr>
              <w:t>现有工程许可排放量</w:t>
            </w:r>
          </w:p>
          <w:p w14:paraId="4E6A8584">
            <w:pPr>
              <w:spacing w:line="240" w:lineRule="auto"/>
              <w:ind w:firstLine="0" w:firstLineChars="0"/>
              <w:jc w:val="center"/>
              <w:rPr>
                <w:rFonts w:eastAsia="黑体"/>
                <w:sz w:val="21"/>
              </w:rPr>
            </w:pPr>
            <w:r>
              <w:rPr>
                <w:rFonts w:eastAsia="黑体"/>
                <w:sz w:val="21"/>
              </w:rPr>
              <w:fldChar w:fldCharType="begin"/>
            </w:r>
            <w:r>
              <w:rPr>
                <w:rFonts w:eastAsia="黑体"/>
                <w:sz w:val="21"/>
              </w:rPr>
              <w:instrText xml:space="preserve"> = 2 \* GB3 \* MERGEFORMAT </w:instrText>
            </w:r>
            <w:r>
              <w:rPr>
                <w:rFonts w:eastAsia="黑体"/>
                <w:sz w:val="21"/>
              </w:rPr>
              <w:fldChar w:fldCharType="separate"/>
            </w:r>
            <w:r>
              <w:rPr>
                <w:rFonts w:hint="eastAsia" w:ascii="宋体" w:hAnsi="宋体" w:cs="宋体"/>
                <w:sz w:val="21"/>
              </w:rPr>
              <w:t>②</w:t>
            </w:r>
            <w:r>
              <w:rPr>
                <w:rFonts w:eastAsia="黑体"/>
                <w:sz w:val="21"/>
              </w:rPr>
              <w:fldChar w:fldCharType="end"/>
            </w:r>
          </w:p>
        </w:tc>
        <w:tc>
          <w:tcPr>
            <w:tcW w:w="834" w:type="pct"/>
            <w:vAlign w:val="center"/>
          </w:tcPr>
          <w:p w14:paraId="1F859654">
            <w:pPr>
              <w:spacing w:line="240" w:lineRule="auto"/>
              <w:ind w:firstLine="0" w:firstLineChars="0"/>
              <w:jc w:val="center"/>
              <w:rPr>
                <w:rFonts w:eastAsia="黑体"/>
                <w:sz w:val="21"/>
              </w:rPr>
            </w:pPr>
            <w:r>
              <w:rPr>
                <w:rFonts w:eastAsia="黑体"/>
                <w:sz w:val="21"/>
              </w:rPr>
              <w:t>在建工程排放量（固体废物产生量）</w:t>
            </w:r>
            <w:r>
              <w:rPr>
                <w:rFonts w:eastAsia="黑体"/>
                <w:sz w:val="21"/>
              </w:rPr>
              <w:fldChar w:fldCharType="begin"/>
            </w:r>
            <w:r>
              <w:rPr>
                <w:rFonts w:eastAsia="黑体"/>
                <w:sz w:val="21"/>
              </w:rPr>
              <w:instrText xml:space="preserve"> = 3 \* GB3 \* MERGEFORMAT </w:instrText>
            </w:r>
            <w:r>
              <w:rPr>
                <w:rFonts w:eastAsia="黑体"/>
                <w:sz w:val="21"/>
              </w:rPr>
              <w:fldChar w:fldCharType="separate"/>
            </w:r>
            <w:r>
              <w:rPr>
                <w:rFonts w:hint="eastAsia" w:ascii="宋体" w:hAnsi="宋体" w:cs="宋体"/>
                <w:sz w:val="21"/>
              </w:rPr>
              <w:t>③</w:t>
            </w:r>
            <w:r>
              <w:rPr>
                <w:rFonts w:eastAsia="黑体"/>
                <w:sz w:val="21"/>
              </w:rPr>
              <w:fldChar w:fldCharType="end"/>
            </w:r>
          </w:p>
        </w:tc>
        <w:tc>
          <w:tcPr>
            <w:tcW w:w="500" w:type="pct"/>
            <w:vAlign w:val="center"/>
          </w:tcPr>
          <w:p w14:paraId="4A0AE5D7">
            <w:pPr>
              <w:spacing w:line="240" w:lineRule="auto"/>
              <w:ind w:firstLine="0" w:firstLineChars="0"/>
              <w:jc w:val="center"/>
              <w:rPr>
                <w:rFonts w:eastAsia="黑体"/>
                <w:sz w:val="21"/>
              </w:rPr>
            </w:pPr>
            <w:r>
              <w:rPr>
                <w:rFonts w:eastAsia="黑体"/>
                <w:sz w:val="21"/>
              </w:rPr>
              <w:t>本项目排放量（固体废物产生量）</w:t>
            </w:r>
            <w:r>
              <w:rPr>
                <w:rFonts w:eastAsia="黑体"/>
                <w:sz w:val="21"/>
              </w:rPr>
              <w:fldChar w:fldCharType="begin"/>
            </w:r>
            <w:r>
              <w:rPr>
                <w:rFonts w:eastAsia="黑体"/>
                <w:sz w:val="21"/>
              </w:rPr>
              <w:instrText xml:space="preserve"> = 4 \* GB3 \* MERGEFORMAT </w:instrText>
            </w:r>
            <w:r>
              <w:rPr>
                <w:rFonts w:eastAsia="黑体"/>
                <w:sz w:val="21"/>
              </w:rPr>
              <w:fldChar w:fldCharType="separate"/>
            </w:r>
            <w:r>
              <w:rPr>
                <w:rFonts w:hint="eastAsia" w:ascii="宋体" w:hAnsi="宋体" w:cs="宋体"/>
                <w:sz w:val="21"/>
              </w:rPr>
              <w:t>④</w:t>
            </w:r>
            <w:r>
              <w:rPr>
                <w:rFonts w:eastAsia="黑体"/>
                <w:sz w:val="21"/>
              </w:rPr>
              <w:fldChar w:fldCharType="end"/>
            </w:r>
          </w:p>
        </w:tc>
        <w:tc>
          <w:tcPr>
            <w:tcW w:w="639" w:type="pct"/>
            <w:vAlign w:val="center"/>
          </w:tcPr>
          <w:p w14:paraId="27FEE9A9">
            <w:pPr>
              <w:spacing w:line="240" w:lineRule="auto"/>
              <w:ind w:firstLine="0" w:firstLineChars="0"/>
              <w:jc w:val="center"/>
              <w:rPr>
                <w:rFonts w:eastAsia="黑体"/>
                <w:sz w:val="21"/>
              </w:rPr>
            </w:pPr>
            <w:r>
              <w:rPr>
                <w:rFonts w:eastAsia="黑体"/>
                <w:sz w:val="21"/>
              </w:rPr>
              <w:t>以新带老削减量</w:t>
            </w:r>
          </w:p>
          <w:p w14:paraId="6D94C90A">
            <w:pPr>
              <w:spacing w:line="240" w:lineRule="auto"/>
              <w:ind w:firstLine="0" w:firstLineChars="0"/>
              <w:jc w:val="center"/>
              <w:rPr>
                <w:rFonts w:eastAsia="黑体"/>
                <w:sz w:val="21"/>
              </w:rPr>
            </w:pPr>
            <w:r>
              <w:rPr>
                <w:rFonts w:eastAsia="黑体"/>
                <w:sz w:val="21"/>
              </w:rPr>
              <w:t>（新建项目不填）</w:t>
            </w:r>
            <w:r>
              <w:rPr>
                <w:rFonts w:eastAsia="黑体"/>
                <w:sz w:val="21"/>
              </w:rPr>
              <w:fldChar w:fldCharType="begin"/>
            </w:r>
            <w:r>
              <w:rPr>
                <w:rFonts w:eastAsia="黑体"/>
                <w:sz w:val="21"/>
              </w:rPr>
              <w:instrText xml:space="preserve"> = 5 \* GB3 \* MERGEFORMAT </w:instrText>
            </w:r>
            <w:r>
              <w:rPr>
                <w:rFonts w:eastAsia="黑体"/>
                <w:sz w:val="21"/>
              </w:rPr>
              <w:fldChar w:fldCharType="separate"/>
            </w:r>
            <w:r>
              <w:rPr>
                <w:rFonts w:hint="eastAsia" w:ascii="宋体" w:hAnsi="宋体" w:cs="宋体"/>
                <w:sz w:val="21"/>
              </w:rPr>
              <w:t>⑤</w:t>
            </w:r>
            <w:r>
              <w:rPr>
                <w:rFonts w:eastAsia="黑体"/>
                <w:sz w:val="21"/>
              </w:rPr>
              <w:fldChar w:fldCharType="end"/>
            </w:r>
          </w:p>
        </w:tc>
        <w:tc>
          <w:tcPr>
            <w:tcW w:w="648" w:type="pct"/>
            <w:vAlign w:val="center"/>
          </w:tcPr>
          <w:p w14:paraId="53265927">
            <w:pPr>
              <w:spacing w:line="240" w:lineRule="auto"/>
              <w:ind w:firstLine="0" w:firstLineChars="0"/>
              <w:jc w:val="center"/>
              <w:rPr>
                <w:rFonts w:eastAsia="黑体"/>
                <w:sz w:val="21"/>
              </w:rPr>
            </w:pPr>
            <w:r>
              <w:rPr>
                <w:rFonts w:eastAsia="黑体"/>
                <w:sz w:val="21"/>
              </w:rPr>
              <w:t>本项目建成后全厂排放量（固体废物产生量）</w:t>
            </w:r>
            <w:r>
              <w:rPr>
                <w:rFonts w:eastAsia="黑体"/>
                <w:sz w:val="21"/>
              </w:rPr>
              <w:fldChar w:fldCharType="begin"/>
            </w:r>
            <w:r>
              <w:rPr>
                <w:rFonts w:eastAsia="黑体"/>
                <w:sz w:val="21"/>
              </w:rPr>
              <w:instrText xml:space="preserve"> = 6 \* GB3 \* MERGEFORMAT </w:instrText>
            </w:r>
            <w:r>
              <w:rPr>
                <w:rFonts w:eastAsia="黑体"/>
                <w:sz w:val="21"/>
              </w:rPr>
              <w:fldChar w:fldCharType="separate"/>
            </w:r>
            <w:r>
              <w:rPr>
                <w:rFonts w:hint="eastAsia" w:ascii="宋体" w:hAnsi="宋体" w:cs="宋体"/>
                <w:sz w:val="21"/>
              </w:rPr>
              <w:t>⑥</w:t>
            </w:r>
            <w:r>
              <w:rPr>
                <w:rFonts w:eastAsia="黑体"/>
                <w:sz w:val="21"/>
              </w:rPr>
              <w:fldChar w:fldCharType="end"/>
            </w:r>
          </w:p>
        </w:tc>
        <w:tc>
          <w:tcPr>
            <w:tcW w:w="476" w:type="pct"/>
            <w:vAlign w:val="center"/>
          </w:tcPr>
          <w:p w14:paraId="50AD337C">
            <w:pPr>
              <w:spacing w:line="240" w:lineRule="auto"/>
              <w:ind w:firstLine="0" w:firstLineChars="0"/>
              <w:jc w:val="center"/>
              <w:rPr>
                <w:rFonts w:eastAsia="黑体"/>
                <w:sz w:val="21"/>
              </w:rPr>
            </w:pPr>
            <w:r>
              <w:rPr>
                <w:rFonts w:eastAsia="黑体"/>
                <w:sz w:val="21"/>
              </w:rPr>
              <w:t>变化量</w:t>
            </w:r>
          </w:p>
          <w:p w14:paraId="7223EB49">
            <w:pPr>
              <w:spacing w:line="240" w:lineRule="auto"/>
              <w:ind w:firstLine="0" w:firstLineChars="0"/>
              <w:jc w:val="center"/>
              <w:rPr>
                <w:rFonts w:eastAsia="黑体"/>
                <w:sz w:val="21"/>
              </w:rPr>
            </w:pPr>
            <w:r>
              <w:rPr>
                <w:rFonts w:eastAsia="黑体"/>
                <w:sz w:val="21"/>
              </w:rPr>
              <w:fldChar w:fldCharType="begin"/>
            </w:r>
            <w:r>
              <w:rPr>
                <w:rFonts w:eastAsia="黑体"/>
                <w:sz w:val="21"/>
              </w:rPr>
              <w:instrText xml:space="preserve"> = 7 \* GB3 \* MERGEFORMAT </w:instrText>
            </w:r>
            <w:r>
              <w:rPr>
                <w:rFonts w:eastAsia="黑体"/>
                <w:sz w:val="21"/>
              </w:rPr>
              <w:fldChar w:fldCharType="separate"/>
            </w:r>
            <w:r>
              <w:rPr>
                <w:rFonts w:hint="eastAsia" w:ascii="宋体" w:hAnsi="宋体" w:cs="宋体"/>
                <w:sz w:val="21"/>
              </w:rPr>
              <w:t>⑦</w:t>
            </w:r>
            <w:r>
              <w:rPr>
                <w:rFonts w:eastAsia="黑体"/>
                <w:sz w:val="21"/>
              </w:rPr>
              <w:fldChar w:fldCharType="end"/>
            </w:r>
          </w:p>
        </w:tc>
      </w:tr>
      <w:tr w14:paraId="3D963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37" w:type="pct"/>
            <w:vMerge w:val="restart"/>
            <w:vAlign w:val="center"/>
          </w:tcPr>
          <w:p w14:paraId="76A76F90">
            <w:pPr>
              <w:pStyle w:val="71"/>
              <w:rPr>
                <w:kern w:val="2"/>
                <w:szCs w:val="24"/>
                <w:lang w:val="en-US" w:eastAsia="zh-CN"/>
              </w:rPr>
            </w:pPr>
            <w:r>
              <w:rPr>
                <w:kern w:val="2"/>
                <w:szCs w:val="24"/>
                <w:lang w:val="en-US" w:eastAsia="zh-CN"/>
              </w:rPr>
              <w:t>废气</w:t>
            </w:r>
          </w:p>
        </w:tc>
        <w:tc>
          <w:tcPr>
            <w:tcW w:w="522" w:type="pct"/>
            <w:vAlign w:val="center"/>
          </w:tcPr>
          <w:p w14:paraId="32BC0138">
            <w:pPr>
              <w:adjustRightInd w:val="0"/>
              <w:snapToGrid w:val="0"/>
              <w:spacing w:line="240" w:lineRule="auto"/>
              <w:ind w:firstLine="0" w:firstLineChars="0"/>
              <w:jc w:val="center"/>
              <w:rPr>
                <w:sz w:val="21"/>
                <w:szCs w:val="21"/>
              </w:rPr>
            </w:pPr>
            <w:r>
              <w:rPr>
                <w:rFonts w:hint="eastAsia"/>
                <w:sz w:val="21"/>
                <w:szCs w:val="21"/>
              </w:rPr>
              <w:t>MA</w:t>
            </w:r>
          </w:p>
        </w:tc>
        <w:tc>
          <w:tcPr>
            <w:tcW w:w="550" w:type="pct"/>
            <w:vAlign w:val="center"/>
          </w:tcPr>
          <w:p w14:paraId="13F2ECB1">
            <w:pPr>
              <w:adjustRightInd w:val="0"/>
              <w:snapToGrid w:val="0"/>
              <w:spacing w:line="240" w:lineRule="auto"/>
              <w:ind w:firstLine="0" w:firstLineChars="0"/>
              <w:jc w:val="center"/>
              <w:rPr>
                <w:sz w:val="21"/>
                <w:szCs w:val="21"/>
              </w:rPr>
            </w:pPr>
            <w:r>
              <w:rPr>
                <w:rFonts w:hint="eastAsia"/>
                <w:sz w:val="21"/>
                <w:szCs w:val="21"/>
              </w:rPr>
              <w:t>0</w:t>
            </w:r>
          </w:p>
        </w:tc>
        <w:tc>
          <w:tcPr>
            <w:tcW w:w="394" w:type="pct"/>
            <w:vAlign w:val="center"/>
          </w:tcPr>
          <w:p w14:paraId="146AF7AA">
            <w:pPr>
              <w:adjustRightInd w:val="0"/>
              <w:snapToGrid w:val="0"/>
              <w:spacing w:line="240" w:lineRule="auto"/>
              <w:ind w:firstLine="0" w:firstLineChars="0"/>
              <w:jc w:val="center"/>
              <w:rPr>
                <w:sz w:val="21"/>
                <w:szCs w:val="21"/>
              </w:rPr>
            </w:pPr>
            <w:r>
              <w:rPr>
                <w:rFonts w:hint="eastAsia"/>
                <w:sz w:val="21"/>
                <w:szCs w:val="21"/>
              </w:rPr>
              <w:t>0</w:t>
            </w:r>
          </w:p>
        </w:tc>
        <w:tc>
          <w:tcPr>
            <w:tcW w:w="834" w:type="pct"/>
            <w:vAlign w:val="center"/>
          </w:tcPr>
          <w:p w14:paraId="298F572A">
            <w:pPr>
              <w:adjustRightInd w:val="0"/>
              <w:snapToGrid w:val="0"/>
              <w:spacing w:line="240" w:lineRule="auto"/>
              <w:ind w:firstLine="0" w:firstLineChars="0"/>
              <w:jc w:val="center"/>
              <w:rPr>
                <w:sz w:val="21"/>
                <w:szCs w:val="21"/>
              </w:rPr>
            </w:pPr>
            <w:r>
              <w:rPr>
                <w:rFonts w:hint="eastAsia"/>
                <w:sz w:val="21"/>
                <w:szCs w:val="21"/>
              </w:rPr>
              <w:t>0</w:t>
            </w:r>
          </w:p>
        </w:tc>
        <w:tc>
          <w:tcPr>
            <w:tcW w:w="500" w:type="pct"/>
            <w:vAlign w:val="bottom"/>
          </w:tcPr>
          <w:p w14:paraId="27A13993">
            <w:pPr>
              <w:adjustRightInd w:val="0"/>
              <w:snapToGrid w:val="0"/>
              <w:spacing w:line="240" w:lineRule="auto"/>
              <w:ind w:firstLine="0" w:firstLineChars="0"/>
              <w:jc w:val="center"/>
              <w:rPr>
                <w:sz w:val="21"/>
                <w:szCs w:val="21"/>
              </w:rPr>
            </w:pPr>
            <w:r>
              <w:rPr>
                <w:sz w:val="21"/>
                <w:szCs w:val="21"/>
              </w:rPr>
              <w:t>0.1054</w:t>
            </w:r>
          </w:p>
        </w:tc>
        <w:tc>
          <w:tcPr>
            <w:tcW w:w="639" w:type="pct"/>
            <w:vAlign w:val="center"/>
          </w:tcPr>
          <w:p w14:paraId="333DC638">
            <w:pPr>
              <w:adjustRightInd w:val="0"/>
              <w:snapToGrid w:val="0"/>
              <w:spacing w:line="240" w:lineRule="auto"/>
              <w:ind w:firstLine="0" w:firstLineChars="0"/>
              <w:jc w:val="center"/>
              <w:rPr>
                <w:sz w:val="21"/>
                <w:szCs w:val="21"/>
              </w:rPr>
            </w:pPr>
            <w:r>
              <w:rPr>
                <w:rFonts w:hint="eastAsia"/>
                <w:sz w:val="21"/>
                <w:szCs w:val="21"/>
              </w:rPr>
              <w:t>0</w:t>
            </w:r>
          </w:p>
        </w:tc>
        <w:tc>
          <w:tcPr>
            <w:tcW w:w="648" w:type="pct"/>
            <w:vAlign w:val="bottom"/>
          </w:tcPr>
          <w:p w14:paraId="3EDADF44">
            <w:pPr>
              <w:adjustRightInd w:val="0"/>
              <w:snapToGrid w:val="0"/>
              <w:spacing w:line="240" w:lineRule="auto"/>
              <w:ind w:firstLine="0" w:firstLineChars="0"/>
              <w:jc w:val="center"/>
              <w:rPr>
                <w:sz w:val="21"/>
                <w:szCs w:val="21"/>
              </w:rPr>
            </w:pPr>
            <w:r>
              <w:rPr>
                <w:sz w:val="21"/>
                <w:szCs w:val="21"/>
              </w:rPr>
              <w:t>0.1054</w:t>
            </w:r>
          </w:p>
        </w:tc>
        <w:tc>
          <w:tcPr>
            <w:tcW w:w="476" w:type="pct"/>
            <w:vAlign w:val="bottom"/>
          </w:tcPr>
          <w:p w14:paraId="3A2EAE43">
            <w:pPr>
              <w:adjustRightInd w:val="0"/>
              <w:snapToGrid w:val="0"/>
              <w:spacing w:line="240" w:lineRule="auto"/>
              <w:ind w:firstLine="0" w:firstLineChars="0"/>
              <w:jc w:val="center"/>
              <w:rPr>
                <w:sz w:val="21"/>
                <w:szCs w:val="21"/>
              </w:rPr>
            </w:pPr>
            <w:bookmarkStart w:id="48" w:name="OLE_LINK32"/>
            <w:bookmarkStart w:id="49" w:name="OLE_LINK31"/>
            <w:r>
              <w:rPr>
                <w:rFonts w:hint="eastAsia"/>
                <w:sz w:val="21"/>
                <w:szCs w:val="21"/>
              </w:rPr>
              <w:t>+</w:t>
            </w:r>
            <w:bookmarkEnd w:id="48"/>
            <w:bookmarkEnd w:id="49"/>
            <w:r>
              <w:rPr>
                <w:sz w:val="21"/>
                <w:szCs w:val="21"/>
              </w:rPr>
              <w:t>0.1054</w:t>
            </w:r>
          </w:p>
        </w:tc>
      </w:tr>
      <w:tr w14:paraId="1DC7A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124A3557">
            <w:pPr>
              <w:pStyle w:val="71"/>
              <w:rPr>
                <w:kern w:val="2"/>
                <w:szCs w:val="24"/>
                <w:lang w:val="en-US" w:eastAsia="zh-CN"/>
              </w:rPr>
            </w:pPr>
          </w:p>
        </w:tc>
        <w:tc>
          <w:tcPr>
            <w:tcW w:w="522" w:type="pct"/>
            <w:vAlign w:val="center"/>
          </w:tcPr>
          <w:p w14:paraId="562D4FE6">
            <w:pPr>
              <w:adjustRightInd w:val="0"/>
              <w:snapToGrid w:val="0"/>
              <w:spacing w:line="240" w:lineRule="auto"/>
              <w:ind w:firstLine="0" w:firstLineChars="0"/>
              <w:jc w:val="center"/>
              <w:rPr>
                <w:sz w:val="21"/>
                <w:szCs w:val="21"/>
              </w:rPr>
            </w:pPr>
            <w:r>
              <w:rPr>
                <w:rFonts w:hint="eastAsia"/>
                <w:sz w:val="21"/>
                <w:szCs w:val="21"/>
              </w:rPr>
              <w:t>BDO</w:t>
            </w:r>
          </w:p>
        </w:tc>
        <w:tc>
          <w:tcPr>
            <w:tcW w:w="550" w:type="pct"/>
            <w:vAlign w:val="center"/>
          </w:tcPr>
          <w:p w14:paraId="26EDBDE9">
            <w:pPr>
              <w:adjustRightInd w:val="0"/>
              <w:snapToGrid w:val="0"/>
              <w:spacing w:line="240" w:lineRule="auto"/>
              <w:ind w:firstLine="0" w:firstLineChars="0"/>
              <w:jc w:val="center"/>
              <w:rPr>
                <w:sz w:val="21"/>
                <w:szCs w:val="21"/>
              </w:rPr>
            </w:pPr>
            <w:r>
              <w:rPr>
                <w:rFonts w:hint="eastAsia"/>
                <w:sz w:val="21"/>
                <w:szCs w:val="21"/>
              </w:rPr>
              <w:t>0</w:t>
            </w:r>
          </w:p>
        </w:tc>
        <w:tc>
          <w:tcPr>
            <w:tcW w:w="394" w:type="pct"/>
            <w:vAlign w:val="center"/>
          </w:tcPr>
          <w:p w14:paraId="57E575BA">
            <w:pPr>
              <w:adjustRightInd w:val="0"/>
              <w:snapToGrid w:val="0"/>
              <w:spacing w:line="240" w:lineRule="auto"/>
              <w:ind w:firstLine="0" w:firstLineChars="0"/>
              <w:jc w:val="center"/>
              <w:rPr>
                <w:sz w:val="21"/>
                <w:szCs w:val="21"/>
              </w:rPr>
            </w:pPr>
            <w:r>
              <w:rPr>
                <w:rFonts w:hint="eastAsia"/>
                <w:sz w:val="21"/>
                <w:szCs w:val="21"/>
              </w:rPr>
              <w:t>0</w:t>
            </w:r>
          </w:p>
        </w:tc>
        <w:tc>
          <w:tcPr>
            <w:tcW w:w="834" w:type="pct"/>
            <w:vAlign w:val="center"/>
          </w:tcPr>
          <w:p w14:paraId="5EC11A8D">
            <w:pPr>
              <w:adjustRightInd w:val="0"/>
              <w:snapToGrid w:val="0"/>
              <w:spacing w:line="240" w:lineRule="auto"/>
              <w:ind w:firstLine="0" w:firstLineChars="0"/>
              <w:jc w:val="center"/>
              <w:rPr>
                <w:sz w:val="21"/>
                <w:szCs w:val="21"/>
              </w:rPr>
            </w:pPr>
            <w:r>
              <w:rPr>
                <w:rFonts w:hint="eastAsia"/>
                <w:sz w:val="21"/>
                <w:szCs w:val="21"/>
              </w:rPr>
              <w:t>0</w:t>
            </w:r>
          </w:p>
        </w:tc>
        <w:tc>
          <w:tcPr>
            <w:tcW w:w="500" w:type="pct"/>
            <w:vAlign w:val="bottom"/>
          </w:tcPr>
          <w:p w14:paraId="6A1C4DE1">
            <w:pPr>
              <w:adjustRightInd w:val="0"/>
              <w:snapToGrid w:val="0"/>
              <w:spacing w:line="240" w:lineRule="auto"/>
              <w:ind w:firstLine="0" w:firstLineChars="0"/>
              <w:jc w:val="center"/>
              <w:rPr>
                <w:sz w:val="21"/>
                <w:szCs w:val="21"/>
              </w:rPr>
            </w:pPr>
            <w:r>
              <w:rPr>
                <w:sz w:val="21"/>
                <w:szCs w:val="21"/>
              </w:rPr>
              <w:t>0.0781</w:t>
            </w:r>
          </w:p>
        </w:tc>
        <w:tc>
          <w:tcPr>
            <w:tcW w:w="639" w:type="pct"/>
            <w:vAlign w:val="center"/>
          </w:tcPr>
          <w:p w14:paraId="4CF86C14">
            <w:pPr>
              <w:adjustRightInd w:val="0"/>
              <w:snapToGrid w:val="0"/>
              <w:spacing w:line="240" w:lineRule="auto"/>
              <w:ind w:firstLine="0" w:firstLineChars="0"/>
              <w:jc w:val="center"/>
              <w:rPr>
                <w:sz w:val="21"/>
                <w:szCs w:val="21"/>
              </w:rPr>
            </w:pPr>
            <w:r>
              <w:rPr>
                <w:rFonts w:hint="eastAsia"/>
                <w:sz w:val="21"/>
                <w:szCs w:val="21"/>
              </w:rPr>
              <w:t>0</w:t>
            </w:r>
          </w:p>
        </w:tc>
        <w:tc>
          <w:tcPr>
            <w:tcW w:w="648" w:type="pct"/>
            <w:vAlign w:val="bottom"/>
          </w:tcPr>
          <w:p w14:paraId="3503245A">
            <w:pPr>
              <w:adjustRightInd w:val="0"/>
              <w:snapToGrid w:val="0"/>
              <w:spacing w:line="240" w:lineRule="auto"/>
              <w:ind w:firstLine="0" w:firstLineChars="0"/>
              <w:jc w:val="center"/>
              <w:rPr>
                <w:sz w:val="21"/>
                <w:szCs w:val="21"/>
              </w:rPr>
            </w:pPr>
            <w:r>
              <w:rPr>
                <w:sz w:val="21"/>
                <w:szCs w:val="21"/>
              </w:rPr>
              <w:t>0.0781</w:t>
            </w:r>
          </w:p>
        </w:tc>
        <w:tc>
          <w:tcPr>
            <w:tcW w:w="476" w:type="pct"/>
            <w:vAlign w:val="bottom"/>
          </w:tcPr>
          <w:p w14:paraId="7DF8B3D8">
            <w:pPr>
              <w:adjustRightInd w:val="0"/>
              <w:snapToGrid w:val="0"/>
              <w:spacing w:line="240" w:lineRule="auto"/>
              <w:ind w:firstLine="0" w:firstLineChars="0"/>
              <w:jc w:val="center"/>
              <w:rPr>
                <w:sz w:val="21"/>
                <w:szCs w:val="21"/>
              </w:rPr>
            </w:pPr>
            <w:r>
              <w:rPr>
                <w:rFonts w:hint="eastAsia"/>
                <w:sz w:val="21"/>
                <w:szCs w:val="21"/>
              </w:rPr>
              <w:t>+</w:t>
            </w:r>
            <w:r>
              <w:rPr>
                <w:sz w:val="21"/>
                <w:szCs w:val="21"/>
              </w:rPr>
              <w:t>0.0781</w:t>
            </w:r>
          </w:p>
        </w:tc>
      </w:tr>
      <w:tr w14:paraId="4EFC3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676D6FBD">
            <w:pPr>
              <w:pStyle w:val="71"/>
              <w:rPr>
                <w:kern w:val="2"/>
                <w:szCs w:val="24"/>
                <w:lang w:val="en-US" w:eastAsia="zh-CN"/>
              </w:rPr>
            </w:pPr>
          </w:p>
        </w:tc>
        <w:tc>
          <w:tcPr>
            <w:tcW w:w="522" w:type="pct"/>
            <w:vAlign w:val="center"/>
          </w:tcPr>
          <w:p w14:paraId="09D1A1DA">
            <w:pPr>
              <w:adjustRightInd w:val="0"/>
              <w:snapToGrid w:val="0"/>
              <w:spacing w:line="240" w:lineRule="auto"/>
              <w:ind w:firstLine="0" w:firstLineChars="0"/>
              <w:jc w:val="center"/>
              <w:rPr>
                <w:sz w:val="21"/>
                <w:szCs w:val="21"/>
              </w:rPr>
            </w:pPr>
            <w:r>
              <w:rPr>
                <w:rFonts w:hint="eastAsia"/>
                <w:sz w:val="21"/>
                <w:szCs w:val="21"/>
              </w:rPr>
              <w:t>THF</w:t>
            </w:r>
          </w:p>
        </w:tc>
        <w:tc>
          <w:tcPr>
            <w:tcW w:w="550" w:type="pct"/>
            <w:vAlign w:val="center"/>
          </w:tcPr>
          <w:p w14:paraId="50075B32">
            <w:pPr>
              <w:adjustRightInd w:val="0"/>
              <w:snapToGrid w:val="0"/>
              <w:spacing w:line="240" w:lineRule="auto"/>
              <w:ind w:firstLine="0" w:firstLineChars="0"/>
              <w:jc w:val="center"/>
              <w:rPr>
                <w:sz w:val="21"/>
                <w:szCs w:val="21"/>
              </w:rPr>
            </w:pPr>
            <w:r>
              <w:rPr>
                <w:rFonts w:hint="eastAsia"/>
                <w:sz w:val="21"/>
                <w:szCs w:val="21"/>
              </w:rPr>
              <w:t>0</w:t>
            </w:r>
          </w:p>
        </w:tc>
        <w:tc>
          <w:tcPr>
            <w:tcW w:w="394" w:type="pct"/>
            <w:vAlign w:val="center"/>
          </w:tcPr>
          <w:p w14:paraId="7EA09598">
            <w:pPr>
              <w:adjustRightInd w:val="0"/>
              <w:snapToGrid w:val="0"/>
              <w:spacing w:line="240" w:lineRule="auto"/>
              <w:ind w:firstLine="0" w:firstLineChars="0"/>
              <w:jc w:val="center"/>
              <w:rPr>
                <w:sz w:val="21"/>
                <w:szCs w:val="21"/>
              </w:rPr>
            </w:pPr>
            <w:r>
              <w:rPr>
                <w:rFonts w:hint="eastAsia"/>
                <w:sz w:val="21"/>
                <w:szCs w:val="21"/>
              </w:rPr>
              <w:t>0</w:t>
            </w:r>
          </w:p>
        </w:tc>
        <w:tc>
          <w:tcPr>
            <w:tcW w:w="834" w:type="pct"/>
            <w:vAlign w:val="center"/>
          </w:tcPr>
          <w:p w14:paraId="30C56F79">
            <w:pPr>
              <w:adjustRightInd w:val="0"/>
              <w:snapToGrid w:val="0"/>
              <w:spacing w:line="240" w:lineRule="auto"/>
              <w:ind w:firstLine="0" w:firstLineChars="0"/>
              <w:jc w:val="center"/>
              <w:rPr>
                <w:sz w:val="21"/>
                <w:szCs w:val="21"/>
              </w:rPr>
            </w:pPr>
            <w:r>
              <w:rPr>
                <w:rFonts w:hint="eastAsia"/>
                <w:sz w:val="21"/>
                <w:szCs w:val="21"/>
              </w:rPr>
              <w:t>0</w:t>
            </w:r>
          </w:p>
        </w:tc>
        <w:tc>
          <w:tcPr>
            <w:tcW w:w="500" w:type="pct"/>
            <w:vAlign w:val="bottom"/>
          </w:tcPr>
          <w:p w14:paraId="00858F93">
            <w:pPr>
              <w:adjustRightInd w:val="0"/>
              <w:snapToGrid w:val="0"/>
              <w:spacing w:line="240" w:lineRule="auto"/>
              <w:ind w:firstLine="0" w:firstLineChars="0"/>
              <w:jc w:val="center"/>
              <w:rPr>
                <w:sz w:val="21"/>
                <w:szCs w:val="21"/>
              </w:rPr>
            </w:pPr>
            <w:r>
              <w:rPr>
                <w:sz w:val="21"/>
                <w:szCs w:val="21"/>
              </w:rPr>
              <w:t>0.1363</w:t>
            </w:r>
          </w:p>
        </w:tc>
        <w:tc>
          <w:tcPr>
            <w:tcW w:w="639" w:type="pct"/>
            <w:vAlign w:val="center"/>
          </w:tcPr>
          <w:p w14:paraId="51D4DA5B">
            <w:pPr>
              <w:adjustRightInd w:val="0"/>
              <w:snapToGrid w:val="0"/>
              <w:spacing w:line="240" w:lineRule="auto"/>
              <w:ind w:firstLine="0" w:firstLineChars="0"/>
              <w:jc w:val="center"/>
              <w:rPr>
                <w:sz w:val="21"/>
                <w:szCs w:val="21"/>
              </w:rPr>
            </w:pPr>
            <w:r>
              <w:rPr>
                <w:rFonts w:hint="eastAsia"/>
                <w:sz w:val="21"/>
                <w:szCs w:val="21"/>
              </w:rPr>
              <w:t>0</w:t>
            </w:r>
          </w:p>
        </w:tc>
        <w:tc>
          <w:tcPr>
            <w:tcW w:w="648" w:type="pct"/>
            <w:vAlign w:val="bottom"/>
          </w:tcPr>
          <w:p w14:paraId="6FD8A51C">
            <w:pPr>
              <w:adjustRightInd w:val="0"/>
              <w:snapToGrid w:val="0"/>
              <w:spacing w:line="240" w:lineRule="auto"/>
              <w:ind w:firstLine="0" w:firstLineChars="0"/>
              <w:jc w:val="center"/>
              <w:rPr>
                <w:sz w:val="21"/>
                <w:szCs w:val="21"/>
              </w:rPr>
            </w:pPr>
            <w:r>
              <w:rPr>
                <w:sz w:val="21"/>
                <w:szCs w:val="21"/>
              </w:rPr>
              <w:t>0.1363</w:t>
            </w:r>
          </w:p>
        </w:tc>
        <w:tc>
          <w:tcPr>
            <w:tcW w:w="476" w:type="pct"/>
            <w:vAlign w:val="bottom"/>
          </w:tcPr>
          <w:p w14:paraId="7AA85F03">
            <w:pPr>
              <w:adjustRightInd w:val="0"/>
              <w:snapToGrid w:val="0"/>
              <w:spacing w:line="240" w:lineRule="auto"/>
              <w:ind w:firstLine="0" w:firstLineChars="0"/>
              <w:jc w:val="center"/>
              <w:rPr>
                <w:sz w:val="21"/>
                <w:szCs w:val="21"/>
              </w:rPr>
            </w:pPr>
            <w:r>
              <w:rPr>
                <w:rFonts w:hint="eastAsia"/>
                <w:sz w:val="21"/>
                <w:szCs w:val="21"/>
              </w:rPr>
              <w:t>+</w:t>
            </w:r>
            <w:r>
              <w:rPr>
                <w:sz w:val="21"/>
                <w:szCs w:val="21"/>
              </w:rPr>
              <w:t>0.1363</w:t>
            </w:r>
          </w:p>
        </w:tc>
      </w:tr>
      <w:tr w14:paraId="51AA3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2A6D2BDB">
            <w:pPr>
              <w:pStyle w:val="71"/>
              <w:rPr>
                <w:kern w:val="2"/>
                <w:szCs w:val="24"/>
                <w:lang w:val="en-US" w:eastAsia="zh-CN"/>
              </w:rPr>
            </w:pPr>
          </w:p>
        </w:tc>
        <w:tc>
          <w:tcPr>
            <w:tcW w:w="522" w:type="pct"/>
            <w:vAlign w:val="center"/>
          </w:tcPr>
          <w:p w14:paraId="02A5DA2C">
            <w:pPr>
              <w:adjustRightInd w:val="0"/>
              <w:snapToGrid w:val="0"/>
              <w:spacing w:line="240" w:lineRule="auto"/>
              <w:ind w:firstLine="0" w:firstLineChars="0"/>
              <w:jc w:val="center"/>
              <w:rPr>
                <w:sz w:val="21"/>
                <w:szCs w:val="21"/>
              </w:rPr>
            </w:pPr>
            <w:r>
              <w:rPr>
                <w:sz w:val="21"/>
                <w:szCs w:val="21"/>
              </w:rPr>
              <w:t>非甲烷总烃</w:t>
            </w:r>
          </w:p>
        </w:tc>
        <w:tc>
          <w:tcPr>
            <w:tcW w:w="550" w:type="pct"/>
            <w:vAlign w:val="center"/>
          </w:tcPr>
          <w:p w14:paraId="18CE072C">
            <w:pPr>
              <w:adjustRightInd w:val="0"/>
              <w:snapToGrid w:val="0"/>
              <w:spacing w:line="240" w:lineRule="auto"/>
              <w:ind w:firstLine="0" w:firstLineChars="0"/>
              <w:jc w:val="center"/>
              <w:rPr>
                <w:sz w:val="21"/>
                <w:szCs w:val="21"/>
              </w:rPr>
            </w:pPr>
            <w:r>
              <w:rPr>
                <w:rFonts w:hint="eastAsia"/>
                <w:sz w:val="21"/>
                <w:szCs w:val="21"/>
              </w:rPr>
              <w:t>0</w:t>
            </w:r>
          </w:p>
        </w:tc>
        <w:tc>
          <w:tcPr>
            <w:tcW w:w="394" w:type="pct"/>
            <w:vAlign w:val="center"/>
          </w:tcPr>
          <w:p w14:paraId="78031A00">
            <w:pPr>
              <w:adjustRightInd w:val="0"/>
              <w:snapToGrid w:val="0"/>
              <w:spacing w:line="240" w:lineRule="auto"/>
              <w:ind w:firstLine="0" w:firstLineChars="0"/>
              <w:jc w:val="center"/>
              <w:rPr>
                <w:sz w:val="21"/>
                <w:szCs w:val="21"/>
              </w:rPr>
            </w:pPr>
            <w:r>
              <w:rPr>
                <w:rFonts w:hint="eastAsia"/>
                <w:sz w:val="21"/>
                <w:szCs w:val="21"/>
              </w:rPr>
              <w:t>0</w:t>
            </w:r>
          </w:p>
        </w:tc>
        <w:tc>
          <w:tcPr>
            <w:tcW w:w="834" w:type="pct"/>
            <w:vAlign w:val="center"/>
          </w:tcPr>
          <w:p w14:paraId="7FA6891D">
            <w:pPr>
              <w:adjustRightInd w:val="0"/>
              <w:snapToGrid w:val="0"/>
              <w:spacing w:line="240" w:lineRule="auto"/>
              <w:ind w:firstLine="0" w:firstLineChars="0"/>
              <w:jc w:val="center"/>
              <w:rPr>
                <w:sz w:val="21"/>
                <w:szCs w:val="21"/>
              </w:rPr>
            </w:pPr>
            <w:r>
              <w:rPr>
                <w:rFonts w:hint="eastAsia"/>
                <w:sz w:val="21"/>
                <w:szCs w:val="21"/>
              </w:rPr>
              <w:t>0</w:t>
            </w:r>
          </w:p>
        </w:tc>
        <w:tc>
          <w:tcPr>
            <w:tcW w:w="500" w:type="pct"/>
            <w:vAlign w:val="center"/>
          </w:tcPr>
          <w:p w14:paraId="236ACD8E">
            <w:pPr>
              <w:adjustRightInd w:val="0"/>
              <w:snapToGrid w:val="0"/>
              <w:spacing w:line="240" w:lineRule="auto"/>
              <w:ind w:firstLine="0" w:firstLineChars="0"/>
              <w:jc w:val="center"/>
              <w:rPr>
                <w:sz w:val="21"/>
                <w:szCs w:val="21"/>
              </w:rPr>
            </w:pPr>
            <w:r>
              <w:rPr>
                <w:sz w:val="21"/>
                <w:szCs w:val="21"/>
              </w:rPr>
              <w:t>0.4374</w:t>
            </w:r>
          </w:p>
        </w:tc>
        <w:tc>
          <w:tcPr>
            <w:tcW w:w="639" w:type="pct"/>
            <w:vAlign w:val="center"/>
          </w:tcPr>
          <w:p w14:paraId="4AFB562B">
            <w:pPr>
              <w:adjustRightInd w:val="0"/>
              <w:snapToGrid w:val="0"/>
              <w:spacing w:line="240" w:lineRule="auto"/>
              <w:ind w:firstLine="0" w:firstLineChars="0"/>
              <w:jc w:val="center"/>
              <w:rPr>
                <w:sz w:val="21"/>
                <w:szCs w:val="21"/>
              </w:rPr>
            </w:pPr>
            <w:r>
              <w:rPr>
                <w:rFonts w:hint="eastAsia"/>
                <w:sz w:val="21"/>
                <w:szCs w:val="21"/>
              </w:rPr>
              <w:t>0</w:t>
            </w:r>
          </w:p>
        </w:tc>
        <w:tc>
          <w:tcPr>
            <w:tcW w:w="648" w:type="pct"/>
            <w:vAlign w:val="center"/>
          </w:tcPr>
          <w:p w14:paraId="482C8C81">
            <w:pPr>
              <w:adjustRightInd w:val="0"/>
              <w:snapToGrid w:val="0"/>
              <w:spacing w:line="240" w:lineRule="auto"/>
              <w:ind w:firstLine="0" w:firstLineChars="0"/>
              <w:jc w:val="center"/>
              <w:rPr>
                <w:sz w:val="21"/>
                <w:szCs w:val="21"/>
              </w:rPr>
            </w:pPr>
            <w:r>
              <w:rPr>
                <w:sz w:val="21"/>
                <w:szCs w:val="21"/>
              </w:rPr>
              <w:t>0.4374</w:t>
            </w:r>
          </w:p>
        </w:tc>
        <w:tc>
          <w:tcPr>
            <w:tcW w:w="476" w:type="pct"/>
            <w:vAlign w:val="center"/>
          </w:tcPr>
          <w:p w14:paraId="674DCB81">
            <w:pPr>
              <w:adjustRightInd w:val="0"/>
              <w:snapToGrid w:val="0"/>
              <w:spacing w:line="240" w:lineRule="auto"/>
              <w:ind w:firstLine="0" w:firstLineChars="0"/>
              <w:jc w:val="center"/>
              <w:rPr>
                <w:sz w:val="21"/>
                <w:szCs w:val="21"/>
              </w:rPr>
            </w:pPr>
            <w:r>
              <w:rPr>
                <w:rFonts w:hint="eastAsia"/>
                <w:sz w:val="21"/>
                <w:szCs w:val="21"/>
              </w:rPr>
              <w:t>+</w:t>
            </w:r>
            <w:r>
              <w:rPr>
                <w:sz w:val="21"/>
                <w:szCs w:val="21"/>
              </w:rPr>
              <w:t>0.4374</w:t>
            </w:r>
          </w:p>
        </w:tc>
      </w:tr>
      <w:tr w14:paraId="1B5DC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vAlign w:val="center"/>
          </w:tcPr>
          <w:p w14:paraId="47CC1A1E">
            <w:pPr>
              <w:pStyle w:val="71"/>
              <w:rPr>
                <w:kern w:val="2"/>
                <w:szCs w:val="24"/>
                <w:lang w:val="en-US" w:eastAsia="zh-CN"/>
              </w:rPr>
            </w:pPr>
            <w:r>
              <w:rPr>
                <w:kern w:val="2"/>
                <w:szCs w:val="24"/>
                <w:lang w:val="en-US" w:eastAsia="zh-CN"/>
              </w:rPr>
              <w:t>废水</w:t>
            </w:r>
          </w:p>
        </w:tc>
        <w:tc>
          <w:tcPr>
            <w:tcW w:w="522" w:type="pct"/>
            <w:vAlign w:val="center"/>
          </w:tcPr>
          <w:p w14:paraId="15FCF5B2">
            <w:pPr>
              <w:adjustRightInd w:val="0"/>
              <w:snapToGrid w:val="0"/>
              <w:spacing w:line="240" w:lineRule="auto"/>
              <w:ind w:firstLine="0" w:firstLineChars="0"/>
              <w:jc w:val="center"/>
              <w:rPr>
                <w:sz w:val="21"/>
                <w:szCs w:val="21"/>
              </w:rPr>
            </w:pPr>
            <w:r>
              <w:rPr>
                <w:sz w:val="21"/>
                <w:szCs w:val="21"/>
              </w:rPr>
              <w:t>COD</w:t>
            </w:r>
          </w:p>
        </w:tc>
        <w:tc>
          <w:tcPr>
            <w:tcW w:w="550" w:type="pct"/>
            <w:vAlign w:val="center"/>
          </w:tcPr>
          <w:p w14:paraId="24AA51FF">
            <w:pPr>
              <w:adjustRightInd w:val="0"/>
              <w:snapToGrid w:val="0"/>
              <w:spacing w:line="240" w:lineRule="auto"/>
              <w:ind w:firstLine="0" w:firstLineChars="0"/>
              <w:jc w:val="center"/>
              <w:rPr>
                <w:sz w:val="21"/>
                <w:szCs w:val="21"/>
              </w:rPr>
            </w:pPr>
            <w:r>
              <w:rPr>
                <w:sz w:val="21"/>
                <w:szCs w:val="21"/>
              </w:rPr>
              <w:t>0.3183</w:t>
            </w:r>
          </w:p>
        </w:tc>
        <w:tc>
          <w:tcPr>
            <w:tcW w:w="394" w:type="pct"/>
            <w:vAlign w:val="center"/>
          </w:tcPr>
          <w:p w14:paraId="7A625D2C">
            <w:pPr>
              <w:adjustRightInd w:val="0"/>
              <w:snapToGrid w:val="0"/>
              <w:spacing w:line="240" w:lineRule="auto"/>
              <w:ind w:firstLine="0" w:firstLineChars="0"/>
              <w:jc w:val="center"/>
              <w:rPr>
                <w:sz w:val="21"/>
                <w:szCs w:val="21"/>
              </w:rPr>
            </w:pPr>
            <w:r>
              <w:rPr>
                <w:sz w:val="21"/>
                <w:szCs w:val="21"/>
              </w:rPr>
              <w:t>0.3183</w:t>
            </w:r>
          </w:p>
        </w:tc>
        <w:tc>
          <w:tcPr>
            <w:tcW w:w="834" w:type="pct"/>
            <w:vAlign w:val="center"/>
          </w:tcPr>
          <w:p w14:paraId="627432A7">
            <w:pPr>
              <w:adjustRightInd w:val="0"/>
              <w:snapToGrid w:val="0"/>
              <w:spacing w:line="240" w:lineRule="auto"/>
              <w:ind w:firstLine="0" w:firstLineChars="0"/>
              <w:jc w:val="center"/>
              <w:rPr>
                <w:sz w:val="21"/>
                <w:szCs w:val="21"/>
              </w:rPr>
            </w:pPr>
            <w:r>
              <w:rPr>
                <w:rFonts w:hint="eastAsia"/>
                <w:sz w:val="21"/>
                <w:szCs w:val="21"/>
              </w:rPr>
              <w:t>0</w:t>
            </w:r>
          </w:p>
        </w:tc>
        <w:tc>
          <w:tcPr>
            <w:tcW w:w="500" w:type="pct"/>
            <w:vAlign w:val="center"/>
          </w:tcPr>
          <w:p w14:paraId="724C0DD7">
            <w:pPr>
              <w:adjustRightInd w:val="0"/>
              <w:snapToGrid w:val="0"/>
              <w:spacing w:line="240" w:lineRule="auto"/>
              <w:ind w:firstLine="0" w:firstLineChars="0"/>
              <w:jc w:val="center"/>
              <w:rPr>
                <w:sz w:val="21"/>
                <w:szCs w:val="21"/>
              </w:rPr>
            </w:pPr>
            <w:r>
              <w:rPr>
                <w:sz w:val="21"/>
                <w:szCs w:val="21"/>
              </w:rPr>
              <w:t>1.451</w:t>
            </w:r>
          </w:p>
        </w:tc>
        <w:tc>
          <w:tcPr>
            <w:tcW w:w="639" w:type="pct"/>
            <w:vAlign w:val="center"/>
          </w:tcPr>
          <w:p w14:paraId="03B70A50">
            <w:pPr>
              <w:adjustRightInd w:val="0"/>
              <w:snapToGrid w:val="0"/>
              <w:spacing w:line="240" w:lineRule="auto"/>
              <w:ind w:firstLine="0" w:firstLineChars="0"/>
              <w:jc w:val="center"/>
              <w:rPr>
                <w:sz w:val="21"/>
                <w:szCs w:val="21"/>
              </w:rPr>
            </w:pPr>
            <w:r>
              <w:rPr>
                <w:rFonts w:hint="eastAsia"/>
                <w:sz w:val="21"/>
                <w:szCs w:val="21"/>
              </w:rPr>
              <w:t>0</w:t>
            </w:r>
          </w:p>
        </w:tc>
        <w:tc>
          <w:tcPr>
            <w:tcW w:w="648" w:type="pct"/>
            <w:vAlign w:val="center"/>
          </w:tcPr>
          <w:p w14:paraId="769F63BB">
            <w:pPr>
              <w:adjustRightInd w:val="0"/>
              <w:snapToGrid w:val="0"/>
              <w:spacing w:line="240" w:lineRule="auto"/>
              <w:ind w:firstLine="0" w:firstLineChars="0"/>
              <w:jc w:val="center"/>
              <w:rPr>
                <w:sz w:val="21"/>
                <w:szCs w:val="21"/>
              </w:rPr>
            </w:pPr>
            <w:r>
              <w:rPr>
                <w:sz w:val="21"/>
                <w:szCs w:val="21"/>
              </w:rPr>
              <w:t>1.7693</w:t>
            </w:r>
          </w:p>
        </w:tc>
        <w:tc>
          <w:tcPr>
            <w:tcW w:w="476" w:type="pct"/>
            <w:vAlign w:val="center"/>
          </w:tcPr>
          <w:p w14:paraId="1004A956">
            <w:pPr>
              <w:adjustRightInd w:val="0"/>
              <w:snapToGrid w:val="0"/>
              <w:spacing w:line="240" w:lineRule="auto"/>
              <w:ind w:firstLine="0" w:firstLineChars="0"/>
              <w:jc w:val="center"/>
              <w:rPr>
                <w:sz w:val="21"/>
                <w:szCs w:val="21"/>
              </w:rPr>
            </w:pPr>
            <w:r>
              <w:rPr>
                <w:rFonts w:hint="eastAsia"/>
                <w:sz w:val="21"/>
                <w:szCs w:val="21"/>
              </w:rPr>
              <w:t>+</w:t>
            </w:r>
            <w:r>
              <w:rPr>
                <w:sz w:val="21"/>
                <w:szCs w:val="21"/>
              </w:rPr>
              <w:t>1.451</w:t>
            </w:r>
          </w:p>
        </w:tc>
      </w:tr>
      <w:tr w14:paraId="6AA36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2588DFD9">
            <w:pPr>
              <w:pStyle w:val="71"/>
              <w:rPr>
                <w:kern w:val="2"/>
                <w:szCs w:val="24"/>
                <w:lang w:val="en-US" w:eastAsia="zh-CN"/>
              </w:rPr>
            </w:pPr>
          </w:p>
        </w:tc>
        <w:tc>
          <w:tcPr>
            <w:tcW w:w="522" w:type="pct"/>
            <w:vAlign w:val="center"/>
          </w:tcPr>
          <w:p w14:paraId="0AAAAC12">
            <w:pPr>
              <w:adjustRightInd w:val="0"/>
              <w:snapToGrid w:val="0"/>
              <w:spacing w:line="240" w:lineRule="auto"/>
              <w:ind w:firstLine="0" w:firstLineChars="0"/>
              <w:jc w:val="center"/>
              <w:rPr>
                <w:sz w:val="21"/>
                <w:szCs w:val="21"/>
              </w:rPr>
            </w:pPr>
            <w:r>
              <w:rPr>
                <w:sz w:val="21"/>
                <w:szCs w:val="21"/>
              </w:rPr>
              <w:t>NH</w:t>
            </w:r>
            <w:r>
              <w:rPr>
                <w:sz w:val="21"/>
                <w:szCs w:val="21"/>
                <w:vertAlign w:val="subscript"/>
              </w:rPr>
              <w:t>3</w:t>
            </w:r>
            <w:r>
              <w:rPr>
                <w:sz w:val="21"/>
                <w:szCs w:val="21"/>
              </w:rPr>
              <w:t>-N</w:t>
            </w:r>
          </w:p>
        </w:tc>
        <w:tc>
          <w:tcPr>
            <w:tcW w:w="550" w:type="pct"/>
            <w:vAlign w:val="center"/>
          </w:tcPr>
          <w:p w14:paraId="746B4AD0">
            <w:pPr>
              <w:adjustRightInd w:val="0"/>
              <w:snapToGrid w:val="0"/>
              <w:spacing w:line="240" w:lineRule="auto"/>
              <w:ind w:firstLine="0" w:firstLineChars="0"/>
              <w:jc w:val="center"/>
              <w:rPr>
                <w:sz w:val="21"/>
                <w:szCs w:val="21"/>
              </w:rPr>
            </w:pPr>
            <w:r>
              <w:rPr>
                <w:rFonts w:hint="eastAsia"/>
                <w:sz w:val="21"/>
                <w:szCs w:val="21"/>
              </w:rPr>
              <w:t>0</w:t>
            </w:r>
          </w:p>
        </w:tc>
        <w:tc>
          <w:tcPr>
            <w:tcW w:w="394" w:type="pct"/>
            <w:vAlign w:val="center"/>
          </w:tcPr>
          <w:p w14:paraId="1581ADEF">
            <w:pPr>
              <w:adjustRightInd w:val="0"/>
              <w:snapToGrid w:val="0"/>
              <w:spacing w:line="240" w:lineRule="auto"/>
              <w:ind w:firstLine="0" w:firstLineChars="0"/>
              <w:jc w:val="center"/>
              <w:rPr>
                <w:sz w:val="21"/>
                <w:szCs w:val="21"/>
              </w:rPr>
            </w:pPr>
            <w:r>
              <w:rPr>
                <w:rFonts w:hint="eastAsia"/>
                <w:sz w:val="21"/>
                <w:szCs w:val="21"/>
              </w:rPr>
              <w:t>0</w:t>
            </w:r>
          </w:p>
        </w:tc>
        <w:tc>
          <w:tcPr>
            <w:tcW w:w="834" w:type="pct"/>
            <w:vAlign w:val="center"/>
          </w:tcPr>
          <w:p w14:paraId="6032E061">
            <w:pPr>
              <w:adjustRightInd w:val="0"/>
              <w:snapToGrid w:val="0"/>
              <w:spacing w:line="240" w:lineRule="auto"/>
              <w:ind w:firstLine="0" w:firstLineChars="0"/>
              <w:jc w:val="center"/>
              <w:rPr>
                <w:sz w:val="21"/>
                <w:szCs w:val="21"/>
              </w:rPr>
            </w:pPr>
            <w:r>
              <w:rPr>
                <w:rFonts w:hint="eastAsia"/>
                <w:sz w:val="21"/>
                <w:szCs w:val="21"/>
              </w:rPr>
              <w:t>0</w:t>
            </w:r>
          </w:p>
        </w:tc>
        <w:tc>
          <w:tcPr>
            <w:tcW w:w="500" w:type="pct"/>
            <w:vAlign w:val="center"/>
          </w:tcPr>
          <w:p w14:paraId="02D8A400">
            <w:pPr>
              <w:adjustRightInd w:val="0"/>
              <w:snapToGrid w:val="0"/>
              <w:spacing w:line="240" w:lineRule="auto"/>
              <w:ind w:firstLine="0" w:firstLineChars="0"/>
              <w:jc w:val="center"/>
              <w:rPr>
                <w:sz w:val="21"/>
                <w:szCs w:val="21"/>
              </w:rPr>
            </w:pPr>
            <w:r>
              <w:rPr>
                <w:sz w:val="21"/>
                <w:szCs w:val="21"/>
              </w:rPr>
              <w:t>0.145</w:t>
            </w:r>
          </w:p>
        </w:tc>
        <w:tc>
          <w:tcPr>
            <w:tcW w:w="639" w:type="pct"/>
            <w:vAlign w:val="center"/>
          </w:tcPr>
          <w:p w14:paraId="772B1F78">
            <w:pPr>
              <w:adjustRightInd w:val="0"/>
              <w:snapToGrid w:val="0"/>
              <w:spacing w:line="240" w:lineRule="auto"/>
              <w:ind w:firstLine="0" w:firstLineChars="0"/>
              <w:jc w:val="center"/>
              <w:rPr>
                <w:sz w:val="21"/>
                <w:szCs w:val="21"/>
              </w:rPr>
            </w:pPr>
            <w:r>
              <w:rPr>
                <w:rFonts w:hint="eastAsia"/>
                <w:sz w:val="21"/>
                <w:szCs w:val="21"/>
              </w:rPr>
              <w:t>0</w:t>
            </w:r>
          </w:p>
        </w:tc>
        <w:tc>
          <w:tcPr>
            <w:tcW w:w="648" w:type="pct"/>
            <w:vAlign w:val="center"/>
          </w:tcPr>
          <w:p w14:paraId="125DC879">
            <w:pPr>
              <w:adjustRightInd w:val="0"/>
              <w:snapToGrid w:val="0"/>
              <w:spacing w:line="240" w:lineRule="auto"/>
              <w:ind w:firstLine="0" w:firstLineChars="0"/>
              <w:jc w:val="center"/>
              <w:rPr>
                <w:sz w:val="21"/>
                <w:szCs w:val="21"/>
              </w:rPr>
            </w:pPr>
            <w:r>
              <w:rPr>
                <w:sz w:val="21"/>
                <w:szCs w:val="21"/>
              </w:rPr>
              <w:t>0.145</w:t>
            </w:r>
          </w:p>
        </w:tc>
        <w:tc>
          <w:tcPr>
            <w:tcW w:w="476" w:type="pct"/>
            <w:vAlign w:val="center"/>
          </w:tcPr>
          <w:p w14:paraId="719D171C">
            <w:pPr>
              <w:adjustRightInd w:val="0"/>
              <w:snapToGrid w:val="0"/>
              <w:spacing w:line="240" w:lineRule="auto"/>
              <w:ind w:firstLine="0" w:firstLineChars="0"/>
              <w:jc w:val="center"/>
              <w:rPr>
                <w:sz w:val="21"/>
                <w:szCs w:val="21"/>
              </w:rPr>
            </w:pPr>
            <w:r>
              <w:rPr>
                <w:rFonts w:hint="eastAsia"/>
                <w:sz w:val="21"/>
                <w:szCs w:val="21"/>
              </w:rPr>
              <w:t>+</w:t>
            </w:r>
            <w:r>
              <w:rPr>
                <w:sz w:val="21"/>
                <w:szCs w:val="21"/>
              </w:rPr>
              <w:t>0.145</w:t>
            </w:r>
          </w:p>
        </w:tc>
      </w:tr>
      <w:tr w14:paraId="7A213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14:paraId="1A1CB2EC">
            <w:pPr>
              <w:pStyle w:val="71"/>
              <w:rPr>
                <w:kern w:val="2"/>
                <w:szCs w:val="24"/>
                <w:lang w:val="en-US" w:eastAsia="zh-CN"/>
              </w:rPr>
            </w:pPr>
            <w:r>
              <w:rPr>
                <w:kern w:val="2"/>
                <w:szCs w:val="24"/>
                <w:lang w:val="en-US" w:eastAsia="zh-CN"/>
              </w:rPr>
              <w:t>一般工业</w:t>
            </w:r>
          </w:p>
          <w:p w14:paraId="0B60A33D">
            <w:pPr>
              <w:pStyle w:val="71"/>
              <w:rPr>
                <w:kern w:val="2"/>
                <w:szCs w:val="24"/>
                <w:lang w:val="en-US" w:eastAsia="zh-CN"/>
              </w:rPr>
            </w:pPr>
            <w:r>
              <w:rPr>
                <w:kern w:val="2"/>
                <w:szCs w:val="24"/>
                <w:lang w:val="en-US" w:eastAsia="zh-CN"/>
              </w:rPr>
              <w:t>固体废物</w:t>
            </w:r>
          </w:p>
        </w:tc>
        <w:tc>
          <w:tcPr>
            <w:tcW w:w="522" w:type="pct"/>
            <w:vAlign w:val="center"/>
          </w:tcPr>
          <w:p w14:paraId="48CBE86C">
            <w:pPr>
              <w:pStyle w:val="71"/>
              <w:rPr>
                <w:kern w:val="2"/>
                <w:szCs w:val="24"/>
                <w:lang w:val="en-US" w:eastAsia="zh-CN"/>
              </w:rPr>
            </w:pPr>
            <w:r>
              <w:rPr>
                <w:kern w:val="2"/>
                <w:szCs w:val="24"/>
                <w:lang w:val="en-US" w:eastAsia="zh-CN"/>
              </w:rPr>
              <w:t>生活垃圾</w:t>
            </w:r>
          </w:p>
        </w:tc>
        <w:tc>
          <w:tcPr>
            <w:tcW w:w="550" w:type="pct"/>
            <w:vAlign w:val="center"/>
          </w:tcPr>
          <w:p w14:paraId="05B95CB9">
            <w:pPr>
              <w:adjustRightInd w:val="0"/>
              <w:snapToGrid w:val="0"/>
              <w:spacing w:line="240" w:lineRule="auto"/>
              <w:ind w:firstLine="0" w:firstLineChars="0"/>
              <w:jc w:val="center"/>
              <w:rPr>
                <w:sz w:val="21"/>
                <w:szCs w:val="18"/>
              </w:rPr>
            </w:pPr>
            <w:r>
              <w:rPr>
                <w:sz w:val="21"/>
                <w:szCs w:val="18"/>
              </w:rPr>
              <w:t>0</w:t>
            </w:r>
          </w:p>
        </w:tc>
        <w:tc>
          <w:tcPr>
            <w:tcW w:w="394" w:type="pct"/>
            <w:vAlign w:val="center"/>
          </w:tcPr>
          <w:p w14:paraId="7A1160D1">
            <w:pPr>
              <w:adjustRightInd w:val="0"/>
              <w:snapToGrid w:val="0"/>
              <w:spacing w:line="240" w:lineRule="auto"/>
              <w:ind w:firstLine="0" w:firstLineChars="0"/>
              <w:jc w:val="center"/>
              <w:rPr>
                <w:sz w:val="21"/>
                <w:szCs w:val="18"/>
              </w:rPr>
            </w:pPr>
            <w:r>
              <w:rPr>
                <w:sz w:val="21"/>
                <w:szCs w:val="18"/>
              </w:rPr>
              <w:t>0</w:t>
            </w:r>
          </w:p>
        </w:tc>
        <w:tc>
          <w:tcPr>
            <w:tcW w:w="834" w:type="pct"/>
            <w:vAlign w:val="center"/>
          </w:tcPr>
          <w:p w14:paraId="47589CFD">
            <w:pPr>
              <w:adjustRightInd w:val="0"/>
              <w:snapToGrid w:val="0"/>
              <w:spacing w:line="240" w:lineRule="auto"/>
              <w:ind w:firstLine="0" w:firstLineChars="0"/>
              <w:jc w:val="center"/>
              <w:rPr>
                <w:sz w:val="21"/>
                <w:szCs w:val="18"/>
              </w:rPr>
            </w:pPr>
            <w:r>
              <w:rPr>
                <w:sz w:val="21"/>
                <w:szCs w:val="18"/>
              </w:rPr>
              <w:t>0</w:t>
            </w:r>
          </w:p>
        </w:tc>
        <w:tc>
          <w:tcPr>
            <w:tcW w:w="500" w:type="pct"/>
            <w:vAlign w:val="center"/>
          </w:tcPr>
          <w:p w14:paraId="65235392">
            <w:pPr>
              <w:adjustRightInd w:val="0"/>
              <w:snapToGrid w:val="0"/>
              <w:spacing w:line="240" w:lineRule="auto"/>
              <w:ind w:firstLine="0" w:firstLineChars="0"/>
              <w:jc w:val="center"/>
              <w:rPr>
                <w:sz w:val="21"/>
                <w:szCs w:val="18"/>
              </w:rPr>
            </w:pPr>
            <w:r>
              <w:rPr>
                <w:sz w:val="21"/>
                <w:szCs w:val="18"/>
              </w:rPr>
              <w:t>0</w:t>
            </w:r>
          </w:p>
        </w:tc>
        <w:tc>
          <w:tcPr>
            <w:tcW w:w="639" w:type="pct"/>
            <w:vAlign w:val="center"/>
          </w:tcPr>
          <w:p w14:paraId="42172F21">
            <w:pPr>
              <w:adjustRightInd w:val="0"/>
              <w:snapToGrid w:val="0"/>
              <w:spacing w:line="240" w:lineRule="auto"/>
              <w:ind w:firstLine="0" w:firstLineChars="0"/>
              <w:jc w:val="center"/>
              <w:rPr>
                <w:sz w:val="21"/>
                <w:szCs w:val="18"/>
              </w:rPr>
            </w:pPr>
            <w:r>
              <w:rPr>
                <w:sz w:val="21"/>
                <w:szCs w:val="18"/>
              </w:rPr>
              <w:t>0</w:t>
            </w:r>
          </w:p>
        </w:tc>
        <w:tc>
          <w:tcPr>
            <w:tcW w:w="648" w:type="pct"/>
            <w:vAlign w:val="center"/>
          </w:tcPr>
          <w:p w14:paraId="01184FBA">
            <w:pPr>
              <w:adjustRightInd w:val="0"/>
              <w:snapToGrid w:val="0"/>
              <w:spacing w:line="240" w:lineRule="auto"/>
              <w:ind w:firstLine="0" w:firstLineChars="0"/>
              <w:jc w:val="center"/>
              <w:rPr>
                <w:sz w:val="21"/>
                <w:szCs w:val="18"/>
              </w:rPr>
            </w:pPr>
            <w:r>
              <w:rPr>
                <w:sz w:val="21"/>
                <w:szCs w:val="18"/>
              </w:rPr>
              <w:t>0</w:t>
            </w:r>
          </w:p>
        </w:tc>
        <w:tc>
          <w:tcPr>
            <w:tcW w:w="476" w:type="pct"/>
            <w:vAlign w:val="center"/>
          </w:tcPr>
          <w:p w14:paraId="68ACA537">
            <w:pPr>
              <w:adjustRightInd w:val="0"/>
              <w:snapToGrid w:val="0"/>
              <w:spacing w:line="240" w:lineRule="auto"/>
              <w:ind w:firstLine="0" w:firstLineChars="0"/>
              <w:jc w:val="center"/>
              <w:rPr>
                <w:sz w:val="21"/>
                <w:szCs w:val="18"/>
              </w:rPr>
            </w:pPr>
            <w:r>
              <w:rPr>
                <w:sz w:val="21"/>
                <w:szCs w:val="18"/>
              </w:rPr>
              <w:t>0</w:t>
            </w:r>
          </w:p>
        </w:tc>
      </w:tr>
      <w:tr w14:paraId="53344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14:paraId="73DE140E">
            <w:pPr>
              <w:pStyle w:val="71"/>
              <w:rPr>
                <w:kern w:val="2"/>
                <w:szCs w:val="24"/>
                <w:lang w:val="en-US" w:eastAsia="zh-CN"/>
              </w:rPr>
            </w:pPr>
            <w:r>
              <w:rPr>
                <w:kern w:val="2"/>
                <w:szCs w:val="24"/>
                <w:lang w:val="en-US" w:eastAsia="zh-CN"/>
              </w:rPr>
              <w:t>危险废物</w:t>
            </w:r>
          </w:p>
        </w:tc>
        <w:tc>
          <w:tcPr>
            <w:tcW w:w="522" w:type="pct"/>
            <w:vAlign w:val="center"/>
          </w:tcPr>
          <w:p w14:paraId="39E2F1E1">
            <w:pPr>
              <w:pStyle w:val="71"/>
              <w:rPr>
                <w:kern w:val="2"/>
                <w:szCs w:val="24"/>
                <w:lang w:val="en-US" w:eastAsia="zh-CN"/>
              </w:rPr>
            </w:pPr>
            <w:r>
              <w:rPr>
                <w:kern w:val="2"/>
                <w:szCs w:val="24"/>
                <w:lang w:val="en-US" w:eastAsia="zh-CN"/>
              </w:rPr>
              <w:t>危险废物</w:t>
            </w:r>
          </w:p>
        </w:tc>
        <w:tc>
          <w:tcPr>
            <w:tcW w:w="550" w:type="pct"/>
            <w:vAlign w:val="center"/>
          </w:tcPr>
          <w:p w14:paraId="227BF235">
            <w:pPr>
              <w:adjustRightInd w:val="0"/>
              <w:snapToGrid w:val="0"/>
              <w:spacing w:line="240" w:lineRule="auto"/>
              <w:ind w:firstLine="0" w:firstLineChars="0"/>
              <w:jc w:val="center"/>
              <w:rPr>
                <w:sz w:val="21"/>
                <w:szCs w:val="18"/>
              </w:rPr>
            </w:pPr>
            <w:r>
              <w:rPr>
                <w:sz w:val="21"/>
                <w:szCs w:val="18"/>
              </w:rPr>
              <w:t>0</w:t>
            </w:r>
          </w:p>
        </w:tc>
        <w:tc>
          <w:tcPr>
            <w:tcW w:w="394" w:type="pct"/>
            <w:vAlign w:val="center"/>
          </w:tcPr>
          <w:p w14:paraId="607B983B">
            <w:pPr>
              <w:adjustRightInd w:val="0"/>
              <w:snapToGrid w:val="0"/>
              <w:spacing w:line="240" w:lineRule="auto"/>
              <w:ind w:firstLine="0" w:firstLineChars="0"/>
              <w:jc w:val="center"/>
              <w:rPr>
                <w:sz w:val="21"/>
                <w:szCs w:val="18"/>
              </w:rPr>
            </w:pPr>
            <w:r>
              <w:rPr>
                <w:sz w:val="21"/>
                <w:szCs w:val="18"/>
              </w:rPr>
              <w:t>0</w:t>
            </w:r>
          </w:p>
        </w:tc>
        <w:tc>
          <w:tcPr>
            <w:tcW w:w="834" w:type="pct"/>
            <w:vAlign w:val="center"/>
          </w:tcPr>
          <w:p w14:paraId="0AA74DC8">
            <w:pPr>
              <w:adjustRightInd w:val="0"/>
              <w:snapToGrid w:val="0"/>
              <w:spacing w:line="240" w:lineRule="auto"/>
              <w:ind w:firstLine="0" w:firstLineChars="0"/>
              <w:jc w:val="center"/>
              <w:rPr>
                <w:sz w:val="21"/>
                <w:szCs w:val="18"/>
              </w:rPr>
            </w:pPr>
            <w:r>
              <w:rPr>
                <w:rFonts w:hint="eastAsia"/>
                <w:sz w:val="21"/>
                <w:szCs w:val="18"/>
              </w:rPr>
              <w:t>0</w:t>
            </w:r>
          </w:p>
        </w:tc>
        <w:tc>
          <w:tcPr>
            <w:tcW w:w="500" w:type="pct"/>
            <w:vAlign w:val="center"/>
          </w:tcPr>
          <w:p w14:paraId="67A91792">
            <w:pPr>
              <w:adjustRightInd w:val="0"/>
              <w:snapToGrid w:val="0"/>
              <w:spacing w:line="240" w:lineRule="auto"/>
              <w:ind w:firstLine="0" w:firstLineChars="0"/>
              <w:jc w:val="center"/>
              <w:rPr>
                <w:sz w:val="21"/>
                <w:szCs w:val="18"/>
              </w:rPr>
            </w:pPr>
            <w:r>
              <w:rPr>
                <w:sz w:val="21"/>
                <w:szCs w:val="18"/>
              </w:rPr>
              <w:t>0</w:t>
            </w:r>
          </w:p>
        </w:tc>
        <w:tc>
          <w:tcPr>
            <w:tcW w:w="639" w:type="pct"/>
            <w:vAlign w:val="center"/>
          </w:tcPr>
          <w:p w14:paraId="27E73B05">
            <w:pPr>
              <w:adjustRightInd w:val="0"/>
              <w:snapToGrid w:val="0"/>
              <w:spacing w:line="240" w:lineRule="auto"/>
              <w:ind w:firstLine="0" w:firstLineChars="0"/>
              <w:jc w:val="center"/>
              <w:rPr>
                <w:sz w:val="21"/>
                <w:szCs w:val="18"/>
              </w:rPr>
            </w:pPr>
            <w:r>
              <w:rPr>
                <w:sz w:val="21"/>
                <w:szCs w:val="18"/>
              </w:rPr>
              <w:t>0</w:t>
            </w:r>
          </w:p>
        </w:tc>
        <w:tc>
          <w:tcPr>
            <w:tcW w:w="648" w:type="pct"/>
            <w:vAlign w:val="center"/>
          </w:tcPr>
          <w:p w14:paraId="0DC8CF16">
            <w:pPr>
              <w:adjustRightInd w:val="0"/>
              <w:snapToGrid w:val="0"/>
              <w:spacing w:line="240" w:lineRule="auto"/>
              <w:ind w:firstLine="0" w:firstLineChars="0"/>
              <w:jc w:val="center"/>
              <w:rPr>
                <w:sz w:val="21"/>
                <w:szCs w:val="18"/>
              </w:rPr>
            </w:pPr>
            <w:r>
              <w:rPr>
                <w:sz w:val="21"/>
                <w:szCs w:val="18"/>
              </w:rPr>
              <w:t>0</w:t>
            </w:r>
          </w:p>
        </w:tc>
        <w:tc>
          <w:tcPr>
            <w:tcW w:w="476" w:type="pct"/>
            <w:vAlign w:val="center"/>
          </w:tcPr>
          <w:p w14:paraId="700385E2">
            <w:pPr>
              <w:adjustRightInd w:val="0"/>
              <w:snapToGrid w:val="0"/>
              <w:spacing w:line="240" w:lineRule="auto"/>
              <w:ind w:firstLine="0" w:firstLineChars="0"/>
              <w:jc w:val="center"/>
              <w:rPr>
                <w:sz w:val="21"/>
                <w:szCs w:val="18"/>
              </w:rPr>
            </w:pPr>
            <w:r>
              <w:rPr>
                <w:sz w:val="21"/>
                <w:szCs w:val="18"/>
              </w:rPr>
              <w:t>0</w:t>
            </w:r>
          </w:p>
        </w:tc>
      </w:tr>
    </w:tbl>
    <w:p w14:paraId="5DEB5CEA">
      <w:pPr>
        <w:ind w:firstLine="480"/>
      </w:pPr>
      <w:r>
        <w:t>注：</w:t>
      </w:r>
      <w:r>
        <w:fldChar w:fldCharType="begin"/>
      </w:r>
      <w:r>
        <w:instrText xml:space="preserve"> = 6 \* GB3 \* MERGEFORMAT </w:instrText>
      </w:r>
      <w:r>
        <w:fldChar w:fldCharType="separate"/>
      </w:r>
      <w:r>
        <w:rPr>
          <w:rFonts w:hint="eastAsia" w:ascii="宋体" w:hAnsi="宋体" w:cs="宋体"/>
        </w:rPr>
        <w:t>⑥</w:t>
      </w:r>
      <w:r>
        <w:fldChar w:fldCharType="end"/>
      </w:r>
      <w:r>
        <w:t>=</w:t>
      </w:r>
      <w:r>
        <w:fldChar w:fldCharType="begin"/>
      </w:r>
      <w:r>
        <w:instrText xml:space="preserve"> = 1 \* GB3 \* MERGEFORMAT </w:instrText>
      </w:r>
      <w:r>
        <w:fldChar w:fldCharType="separate"/>
      </w:r>
      <w:r>
        <w:rPr>
          <w:rFonts w:hint="eastAsia" w:ascii="宋体" w:hAnsi="宋体" w:cs="宋体"/>
        </w:rPr>
        <w:t>①</w:t>
      </w:r>
      <w:r>
        <w:fldChar w:fldCharType="end"/>
      </w:r>
      <w:r>
        <w:t>+</w:t>
      </w:r>
      <w:r>
        <w:fldChar w:fldCharType="begin"/>
      </w:r>
      <w:r>
        <w:instrText xml:space="preserve"> = 3 \* GB3 \* MERGEFORMAT </w:instrText>
      </w:r>
      <w:r>
        <w:fldChar w:fldCharType="separate"/>
      </w:r>
      <w:r>
        <w:rPr>
          <w:rFonts w:hint="eastAsia" w:ascii="宋体" w:hAnsi="宋体" w:cs="宋体"/>
        </w:rPr>
        <w:t>③</w:t>
      </w:r>
      <w:r>
        <w:fldChar w:fldCharType="end"/>
      </w:r>
      <w:r>
        <w:t>+</w:t>
      </w:r>
      <w:r>
        <w:fldChar w:fldCharType="begin"/>
      </w:r>
      <w:r>
        <w:instrText xml:space="preserve"> = 4 \* GB3 \* MERGEFORMAT </w:instrText>
      </w:r>
      <w:r>
        <w:fldChar w:fldCharType="separate"/>
      </w:r>
      <w:r>
        <w:rPr>
          <w:rFonts w:hint="eastAsia" w:ascii="宋体" w:hAnsi="宋体" w:cs="宋体"/>
        </w:rPr>
        <w:t>④</w:t>
      </w:r>
      <w:r>
        <w:fldChar w:fldCharType="end"/>
      </w:r>
      <w:r>
        <w:t>-</w:t>
      </w:r>
      <w:r>
        <w:fldChar w:fldCharType="begin"/>
      </w:r>
      <w:r>
        <w:instrText xml:space="preserve"> = 5 \* GB3 \* MERGEFORMAT </w:instrText>
      </w:r>
      <w:r>
        <w:fldChar w:fldCharType="separate"/>
      </w:r>
      <w:r>
        <w:rPr>
          <w:rFonts w:hint="eastAsia" w:ascii="宋体" w:hAnsi="宋体" w:cs="宋体"/>
        </w:rPr>
        <w:t>⑤</w:t>
      </w:r>
      <w:r>
        <w:fldChar w:fldCharType="end"/>
      </w:r>
      <w:r>
        <w:t>；</w:t>
      </w:r>
      <w:r>
        <w:fldChar w:fldCharType="begin"/>
      </w:r>
      <w:r>
        <w:instrText xml:space="preserve"> = 7 \* GB3 \* MERGEFORMAT </w:instrText>
      </w:r>
      <w:r>
        <w:fldChar w:fldCharType="separate"/>
      </w:r>
      <w:r>
        <w:rPr>
          <w:rFonts w:hint="eastAsia" w:ascii="宋体" w:hAnsi="宋体" w:cs="宋体"/>
        </w:rPr>
        <w:t>⑦</w:t>
      </w:r>
      <w:r>
        <w:fldChar w:fldCharType="end"/>
      </w:r>
      <w:r>
        <w:t>=</w:t>
      </w:r>
      <w:r>
        <w:fldChar w:fldCharType="begin"/>
      </w:r>
      <w:r>
        <w:instrText xml:space="preserve"> = 6 \* GB3 \* MERGEFORMAT </w:instrText>
      </w:r>
      <w:r>
        <w:fldChar w:fldCharType="separate"/>
      </w:r>
      <w:r>
        <w:rPr>
          <w:rFonts w:hint="eastAsia" w:ascii="宋体" w:hAnsi="宋体" w:cs="宋体"/>
        </w:rPr>
        <w:t>⑥</w:t>
      </w:r>
      <w:r>
        <w:fldChar w:fldCharType="end"/>
      </w:r>
      <w:r>
        <w:t>-</w:t>
      </w:r>
      <w:r>
        <w:fldChar w:fldCharType="begin"/>
      </w:r>
      <w:r>
        <w:instrText xml:space="preserve"> = 1 \* GB3 \* MERGEFORMAT </w:instrText>
      </w:r>
      <w:r>
        <w:fldChar w:fldCharType="separate"/>
      </w:r>
      <w:r>
        <w:rPr>
          <w:rFonts w:hint="eastAsia" w:ascii="宋体" w:hAnsi="宋体" w:cs="宋体"/>
        </w:rPr>
        <w:t>①</w:t>
      </w:r>
      <w:r>
        <w:fldChar w:fldCharType="end"/>
      </w:r>
      <w:r>
        <w:t>；本次废水排放量填写的均为尾水排放环境的总量。</w:t>
      </w:r>
    </w:p>
    <w:p w14:paraId="4E2FC1D5">
      <w:pPr>
        <w:ind w:firstLine="480"/>
        <w:sectPr>
          <w:headerReference r:id="rId42" w:type="first"/>
          <w:headerReference r:id="rId40" w:type="default"/>
          <w:footerReference r:id="rId43" w:type="default"/>
          <w:headerReference r:id="rId41" w:type="even"/>
          <w:pgSz w:w="16839" w:h="11907" w:orient="landscape"/>
          <w:pgMar w:top="1417" w:right="1417" w:bottom="1417" w:left="1417" w:header="851" w:footer="850" w:gutter="0"/>
          <w:cols w:space="720" w:num="1"/>
          <w:docGrid w:linePitch="326" w:charSpace="0"/>
        </w:sectPr>
      </w:pPr>
    </w:p>
    <w:p w14:paraId="7EE27CF4">
      <w:pPr>
        <w:ind w:firstLine="0" w:firstLineChars="0"/>
        <w:jc w:val="center"/>
        <w:outlineLvl w:val="0"/>
        <w:rPr>
          <w:rStyle w:val="65"/>
        </w:rPr>
      </w:pPr>
      <w:r>
        <w:rPr>
          <w:rStyle w:val="65"/>
        </w:rPr>
        <w:t>七、</w:t>
      </w:r>
      <w:r>
        <w:rPr>
          <w:rStyle w:val="65"/>
          <w:rFonts w:hint="eastAsia"/>
        </w:rPr>
        <w:t>建设项目环境风险简单分析内容表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28" w:type="dxa"/>
          <w:bottom w:w="0" w:type="dxa"/>
          <w:right w:w="28" w:type="dxa"/>
        </w:tblCellMar>
      </w:tblPr>
      <w:tblGrid>
        <w:gridCol w:w="2357"/>
        <w:gridCol w:w="6770"/>
      </w:tblGrid>
      <w:tr w14:paraId="2E3E866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163" w:hRule="atLeast"/>
          <w:jc w:val="center"/>
        </w:trPr>
        <w:tc>
          <w:tcPr>
            <w:tcW w:w="1291" w:type="pct"/>
            <w:tcBorders>
              <w:right w:val="single" w:color="auto" w:sz="4" w:space="0"/>
            </w:tcBorders>
            <w:vAlign w:val="center"/>
          </w:tcPr>
          <w:p w14:paraId="7ECF95C8">
            <w:pPr>
              <w:spacing w:line="240" w:lineRule="auto"/>
              <w:ind w:firstLine="0" w:firstLineChars="0"/>
              <w:jc w:val="center"/>
              <w:rPr>
                <w:snapToGrid w:val="0"/>
                <w:kern w:val="0"/>
                <w:szCs w:val="21"/>
              </w:rPr>
            </w:pPr>
            <w:r>
              <w:rPr>
                <w:rFonts w:hint="eastAsia"/>
                <w:snapToGrid w:val="0"/>
                <w:kern w:val="0"/>
                <w:szCs w:val="21"/>
              </w:rPr>
              <w:t>建设项目名称</w:t>
            </w:r>
          </w:p>
        </w:tc>
        <w:tc>
          <w:tcPr>
            <w:tcW w:w="3709" w:type="pct"/>
            <w:tcBorders>
              <w:left w:val="single" w:color="auto" w:sz="4" w:space="0"/>
            </w:tcBorders>
            <w:vAlign w:val="center"/>
          </w:tcPr>
          <w:p w14:paraId="0B3A14C1">
            <w:pPr>
              <w:spacing w:line="240" w:lineRule="auto"/>
              <w:ind w:firstLine="0" w:firstLineChars="0"/>
              <w:jc w:val="center"/>
              <w:rPr>
                <w:snapToGrid w:val="0"/>
                <w:kern w:val="0"/>
                <w:szCs w:val="21"/>
              </w:rPr>
            </w:pPr>
            <w:r>
              <w:rPr>
                <w:snapToGrid w:val="0"/>
                <w:kern w:val="0"/>
                <w:szCs w:val="21"/>
              </w:rPr>
              <w:t>福州中江化工码头罐区扩建项目</w:t>
            </w:r>
          </w:p>
        </w:tc>
      </w:tr>
      <w:tr w14:paraId="6A006B36">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38" w:hRule="atLeast"/>
          <w:jc w:val="center"/>
        </w:trPr>
        <w:tc>
          <w:tcPr>
            <w:tcW w:w="1291" w:type="pct"/>
            <w:tcBorders>
              <w:right w:val="single" w:color="auto" w:sz="4" w:space="0"/>
            </w:tcBorders>
            <w:vAlign w:val="center"/>
          </w:tcPr>
          <w:p w14:paraId="6F74B5D7">
            <w:pPr>
              <w:spacing w:line="240" w:lineRule="auto"/>
              <w:ind w:firstLine="0" w:firstLineChars="0"/>
              <w:jc w:val="center"/>
              <w:rPr>
                <w:snapToGrid w:val="0"/>
                <w:kern w:val="0"/>
                <w:szCs w:val="21"/>
              </w:rPr>
            </w:pPr>
            <w:r>
              <w:rPr>
                <w:rFonts w:hint="eastAsia"/>
                <w:snapToGrid w:val="0"/>
                <w:kern w:val="0"/>
                <w:szCs w:val="21"/>
              </w:rPr>
              <w:t>建设地点</w:t>
            </w:r>
          </w:p>
        </w:tc>
        <w:tc>
          <w:tcPr>
            <w:tcW w:w="3709" w:type="pct"/>
            <w:tcBorders>
              <w:left w:val="single" w:color="auto" w:sz="4" w:space="0"/>
            </w:tcBorders>
            <w:vAlign w:val="center"/>
          </w:tcPr>
          <w:p w14:paraId="59AD6FD5">
            <w:pPr>
              <w:spacing w:line="240" w:lineRule="auto"/>
              <w:ind w:firstLine="0" w:firstLineChars="0"/>
              <w:jc w:val="center"/>
              <w:rPr>
                <w:snapToGrid w:val="0"/>
                <w:kern w:val="0"/>
                <w:szCs w:val="21"/>
              </w:rPr>
            </w:pPr>
            <w:r>
              <w:rPr>
                <w:snapToGrid w:val="0"/>
                <w:kern w:val="0"/>
                <w:szCs w:val="21"/>
              </w:rPr>
              <w:t>福建省福州市福清市江阴港城经济区</w:t>
            </w:r>
          </w:p>
        </w:tc>
      </w:tr>
      <w:tr w14:paraId="4B774D2A">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339" w:hRule="atLeast"/>
          <w:jc w:val="center"/>
        </w:trPr>
        <w:tc>
          <w:tcPr>
            <w:tcW w:w="1291" w:type="pct"/>
            <w:tcBorders>
              <w:right w:val="single" w:color="auto" w:sz="4" w:space="0"/>
            </w:tcBorders>
            <w:vAlign w:val="center"/>
          </w:tcPr>
          <w:p w14:paraId="5EF4C14B">
            <w:pPr>
              <w:spacing w:line="240" w:lineRule="auto"/>
              <w:ind w:firstLine="0" w:firstLineChars="0"/>
              <w:jc w:val="center"/>
              <w:rPr>
                <w:snapToGrid w:val="0"/>
                <w:kern w:val="0"/>
                <w:szCs w:val="21"/>
              </w:rPr>
            </w:pPr>
            <w:r>
              <w:rPr>
                <w:rFonts w:hint="eastAsia"/>
                <w:snapToGrid w:val="0"/>
                <w:kern w:val="0"/>
                <w:szCs w:val="21"/>
              </w:rPr>
              <w:t>地理坐标</w:t>
            </w:r>
          </w:p>
        </w:tc>
        <w:tc>
          <w:tcPr>
            <w:tcW w:w="3709" w:type="pct"/>
            <w:tcBorders>
              <w:left w:val="single" w:color="auto" w:sz="4" w:space="0"/>
            </w:tcBorders>
            <w:vAlign w:val="center"/>
          </w:tcPr>
          <w:p w14:paraId="171219A6">
            <w:pPr>
              <w:spacing w:line="240" w:lineRule="auto"/>
              <w:ind w:firstLine="0" w:firstLineChars="0"/>
              <w:jc w:val="center"/>
              <w:rPr>
                <w:snapToGrid w:val="0"/>
                <w:kern w:val="0"/>
                <w:szCs w:val="21"/>
              </w:rPr>
            </w:pPr>
            <w:r>
              <w:rPr>
                <w:snapToGrid w:val="0"/>
                <w:kern w:val="0"/>
                <w:szCs w:val="21"/>
              </w:rPr>
              <w:t>25度26分</w:t>
            </w:r>
            <w:r>
              <w:rPr>
                <w:rFonts w:hint="eastAsia"/>
                <w:snapToGrid w:val="0"/>
                <w:kern w:val="0"/>
                <w:szCs w:val="21"/>
              </w:rPr>
              <w:t>9.55</w:t>
            </w:r>
            <w:r>
              <w:rPr>
                <w:snapToGrid w:val="0"/>
                <w:kern w:val="0"/>
                <w:szCs w:val="21"/>
              </w:rPr>
              <w:t>秒，119度15分</w:t>
            </w:r>
            <w:r>
              <w:rPr>
                <w:rFonts w:hint="eastAsia"/>
                <w:snapToGrid w:val="0"/>
                <w:kern w:val="0"/>
                <w:szCs w:val="21"/>
              </w:rPr>
              <w:t>45.19</w:t>
            </w:r>
            <w:r>
              <w:rPr>
                <w:snapToGrid w:val="0"/>
                <w:kern w:val="0"/>
                <w:szCs w:val="21"/>
              </w:rPr>
              <w:t>秒</w:t>
            </w:r>
          </w:p>
        </w:tc>
      </w:tr>
      <w:tr w14:paraId="31E1EAF2">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339" w:hRule="atLeast"/>
          <w:jc w:val="center"/>
        </w:trPr>
        <w:tc>
          <w:tcPr>
            <w:tcW w:w="1291" w:type="pct"/>
            <w:tcBorders>
              <w:right w:val="single" w:color="auto" w:sz="4" w:space="0"/>
            </w:tcBorders>
            <w:vAlign w:val="center"/>
          </w:tcPr>
          <w:p w14:paraId="1DBB926E">
            <w:pPr>
              <w:spacing w:line="240" w:lineRule="auto"/>
              <w:ind w:firstLine="0" w:firstLineChars="0"/>
              <w:jc w:val="center"/>
              <w:rPr>
                <w:snapToGrid w:val="0"/>
                <w:kern w:val="0"/>
                <w:szCs w:val="21"/>
              </w:rPr>
            </w:pPr>
            <w:r>
              <w:rPr>
                <w:rFonts w:hint="eastAsia"/>
                <w:snapToGrid w:val="0"/>
                <w:kern w:val="0"/>
                <w:szCs w:val="21"/>
              </w:rPr>
              <w:t>主要危险物质及分布</w:t>
            </w:r>
          </w:p>
        </w:tc>
        <w:tc>
          <w:tcPr>
            <w:tcW w:w="3709" w:type="pct"/>
            <w:tcBorders>
              <w:left w:val="single" w:color="auto" w:sz="4" w:space="0"/>
            </w:tcBorders>
            <w:vAlign w:val="center"/>
          </w:tcPr>
          <w:p w14:paraId="2A12721A">
            <w:pPr>
              <w:spacing w:line="240" w:lineRule="auto"/>
              <w:ind w:firstLine="0" w:firstLineChars="0"/>
              <w:jc w:val="center"/>
              <w:rPr>
                <w:snapToGrid w:val="0"/>
                <w:kern w:val="0"/>
                <w:szCs w:val="21"/>
              </w:rPr>
            </w:pPr>
            <w:r>
              <w:rPr>
                <w:rFonts w:hint="eastAsia"/>
                <w:snapToGrid w:val="0"/>
                <w:kern w:val="0"/>
                <w:szCs w:val="21"/>
              </w:rPr>
              <w:t>详见填表7.3-7</w:t>
            </w:r>
          </w:p>
        </w:tc>
      </w:tr>
      <w:tr w14:paraId="1043D1F0">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339" w:hRule="atLeast"/>
          <w:jc w:val="center"/>
        </w:trPr>
        <w:tc>
          <w:tcPr>
            <w:tcW w:w="1291" w:type="pct"/>
            <w:tcBorders>
              <w:right w:val="single" w:color="auto" w:sz="4" w:space="0"/>
            </w:tcBorders>
            <w:vAlign w:val="center"/>
          </w:tcPr>
          <w:p w14:paraId="7A135D7F">
            <w:pPr>
              <w:spacing w:line="240" w:lineRule="auto"/>
              <w:ind w:firstLine="0" w:firstLineChars="0"/>
              <w:jc w:val="center"/>
              <w:rPr>
                <w:snapToGrid w:val="0"/>
                <w:kern w:val="0"/>
                <w:szCs w:val="21"/>
              </w:rPr>
            </w:pPr>
            <w:r>
              <w:rPr>
                <w:rFonts w:hint="eastAsia"/>
                <w:snapToGrid w:val="0"/>
                <w:kern w:val="0"/>
                <w:szCs w:val="21"/>
              </w:rPr>
              <w:t>环境影响途径及危害后果</w:t>
            </w:r>
          </w:p>
          <w:p w14:paraId="4F1CF6D7">
            <w:pPr>
              <w:spacing w:line="240" w:lineRule="auto"/>
              <w:ind w:firstLine="0" w:firstLineChars="0"/>
              <w:jc w:val="center"/>
              <w:rPr>
                <w:snapToGrid w:val="0"/>
                <w:kern w:val="0"/>
                <w:szCs w:val="21"/>
              </w:rPr>
            </w:pPr>
            <w:r>
              <w:rPr>
                <w:rFonts w:hint="eastAsia"/>
                <w:snapToGrid w:val="0"/>
                <w:kern w:val="0"/>
                <w:szCs w:val="21"/>
              </w:rPr>
              <w:t>（大气、地表水、地下水等）</w:t>
            </w:r>
          </w:p>
        </w:tc>
        <w:tc>
          <w:tcPr>
            <w:tcW w:w="3709" w:type="pct"/>
            <w:tcBorders>
              <w:left w:val="single" w:color="auto" w:sz="4" w:space="0"/>
            </w:tcBorders>
            <w:vAlign w:val="center"/>
          </w:tcPr>
          <w:p w14:paraId="0EAC39B5">
            <w:pPr>
              <w:spacing w:line="240" w:lineRule="auto"/>
              <w:ind w:firstLine="0" w:firstLineChars="0"/>
              <w:jc w:val="center"/>
              <w:rPr>
                <w:snapToGrid w:val="0"/>
                <w:kern w:val="0"/>
                <w:szCs w:val="21"/>
              </w:rPr>
            </w:pPr>
            <w:r>
              <w:rPr>
                <w:rFonts w:hint="eastAsia"/>
                <w:snapToGrid w:val="0"/>
                <w:kern w:val="0"/>
                <w:szCs w:val="21"/>
              </w:rPr>
              <w:t>详见填表7.3-7</w:t>
            </w:r>
          </w:p>
        </w:tc>
      </w:tr>
      <w:tr w14:paraId="273C05B3">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339" w:hRule="atLeast"/>
          <w:jc w:val="center"/>
        </w:trPr>
        <w:tc>
          <w:tcPr>
            <w:tcW w:w="1291" w:type="pct"/>
            <w:tcBorders>
              <w:right w:val="single" w:color="auto" w:sz="4" w:space="0"/>
            </w:tcBorders>
            <w:vAlign w:val="center"/>
          </w:tcPr>
          <w:p w14:paraId="2EA787A4">
            <w:pPr>
              <w:spacing w:line="240" w:lineRule="auto"/>
              <w:ind w:firstLine="0" w:firstLineChars="0"/>
              <w:jc w:val="center"/>
              <w:rPr>
                <w:snapToGrid w:val="0"/>
                <w:kern w:val="0"/>
                <w:szCs w:val="21"/>
              </w:rPr>
            </w:pPr>
            <w:r>
              <w:rPr>
                <w:rFonts w:hint="eastAsia"/>
                <w:snapToGrid w:val="0"/>
                <w:kern w:val="0"/>
                <w:szCs w:val="21"/>
              </w:rPr>
              <w:t>风险防范措施要求</w:t>
            </w:r>
          </w:p>
        </w:tc>
        <w:tc>
          <w:tcPr>
            <w:tcW w:w="3709" w:type="pct"/>
            <w:tcBorders>
              <w:left w:val="single" w:color="auto" w:sz="4" w:space="0"/>
            </w:tcBorders>
            <w:vAlign w:val="center"/>
          </w:tcPr>
          <w:p w14:paraId="337DB3F2">
            <w:pPr>
              <w:spacing w:line="240" w:lineRule="auto"/>
              <w:ind w:firstLine="0" w:firstLineChars="0"/>
              <w:jc w:val="center"/>
              <w:rPr>
                <w:snapToGrid w:val="0"/>
                <w:kern w:val="0"/>
                <w:szCs w:val="21"/>
              </w:rPr>
            </w:pPr>
            <w:r>
              <w:rPr>
                <w:rFonts w:hint="eastAsia"/>
                <w:snapToGrid w:val="0"/>
                <w:kern w:val="0"/>
                <w:szCs w:val="21"/>
              </w:rPr>
              <w:t>详见章节7.4</w:t>
            </w:r>
          </w:p>
        </w:tc>
      </w:tr>
      <w:tr w14:paraId="5A26BB3C">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6506" w:hRule="atLeast"/>
          <w:jc w:val="center"/>
        </w:trPr>
        <w:tc>
          <w:tcPr>
            <w:tcW w:w="5000" w:type="pct"/>
            <w:gridSpan w:val="2"/>
            <w:vAlign w:val="center"/>
          </w:tcPr>
          <w:p w14:paraId="17453201">
            <w:pPr>
              <w:pStyle w:val="117"/>
              <w:adjustRightInd w:val="0"/>
              <w:snapToGrid w:val="0"/>
              <w:ind w:firstLine="0" w:firstLineChars="0"/>
              <w:rPr>
                <w:lang w:val="en-US" w:eastAsia="zh-CN"/>
              </w:rPr>
            </w:pPr>
            <w:r>
              <w:rPr>
                <w:rFonts w:hint="eastAsia"/>
                <w:lang w:val="en-US" w:eastAsia="zh-CN"/>
              </w:rPr>
              <w:t>填表说明（列出项目相关信息及评价说明）：</w:t>
            </w:r>
          </w:p>
          <w:p w14:paraId="3D00580C">
            <w:pPr>
              <w:ind w:firstLine="480"/>
              <w:rPr>
                <w:snapToGrid w:val="0"/>
                <w:kern w:val="0"/>
                <w:szCs w:val="21"/>
              </w:rPr>
            </w:pPr>
            <w:r>
              <w:rPr>
                <w:snapToGrid w:val="0"/>
                <w:kern w:val="0"/>
                <w:szCs w:val="21"/>
              </w:rPr>
              <w:t>根据《建设项目环境风险评价技术导则》（HJ169-2018）</w:t>
            </w:r>
            <w:r>
              <w:rPr>
                <w:rFonts w:hint="eastAsia"/>
                <w:snapToGrid w:val="0"/>
                <w:kern w:val="0"/>
                <w:szCs w:val="21"/>
              </w:rPr>
              <w:t>的要求，简单分析基本内容包括：</w:t>
            </w:r>
          </w:p>
          <w:p w14:paraId="180B9740">
            <w:pPr>
              <w:ind w:firstLine="482"/>
              <w:rPr>
                <w:b/>
                <w:snapToGrid w:val="0"/>
                <w:kern w:val="0"/>
                <w:szCs w:val="21"/>
              </w:rPr>
            </w:pPr>
            <w:r>
              <w:rPr>
                <w:rFonts w:hint="eastAsia"/>
                <w:b/>
                <w:snapToGrid w:val="0"/>
                <w:kern w:val="0"/>
                <w:szCs w:val="21"/>
              </w:rPr>
              <w:t>A.1评价依据</w:t>
            </w:r>
          </w:p>
          <w:p w14:paraId="14D5E068">
            <w:pPr>
              <w:ind w:firstLine="480"/>
              <w:rPr>
                <w:snapToGrid w:val="0"/>
                <w:kern w:val="0"/>
                <w:szCs w:val="21"/>
              </w:rPr>
            </w:pPr>
            <w:r>
              <w:rPr>
                <w:rFonts w:hint="eastAsia"/>
                <w:snapToGrid w:val="0"/>
                <w:kern w:val="0"/>
                <w:szCs w:val="21"/>
              </w:rPr>
              <w:t>风险调查、风险潜势初判、评价等级。</w:t>
            </w:r>
          </w:p>
          <w:p w14:paraId="4E82622F">
            <w:pPr>
              <w:ind w:firstLine="482"/>
              <w:rPr>
                <w:b/>
                <w:snapToGrid w:val="0"/>
                <w:kern w:val="0"/>
                <w:szCs w:val="21"/>
              </w:rPr>
            </w:pPr>
            <w:r>
              <w:rPr>
                <w:rFonts w:hint="eastAsia"/>
                <w:b/>
                <w:snapToGrid w:val="0"/>
                <w:kern w:val="0"/>
                <w:szCs w:val="21"/>
              </w:rPr>
              <w:t>A.2环境敏感目标概况</w:t>
            </w:r>
          </w:p>
          <w:p w14:paraId="48060835">
            <w:pPr>
              <w:ind w:firstLine="480"/>
              <w:rPr>
                <w:snapToGrid w:val="0"/>
                <w:kern w:val="0"/>
                <w:szCs w:val="21"/>
              </w:rPr>
            </w:pPr>
            <w:r>
              <w:rPr>
                <w:rFonts w:hint="eastAsia"/>
                <w:snapToGrid w:val="0"/>
                <w:kern w:val="0"/>
                <w:szCs w:val="21"/>
              </w:rPr>
              <w:t>建设项目周围主要环境敏感目标分布情况。</w:t>
            </w:r>
          </w:p>
          <w:p w14:paraId="7D824CE6">
            <w:pPr>
              <w:ind w:firstLine="482"/>
              <w:rPr>
                <w:b/>
                <w:snapToGrid w:val="0"/>
                <w:kern w:val="0"/>
                <w:szCs w:val="21"/>
              </w:rPr>
            </w:pPr>
            <w:r>
              <w:rPr>
                <w:rFonts w:hint="eastAsia"/>
                <w:b/>
                <w:snapToGrid w:val="0"/>
                <w:kern w:val="0"/>
                <w:szCs w:val="21"/>
              </w:rPr>
              <w:t>A.3环境风险识别</w:t>
            </w:r>
          </w:p>
          <w:p w14:paraId="143ED2F3">
            <w:pPr>
              <w:ind w:firstLine="480"/>
              <w:rPr>
                <w:snapToGrid w:val="0"/>
                <w:kern w:val="0"/>
                <w:szCs w:val="21"/>
              </w:rPr>
            </w:pPr>
            <w:r>
              <w:rPr>
                <w:rFonts w:hint="eastAsia"/>
                <w:snapToGrid w:val="0"/>
                <w:kern w:val="0"/>
                <w:szCs w:val="21"/>
              </w:rPr>
              <w:t>主要危险物质及分布情况，可能影响环境的途径。</w:t>
            </w:r>
          </w:p>
          <w:p w14:paraId="3961C311">
            <w:pPr>
              <w:ind w:firstLine="482"/>
              <w:rPr>
                <w:snapToGrid w:val="0"/>
                <w:kern w:val="0"/>
                <w:szCs w:val="21"/>
              </w:rPr>
            </w:pPr>
            <w:r>
              <w:rPr>
                <w:rFonts w:hint="eastAsia"/>
                <w:b/>
                <w:snapToGrid w:val="0"/>
                <w:kern w:val="0"/>
                <w:szCs w:val="21"/>
              </w:rPr>
              <w:t>A.4环境风险分析</w:t>
            </w:r>
          </w:p>
          <w:p w14:paraId="1EDB2C03">
            <w:pPr>
              <w:ind w:firstLine="480"/>
              <w:rPr>
                <w:snapToGrid w:val="0"/>
                <w:kern w:val="0"/>
                <w:szCs w:val="21"/>
              </w:rPr>
            </w:pPr>
            <w:r>
              <w:rPr>
                <w:rFonts w:hint="eastAsia"/>
                <w:snapToGrid w:val="0"/>
                <w:kern w:val="0"/>
                <w:szCs w:val="21"/>
              </w:rPr>
              <w:t>按环境要素分别说明危害后果。</w:t>
            </w:r>
          </w:p>
          <w:p w14:paraId="45E2F8B4">
            <w:pPr>
              <w:ind w:firstLine="482"/>
              <w:rPr>
                <w:b/>
                <w:snapToGrid w:val="0"/>
                <w:kern w:val="0"/>
                <w:szCs w:val="21"/>
              </w:rPr>
            </w:pPr>
            <w:r>
              <w:rPr>
                <w:rFonts w:hint="eastAsia"/>
                <w:b/>
                <w:snapToGrid w:val="0"/>
                <w:kern w:val="0"/>
                <w:szCs w:val="21"/>
              </w:rPr>
              <w:t>A.5环境风险防范措施及应急要求</w:t>
            </w:r>
          </w:p>
          <w:p w14:paraId="4F28CC6E">
            <w:pPr>
              <w:ind w:firstLine="480"/>
              <w:rPr>
                <w:snapToGrid w:val="0"/>
                <w:kern w:val="0"/>
                <w:szCs w:val="21"/>
              </w:rPr>
            </w:pPr>
            <w:r>
              <w:rPr>
                <w:rFonts w:hint="eastAsia"/>
                <w:snapToGrid w:val="0"/>
                <w:kern w:val="0"/>
                <w:szCs w:val="21"/>
              </w:rPr>
              <w:t>从风险源、环境影响途径、环境敏感目标等方面分析应采取的风险防范措施和应急措施。</w:t>
            </w:r>
          </w:p>
          <w:p w14:paraId="1DA2629D">
            <w:pPr>
              <w:ind w:firstLine="482"/>
              <w:rPr>
                <w:snapToGrid w:val="0"/>
                <w:kern w:val="0"/>
                <w:szCs w:val="21"/>
              </w:rPr>
            </w:pPr>
            <w:r>
              <w:rPr>
                <w:rFonts w:hint="eastAsia"/>
                <w:b/>
                <w:snapToGrid w:val="0"/>
                <w:kern w:val="0"/>
                <w:szCs w:val="21"/>
              </w:rPr>
              <w:t>A.6分析结论</w:t>
            </w:r>
          </w:p>
          <w:p w14:paraId="557FEA7D">
            <w:pPr>
              <w:ind w:firstLine="480"/>
              <w:rPr>
                <w:snapToGrid w:val="0"/>
                <w:kern w:val="0"/>
                <w:szCs w:val="21"/>
              </w:rPr>
            </w:pPr>
            <w:r>
              <w:rPr>
                <w:rFonts w:hint="eastAsia"/>
                <w:snapToGrid w:val="0"/>
                <w:kern w:val="0"/>
                <w:szCs w:val="21"/>
              </w:rPr>
              <w:t>说明建设项目环境风险防范措施的有效性。</w:t>
            </w:r>
          </w:p>
          <w:p w14:paraId="25045574">
            <w:pPr>
              <w:pStyle w:val="2"/>
              <w:ind w:firstLine="480"/>
              <w:rPr>
                <w:lang w:val="en-US" w:eastAsia="zh-CN"/>
              </w:rPr>
            </w:pPr>
            <w:r>
              <w:rPr>
                <w:snapToGrid w:val="0"/>
                <w:kern w:val="0"/>
                <w:szCs w:val="21"/>
              </w:rPr>
              <w:t>本次风险评价</w:t>
            </w:r>
            <w:r>
              <w:rPr>
                <w:rFonts w:hint="eastAsia"/>
                <w:snapToGrid w:val="0"/>
                <w:kern w:val="0"/>
                <w:szCs w:val="21"/>
                <w:lang w:eastAsia="zh-CN"/>
              </w:rPr>
              <w:t>按照</w:t>
            </w:r>
            <w:r>
              <w:rPr>
                <w:snapToGrid w:val="0"/>
                <w:kern w:val="0"/>
                <w:szCs w:val="21"/>
              </w:rPr>
              <w:t>《建设项目环境风险评价技术导则》（HJ169-2018）</w:t>
            </w:r>
            <w:r>
              <w:rPr>
                <w:rFonts w:hint="eastAsia"/>
                <w:snapToGrid w:val="0"/>
                <w:kern w:val="0"/>
                <w:szCs w:val="21"/>
                <w:lang w:eastAsia="zh-CN"/>
              </w:rPr>
              <w:t>中</w:t>
            </w:r>
            <w:r>
              <w:rPr>
                <w:rFonts w:hint="eastAsia"/>
                <w:snapToGrid w:val="0"/>
                <w:kern w:val="0"/>
                <w:szCs w:val="21"/>
              </w:rPr>
              <w:t>简单分析</w:t>
            </w:r>
            <w:r>
              <w:rPr>
                <w:rFonts w:hint="eastAsia"/>
                <w:snapToGrid w:val="0"/>
                <w:kern w:val="0"/>
                <w:szCs w:val="21"/>
                <w:lang w:eastAsia="zh-CN"/>
              </w:rPr>
              <w:t>的要求，</w:t>
            </w:r>
            <w:r>
              <w:rPr>
                <w:snapToGrid w:val="0"/>
                <w:kern w:val="0"/>
                <w:szCs w:val="21"/>
              </w:rPr>
              <w:t>对</w:t>
            </w:r>
            <w:r>
              <w:rPr>
                <w:rFonts w:hint="eastAsia"/>
                <w:snapToGrid w:val="0"/>
                <w:kern w:val="0"/>
                <w:szCs w:val="21"/>
              </w:rPr>
              <w:t>扩建项目</w:t>
            </w:r>
            <w:r>
              <w:rPr>
                <w:rFonts w:hint="eastAsia"/>
                <w:snapToGrid w:val="0"/>
                <w:kern w:val="0"/>
                <w:szCs w:val="21"/>
                <w:lang w:eastAsia="zh-CN"/>
              </w:rPr>
              <w:t>的</w:t>
            </w:r>
            <w:r>
              <w:rPr>
                <w:rFonts w:hint="eastAsia"/>
                <w:snapToGrid w:val="0"/>
                <w:kern w:val="0"/>
                <w:szCs w:val="21"/>
              </w:rPr>
              <w:t>环境</w:t>
            </w:r>
            <w:r>
              <w:rPr>
                <w:snapToGrid w:val="0"/>
                <w:kern w:val="0"/>
                <w:szCs w:val="21"/>
              </w:rPr>
              <w:t>风险影响进行分析，提出</w:t>
            </w:r>
            <w:r>
              <w:rPr>
                <w:rFonts w:hint="eastAsia"/>
                <w:snapToGrid w:val="0"/>
                <w:kern w:val="0"/>
                <w:szCs w:val="21"/>
              </w:rPr>
              <w:t>环境风险防控设施</w:t>
            </w:r>
            <w:r>
              <w:rPr>
                <w:snapToGrid w:val="0"/>
                <w:kern w:val="0"/>
                <w:szCs w:val="21"/>
              </w:rPr>
              <w:t>，</w:t>
            </w:r>
            <w:r>
              <w:rPr>
                <w:rFonts w:hint="eastAsia"/>
                <w:snapToGrid w:val="0"/>
                <w:kern w:val="0"/>
                <w:szCs w:val="21"/>
              </w:rPr>
              <w:t>达到环境风险可防控，</w:t>
            </w:r>
            <w:r>
              <w:rPr>
                <w:snapToGrid w:val="0"/>
                <w:kern w:val="0"/>
                <w:szCs w:val="21"/>
              </w:rPr>
              <w:t>减少/降低</w:t>
            </w:r>
            <w:r>
              <w:rPr>
                <w:rFonts w:hint="eastAsia"/>
                <w:snapToGrid w:val="0"/>
                <w:kern w:val="0"/>
                <w:szCs w:val="21"/>
              </w:rPr>
              <w:t>本次扩建项目</w:t>
            </w:r>
            <w:r>
              <w:rPr>
                <w:snapToGrid w:val="0"/>
                <w:kern w:val="0"/>
                <w:szCs w:val="21"/>
              </w:rPr>
              <w:t>对周围环境风险影响</w:t>
            </w:r>
            <w:r>
              <w:rPr>
                <w:rFonts w:hint="eastAsia"/>
                <w:snapToGrid w:val="0"/>
                <w:kern w:val="0"/>
                <w:szCs w:val="21"/>
                <w:lang w:eastAsia="zh-CN"/>
              </w:rPr>
              <w:t>的目的。</w:t>
            </w:r>
            <w:r>
              <w:rPr>
                <w:snapToGrid w:val="0"/>
                <w:kern w:val="0"/>
                <w:szCs w:val="21"/>
              </w:rPr>
              <w:t>本次风险评价</w:t>
            </w:r>
            <w:r>
              <w:rPr>
                <w:rFonts w:hint="eastAsia"/>
                <w:lang w:val="en-US" w:eastAsia="zh-CN"/>
              </w:rPr>
              <w:t>列出扩建项目</w:t>
            </w:r>
            <w:r>
              <w:rPr>
                <w:snapToGrid w:val="0"/>
                <w:kern w:val="0"/>
                <w:szCs w:val="21"/>
              </w:rPr>
              <w:t>建设内容的</w:t>
            </w:r>
            <w:r>
              <w:rPr>
                <w:rFonts w:hint="eastAsia"/>
                <w:lang w:val="en-US" w:eastAsia="zh-CN"/>
              </w:rPr>
              <w:t>环境风险相关信息及评价说明，主要内容包括如下：</w:t>
            </w:r>
          </w:p>
        </w:tc>
      </w:tr>
      <w:tr w14:paraId="74442FB7">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21672" w:hRule="atLeast"/>
          <w:jc w:val="center"/>
        </w:trPr>
        <w:tc>
          <w:tcPr>
            <w:tcW w:w="5000" w:type="pct"/>
            <w:gridSpan w:val="2"/>
            <w:vAlign w:val="center"/>
          </w:tcPr>
          <w:p w14:paraId="30F714C3">
            <w:pPr>
              <w:pStyle w:val="7"/>
              <w:tabs>
                <w:tab w:val="left" w:pos="5400"/>
              </w:tabs>
              <w:spacing w:before="120"/>
            </w:pPr>
            <w:r>
              <w:t>7.</w:t>
            </w:r>
            <w:r>
              <w:rPr>
                <w:rFonts w:hint="eastAsia"/>
              </w:rPr>
              <w:t>1</w:t>
            </w:r>
            <w:r>
              <w:t>风险调查</w:t>
            </w:r>
          </w:p>
          <w:p w14:paraId="6B7B28B5">
            <w:pPr>
              <w:pStyle w:val="8"/>
              <w:tabs>
                <w:tab w:val="left" w:pos="5400"/>
              </w:tabs>
              <w:spacing w:before="120"/>
              <w:rPr>
                <w:lang w:val="en-US" w:eastAsia="zh-CN"/>
              </w:rPr>
            </w:pPr>
            <w:r>
              <w:rPr>
                <w:bCs/>
                <w:lang w:val="en-US" w:eastAsia="zh-CN"/>
              </w:rPr>
              <w:t>7.</w:t>
            </w:r>
            <w:r>
              <w:rPr>
                <w:rFonts w:hint="eastAsia"/>
                <w:bCs/>
                <w:lang w:val="en-US" w:eastAsia="zh-CN"/>
              </w:rPr>
              <w:t>1</w:t>
            </w:r>
            <w:r>
              <w:rPr>
                <w:bCs/>
                <w:lang w:val="en-US" w:eastAsia="zh-CN"/>
              </w:rPr>
              <w:t>.1</w:t>
            </w:r>
            <w:r>
              <w:rPr>
                <w:lang w:val="en-US" w:eastAsia="zh-CN"/>
              </w:rPr>
              <w:t>建设项目风险源调查</w:t>
            </w:r>
          </w:p>
          <w:p w14:paraId="3C76F010">
            <w:pPr>
              <w:ind w:firstLine="480"/>
            </w:pPr>
            <w:r>
              <w:t>本</w:t>
            </w:r>
            <w:r>
              <w:rPr>
                <w:rFonts w:hint="eastAsia"/>
              </w:rPr>
              <w:t>次扩建项目主要</w:t>
            </w:r>
            <w:r>
              <w:t>建设内容为</w:t>
            </w:r>
            <w:r>
              <w:rPr>
                <w:rFonts w:hint="eastAsia"/>
                <w:szCs w:val="22"/>
              </w:rPr>
              <w:t>化工品罐组一（MA储罐、BDO储罐）、化工品罐组二（THF储罐）</w:t>
            </w:r>
            <w:r>
              <w:t>，涉及化学品储存。因此，本</w:t>
            </w:r>
            <w:r>
              <w:rPr>
                <w:rFonts w:hint="eastAsia"/>
              </w:rPr>
              <w:t>次扩建项目</w:t>
            </w:r>
            <w:r>
              <w:t>涉及的危险物质主要为罐区内液体化工品货种。本</w:t>
            </w:r>
            <w:r>
              <w:rPr>
                <w:rFonts w:hint="eastAsia"/>
              </w:rPr>
              <w:t>次扩建项目</w:t>
            </w:r>
            <w:r>
              <w:t>涉及的主要危险物质及主要理化性质见表</w:t>
            </w:r>
            <w:r>
              <w:rPr>
                <w:rFonts w:hint="eastAsia"/>
              </w:rPr>
              <w:t>7.3-1，</w:t>
            </w:r>
            <w:r>
              <w:t>物质分布情况详见表</w:t>
            </w:r>
            <w:r>
              <w:rPr>
                <w:rFonts w:hint="eastAsia"/>
              </w:rPr>
              <w:t>7.3-7。</w:t>
            </w:r>
          </w:p>
          <w:p w14:paraId="7D8934CF">
            <w:pPr>
              <w:pStyle w:val="10"/>
              <w:spacing w:before="120" w:line="240" w:lineRule="auto"/>
              <w:jc w:val="center"/>
              <w:rPr>
                <w:lang w:val="en-GB"/>
              </w:rPr>
            </w:pPr>
            <w:r>
              <w:rPr>
                <w:rFonts w:hint="eastAsia"/>
              </w:rPr>
              <w:t>表7.1-1扩建项目</w:t>
            </w:r>
            <w:r>
              <w:rPr>
                <w:lang w:val="en-GB"/>
              </w:rPr>
              <w:t>储罐配置情况表</w:t>
            </w:r>
          </w:p>
          <w:p w14:paraId="34C66F22">
            <w:pPr>
              <w:ind w:firstLine="482"/>
              <w:jc w:val="center"/>
            </w:pPr>
            <w:r>
              <w:rPr>
                <w:rFonts w:hint="eastAsia"/>
                <w:b/>
              </w:rPr>
              <w:t>***（略，涉及商业秘密）</w:t>
            </w:r>
          </w:p>
          <w:p w14:paraId="65A886C7">
            <w:pPr>
              <w:pStyle w:val="8"/>
              <w:tabs>
                <w:tab w:val="left" w:pos="5400"/>
              </w:tabs>
              <w:spacing w:before="120"/>
              <w:rPr>
                <w:bCs/>
                <w:lang w:val="en-US" w:eastAsia="zh-CN"/>
              </w:rPr>
            </w:pPr>
            <w:r>
              <w:rPr>
                <w:bCs/>
                <w:lang w:val="en-US" w:eastAsia="zh-CN"/>
              </w:rPr>
              <w:t>7.</w:t>
            </w:r>
            <w:r>
              <w:rPr>
                <w:rFonts w:hint="eastAsia"/>
                <w:bCs/>
                <w:lang w:val="en-US" w:eastAsia="zh-CN"/>
              </w:rPr>
              <w:t>1</w:t>
            </w:r>
            <w:r>
              <w:rPr>
                <w:bCs/>
                <w:lang w:val="en-US" w:eastAsia="zh-CN"/>
              </w:rPr>
              <w:t>.2环境敏感目标调查</w:t>
            </w:r>
          </w:p>
          <w:p w14:paraId="2BB468A5">
            <w:pPr>
              <w:pStyle w:val="117"/>
              <w:adjustRightInd w:val="0"/>
              <w:snapToGrid w:val="0"/>
              <w:ind w:firstLine="480"/>
              <w:rPr>
                <w:lang w:val="en-US" w:eastAsia="zh-CN"/>
              </w:rPr>
            </w:pPr>
            <w:r>
              <w:rPr>
                <w:lang w:val="en-US" w:eastAsia="zh-CN"/>
              </w:rPr>
              <w:t>（1）地表水</w:t>
            </w:r>
          </w:p>
          <w:p w14:paraId="2D1E1ED7">
            <w:pPr>
              <w:ind w:firstLine="480"/>
            </w:pPr>
            <w:r>
              <w:t>根据危险物质可能的影响途径，扩建项目地表水环境敏感目标详见表</w:t>
            </w:r>
            <w:r>
              <w:rPr>
                <w:rFonts w:hint="eastAsia"/>
              </w:rPr>
              <w:t>7.1-2</w:t>
            </w:r>
            <w:r>
              <w:t>。</w:t>
            </w:r>
          </w:p>
          <w:p w14:paraId="47B2006D">
            <w:pPr>
              <w:pStyle w:val="10"/>
              <w:spacing w:before="120" w:line="240" w:lineRule="auto"/>
              <w:jc w:val="center"/>
            </w:pPr>
            <w:r>
              <w:t>表</w:t>
            </w:r>
            <w:r>
              <w:rPr>
                <w:rFonts w:hint="eastAsia"/>
              </w:rPr>
              <w:t>7.1-2</w:t>
            </w:r>
            <w:r>
              <w:t>建设项目地表水环境敏感特征表</w:t>
            </w:r>
          </w:p>
          <w:p w14:paraId="42AD07FB">
            <w:pPr>
              <w:ind w:firstLine="482"/>
              <w:jc w:val="center"/>
            </w:pPr>
            <w:r>
              <w:rPr>
                <w:rFonts w:hint="eastAsia"/>
                <w:b/>
              </w:rPr>
              <w:t>***（略，涉及商业秘密）</w:t>
            </w:r>
          </w:p>
          <w:p w14:paraId="581FCD4D">
            <w:pPr>
              <w:pStyle w:val="117"/>
              <w:ind w:firstLine="480"/>
              <w:rPr>
                <w:lang w:val="en-US" w:eastAsia="zh-CN"/>
              </w:rPr>
            </w:pPr>
            <w:r>
              <w:rPr>
                <w:lang w:val="en-US" w:eastAsia="zh-CN"/>
              </w:rPr>
              <w:t>（2）环境空气</w:t>
            </w:r>
          </w:p>
          <w:p w14:paraId="6DDB81E8">
            <w:pPr>
              <w:pStyle w:val="117"/>
              <w:ind w:firstLine="480"/>
              <w:rPr>
                <w:lang w:val="en-US" w:eastAsia="zh-CN"/>
              </w:rPr>
            </w:pPr>
            <w:r>
              <w:rPr>
                <w:lang w:val="en-US" w:eastAsia="zh-CN"/>
              </w:rPr>
              <w:t>根据危险物质可能的影响途径，扩建项目环境空气环境敏感目标详见</w:t>
            </w:r>
            <w:r>
              <w:rPr>
                <w:rFonts w:hint="eastAsia"/>
                <w:lang w:val="en-US" w:eastAsia="zh-CN"/>
              </w:rPr>
              <w:t>表7.1-3</w:t>
            </w:r>
            <w:r>
              <w:rPr>
                <w:lang w:val="en-US" w:eastAsia="zh-CN"/>
              </w:rPr>
              <w:t>。</w:t>
            </w:r>
          </w:p>
          <w:p w14:paraId="3C843A6A">
            <w:pPr>
              <w:pStyle w:val="10"/>
              <w:spacing w:before="120" w:line="240" w:lineRule="auto"/>
              <w:jc w:val="center"/>
            </w:pPr>
            <w:bookmarkStart w:id="50" w:name="_Ref1749940"/>
            <w:r>
              <w:t>表</w:t>
            </w:r>
            <w:bookmarkEnd w:id="50"/>
            <w:r>
              <w:rPr>
                <w:rFonts w:hint="eastAsia"/>
              </w:rPr>
              <w:t>7.1-3</w:t>
            </w:r>
            <w:r>
              <w:t>建设项目环境空气环境敏感特征表</w:t>
            </w:r>
          </w:p>
          <w:p w14:paraId="4CB6DCF8">
            <w:pPr>
              <w:ind w:firstLine="482"/>
              <w:jc w:val="center"/>
            </w:pPr>
            <w:r>
              <w:rPr>
                <w:rFonts w:hint="eastAsia"/>
                <w:b/>
              </w:rPr>
              <w:t>***（略，涉及商业秘密）</w:t>
            </w:r>
          </w:p>
          <w:p w14:paraId="4C80D6D1">
            <w:pPr>
              <w:ind w:firstLine="480"/>
            </w:pPr>
          </w:p>
          <w:p w14:paraId="7573F7FF">
            <w:pPr>
              <w:pStyle w:val="7"/>
              <w:tabs>
                <w:tab w:val="left" w:pos="5400"/>
              </w:tabs>
              <w:spacing w:before="120"/>
            </w:pPr>
            <w:r>
              <w:t>7.</w:t>
            </w:r>
            <w:r>
              <w:rPr>
                <w:rFonts w:hint="eastAsia"/>
              </w:rPr>
              <w:t>2</w:t>
            </w:r>
            <w:r>
              <w:t>环境风险潜势初判</w:t>
            </w:r>
          </w:p>
          <w:p w14:paraId="08A08E68">
            <w:pPr>
              <w:pStyle w:val="8"/>
              <w:tabs>
                <w:tab w:val="left" w:pos="5400"/>
              </w:tabs>
              <w:spacing w:before="120"/>
              <w:rPr>
                <w:lang w:val="en-US" w:eastAsia="zh-CN"/>
              </w:rPr>
            </w:pPr>
            <w:r>
              <w:rPr>
                <w:bCs/>
                <w:lang w:val="en-US" w:eastAsia="zh-CN"/>
              </w:rPr>
              <w:t>7.</w:t>
            </w:r>
            <w:r>
              <w:rPr>
                <w:rFonts w:hint="eastAsia"/>
                <w:bCs/>
                <w:lang w:val="en-US" w:eastAsia="zh-CN"/>
              </w:rPr>
              <w:t>2</w:t>
            </w:r>
            <w:r>
              <w:rPr>
                <w:bCs/>
                <w:lang w:val="en-US" w:eastAsia="zh-CN"/>
              </w:rPr>
              <w:t>.1</w:t>
            </w:r>
            <w:r>
              <w:rPr>
                <w:lang w:val="en-US" w:eastAsia="zh-CN"/>
              </w:rPr>
              <w:t>危险物质及工艺系统危险性（P）分级</w:t>
            </w:r>
          </w:p>
          <w:p w14:paraId="4C7C98C6">
            <w:pPr>
              <w:pStyle w:val="121"/>
              <w:numPr>
                <w:ilvl w:val="3"/>
                <w:numId w:val="0"/>
              </w:numPr>
              <w:adjustRightInd w:val="0"/>
              <w:snapToGrid w:val="0"/>
              <w:ind w:firstLine="480"/>
            </w:pPr>
            <w:r>
              <w:t>7.</w:t>
            </w:r>
            <w:r>
              <w:rPr>
                <w:rFonts w:hint="eastAsia"/>
              </w:rPr>
              <w:t>2</w:t>
            </w:r>
            <w:r>
              <w:t>.1.1危险物质数量与临界量比值（Q）</w:t>
            </w:r>
          </w:p>
          <w:p w14:paraId="5D5EB097">
            <w:pPr>
              <w:pStyle w:val="117"/>
              <w:adjustRightInd w:val="0"/>
              <w:snapToGrid w:val="0"/>
              <w:ind w:firstLine="480"/>
              <w:rPr>
                <w:lang w:val="en-US" w:eastAsia="zh-CN"/>
              </w:rPr>
            </w:pPr>
            <w:r>
              <w:rPr>
                <w:rFonts w:hint="eastAsia"/>
                <w:lang w:val="en-US" w:eastAsia="zh-CN"/>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0E2527FF">
            <w:pPr>
              <w:pStyle w:val="117"/>
              <w:adjustRightInd w:val="0"/>
              <w:snapToGrid w:val="0"/>
              <w:ind w:firstLine="480"/>
              <w:rPr>
                <w:lang w:val="en-US" w:eastAsia="zh-CN"/>
              </w:rPr>
            </w:pPr>
            <w:r>
              <w:rPr>
                <w:rFonts w:hint="eastAsia"/>
                <w:lang w:val="en-US" w:eastAsia="zh-CN"/>
              </w:rPr>
              <w:t>当只涉及一种危险物质时，计算该物质的总量与其临界量比值，即为Q；</w:t>
            </w:r>
          </w:p>
          <w:p w14:paraId="4C450232">
            <w:pPr>
              <w:pStyle w:val="117"/>
              <w:adjustRightInd w:val="0"/>
              <w:snapToGrid w:val="0"/>
              <w:ind w:firstLine="480"/>
              <w:rPr>
                <w:lang w:val="en-US" w:eastAsia="zh-CN"/>
              </w:rPr>
            </w:pPr>
            <w:r>
              <w:rPr>
                <w:rFonts w:hint="eastAsia"/>
                <w:lang w:val="en-US" w:eastAsia="zh-CN"/>
              </w:rPr>
              <w:t>当存在多种危险物质时，则按式（C.1）计算物质总量与其临界量比值</w:t>
            </w:r>
            <w:r>
              <w:rPr>
                <w:lang w:val="en-US" w:eastAsia="zh-CN"/>
              </w:rPr>
              <w:t>（Q）</w:t>
            </w:r>
            <w:r>
              <w:rPr>
                <w:rFonts w:hint="eastAsia"/>
                <w:lang w:val="en-US" w:eastAsia="zh-CN"/>
              </w:rPr>
              <w:t>；</w:t>
            </w:r>
          </w:p>
          <w:p w14:paraId="628CDDB3">
            <w:pPr>
              <w:pStyle w:val="117"/>
              <w:adjustRightInd w:val="0"/>
              <w:snapToGrid w:val="0"/>
              <w:ind w:firstLine="480"/>
              <w:rPr>
                <w:lang w:val="en-US" w:eastAsia="zh-CN"/>
              </w:rPr>
            </w:pPr>
            <w:r>
              <w:rPr>
                <w:lang w:val="en-US" w:eastAsia="zh-CN"/>
              </w:rPr>
              <w:t>当存在多种危险物质时，按下式计算物质总量与其临界量比值（Q）：</w:t>
            </w:r>
          </w:p>
          <w:p w14:paraId="49FBC093">
            <w:pPr>
              <w:pStyle w:val="117"/>
              <w:adjustRightInd w:val="0"/>
              <w:snapToGrid w:val="0"/>
              <w:ind w:firstLine="480"/>
              <w:jc w:val="center"/>
              <w:rPr>
                <w:lang w:val="en-US" w:eastAsia="zh-CN"/>
              </w:rPr>
            </w:pPr>
            <w:r>
              <w:rPr>
                <w:lang w:val="en-US" w:eastAsia="zh-CN"/>
              </w:rPr>
              <w:t>Q=</w:t>
            </w:r>
            <w:r>
              <w:rPr>
                <w:position w:val="-30"/>
                <w:lang w:val="en-US" w:eastAsia="zh-CN"/>
              </w:rPr>
              <w:object>
                <v:shape id="_x0000_i1033" o:spt="75" type="#_x0000_t75" style="height:31.35pt;width:112.65pt;" o:ole="t" filled="f" o:preferrelative="t" stroked="f" coordsize="21600,21600">
                  <v:path/>
                  <v:fill on="f" focussize="0,0"/>
                  <v:stroke on="f" joinstyle="miter"/>
                  <v:imagedata r:id="rId79" o:title=""/>
                  <o:lock v:ext="edit" aspectratio="t"/>
                  <w10:wrap type="none"/>
                  <w10:anchorlock/>
                </v:shape>
                <o:OLEObject Type="Embed" ProgID="Equation.3" ShapeID="_x0000_i1033" DrawAspect="Content" ObjectID="_1468075732" r:id="rId78">
                  <o:LockedField>false</o:LockedField>
                </o:OLEObject>
              </w:object>
            </w:r>
          </w:p>
          <w:p w14:paraId="36B78D41">
            <w:pPr>
              <w:pStyle w:val="117"/>
              <w:adjustRightInd w:val="0"/>
              <w:snapToGrid w:val="0"/>
              <w:ind w:firstLine="480"/>
              <w:rPr>
                <w:lang w:val="en-US" w:eastAsia="zh-CN"/>
              </w:rPr>
            </w:pPr>
            <w:r>
              <w:rPr>
                <w:lang w:val="en-US" w:eastAsia="zh-CN"/>
              </w:rPr>
              <w:t>式中：</w:t>
            </w:r>
          </w:p>
          <w:p w14:paraId="2BFE67C0">
            <w:pPr>
              <w:pStyle w:val="117"/>
              <w:adjustRightInd w:val="0"/>
              <w:snapToGrid w:val="0"/>
              <w:ind w:firstLine="480"/>
              <w:rPr>
                <w:lang w:val="en-US" w:eastAsia="zh-CN"/>
              </w:rPr>
            </w:pPr>
            <w:r>
              <w:rPr>
                <w:lang w:val="en-US" w:eastAsia="zh-CN"/>
              </w:rPr>
              <w:t>q</w:t>
            </w:r>
            <w:r>
              <w:rPr>
                <w:vertAlign w:val="subscript"/>
                <w:lang w:val="en-US" w:eastAsia="zh-CN"/>
              </w:rPr>
              <w:t>1</w:t>
            </w:r>
            <w:r>
              <w:rPr>
                <w:lang w:val="en-US" w:eastAsia="zh-CN"/>
              </w:rPr>
              <w:t>，q</w:t>
            </w:r>
            <w:r>
              <w:rPr>
                <w:vertAlign w:val="subscript"/>
                <w:lang w:val="en-US" w:eastAsia="zh-CN"/>
              </w:rPr>
              <w:t>2</w:t>
            </w:r>
            <w:r>
              <w:rPr>
                <w:lang w:val="en-US" w:eastAsia="zh-CN"/>
              </w:rPr>
              <w:t>，…，q</w:t>
            </w:r>
            <w:r>
              <w:rPr>
                <w:vertAlign w:val="subscript"/>
                <w:lang w:val="en-US" w:eastAsia="zh-CN"/>
              </w:rPr>
              <w:t>n</w:t>
            </w:r>
            <w:r>
              <w:rPr>
                <w:lang w:val="en-US" w:eastAsia="zh-CN"/>
              </w:rPr>
              <w:t>——每种危险物质的最大存在总量，t；</w:t>
            </w:r>
          </w:p>
          <w:p w14:paraId="46508B10">
            <w:pPr>
              <w:pStyle w:val="117"/>
              <w:adjustRightInd w:val="0"/>
              <w:snapToGrid w:val="0"/>
              <w:ind w:firstLine="480"/>
              <w:rPr>
                <w:lang w:val="en-US" w:eastAsia="zh-CN"/>
              </w:rPr>
            </w:pPr>
            <w:r>
              <w:rPr>
                <w:lang w:val="en-US" w:eastAsia="zh-CN"/>
              </w:rPr>
              <w:t>Q</w:t>
            </w:r>
            <w:r>
              <w:rPr>
                <w:vertAlign w:val="subscript"/>
                <w:lang w:val="en-US" w:eastAsia="zh-CN"/>
              </w:rPr>
              <w:t>1</w:t>
            </w:r>
            <w:r>
              <w:rPr>
                <w:lang w:val="en-US" w:eastAsia="zh-CN"/>
              </w:rPr>
              <w:t>，Q</w:t>
            </w:r>
            <w:r>
              <w:rPr>
                <w:vertAlign w:val="subscript"/>
                <w:lang w:val="en-US" w:eastAsia="zh-CN"/>
              </w:rPr>
              <w:t>2</w:t>
            </w:r>
            <w:r>
              <w:rPr>
                <w:lang w:val="en-US" w:eastAsia="zh-CN"/>
              </w:rPr>
              <w:t>，…，Q</w:t>
            </w:r>
            <w:r>
              <w:rPr>
                <w:vertAlign w:val="subscript"/>
                <w:lang w:val="en-US" w:eastAsia="zh-CN"/>
              </w:rPr>
              <w:t>N</w:t>
            </w:r>
            <w:r>
              <w:rPr>
                <w:lang w:val="en-US" w:eastAsia="zh-CN"/>
              </w:rPr>
              <w:t>——每种危险物质的临界量，单位为t。</w:t>
            </w:r>
          </w:p>
          <w:p w14:paraId="53F72812">
            <w:pPr>
              <w:pStyle w:val="117"/>
              <w:adjustRightInd w:val="0"/>
              <w:snapToGrid w:val="0"/>
              <w:ind w:firstLine="480"/>
              <w:rPr>
                <w:lang w:val="en-US" w:eastAsia="zh-CN"/>
              </w:rPr>
            </w:pPr>
            <w:r>
              <w:rPr>
                <w:lang w:val="en-US" w:eastAsia="zh-CN"/>
              </w:rPr>
              <w:t>当Q＜1时，该项目环境风险潜势为I。</w:t>
            </w:r>
          </w:p>
          <w:p w14:paraId="610CE0F0">
            <w:pPr>
              <w:pStyle w:val="117"/>
              <w:adjustRightInd w:val="0"/>
              <w:snapToGrid w:val="0"/>
              <w:ind w:firstLine="480"/>
              <w:rPr>
                <w:lang w:val="en-US" w:eastAsia="zh-CN"/>
              </w:rPr>
            </w:pPr>
            <w:r>
              <w:rPr>
                <w:lang w:val="en-US" w:eastAsia="zh-CN"/>
              </w:rPr>
              <w:t>当Q≥1时，将Q值划分为：（1）1≤Q＜10；（2）10≤Q＜100；（3）Q≥100。</w:t>
            </w:r>
          </w:p>
          <w:p w14:paraId="632CA201">
            <w:pPr>
              <w:pStyle w:val="117"/>
              <w:adjustRightInd w:val="0"/>
              <w:snapToGrid w:val="0"/>
              <w:ind w:firstLine="480"/>
              <w:rPr>
                <w:lang w:val="en-US" w:eastAsia="zh-CN"/>
              </w:rPr>
            </w:pPr>
            <w:r>
              <w:rPr>
                <w:lang w:val="en-US" w:eastAsia="zh-CN"/>
              </w:rPr>
              <w:t>根据风险调查、对照《建设项目环境风险评价技术导则》（HJ169-2018）的附录B和《企业突发环境事件风险分级方法》（HJ941-2018）</w:t>
            </w:r>
            <w:r>
              <w:rPr>
                <w:rFonts w:hint="eastAsia"/>
                <w:lang w:val="en-US" w:eastAsia="zh-CN"/>
              </w:rPr>
              <w:t>附录A</w:t>
            </w:r>
            <w:r>
              <w:rPr>
                <w:lang w:val="en-US" w:eastAsia="zh-CN"/>
              </w:rPr>
              <w:t>可知，扩建项目</w:t>
            </w:r>
            <w:r>
              <w:rPr>
                <w:rFonts w:hint="eastAsia"/>
                <w:lang w:val="en-US" w:eastAsia="zh-CN"/>
              </w:rPr>
              <w:t>所储运货种</w:t>
            </w:r>
            <w:r>
              <w:rPr>
                <w:rFonts w:hint="eastAsia"/>
                <w:szCs w:val="22"/>
              </w:rPr>
              <w:t>MA、BDO</w:t>
            </w:r>
            <w:r>
              <w:rPr>
                <w:rFonts w:hint="eastAsia"/>
                <w:szCs w:val="22"/>
                <w:lang w:eastAsia="zh-CN"/>
              </w:rPr>
              <w:t>、</w:t>
            </w:r>
            <w:r>
              <w:rPr>
                <w:rFonts w:hint="eastAsia"/>
                <w:szCs w:val="22"/>
              </w:rPr>
              <w:t>THF</w:t>
            </w:r>
            <w:r>
              <w:rPr>
                <w:rFonts w:hint="eastAsia"/>
                <w:szCs w:val="22"/>
                <w:lang w:eastAsia="zh-CN"/>
              </w:rPr>
              <w:t>均未列入当中</w:t>
            </w:r>
            <w:r>
              <w:rPr>
                <w:lang w:val="en-US" w:eastAsia="zh-CN"/>
              </w:rPr>
              <w:t>。</w:t>
            </w:r>
          </w:p>
          <w:p w14:paraId="34F06D0F">
            <w:pPr>
              <w:pStyle w:val="215"/>
              <w:adjustRightInd w:val="0"/>
              <w:snapToGrid w:val="0"/>
              <w:ind w:firstLine="480"/>
              <w:rPr>
                <w:lang w:val="en-US" w:eastAsia="zh-CN"/>
              </w:rPr>
            </w:pPr>
            <w:r>
              <w:rPr>
                <w:lang w:val="en-US" w:eastAsia="zh-CN"/>
              </w:rPr>
              <w:t>项目运营过程中涉及的有毒有害、易燃易爆物质</w:t>
            </w:r>
            <w:r>
              <w:rPr>
                <w:rFonts w:hint="eastAsia"/>
                <w:lang w:val="en-US" w:eastAsia="zh-CN"/>
              </w:rPr>
              <w:t>为废机油</w:t>
            </w:r>
            <w:r>
              <w:rPr>
                <w:lang w:val="en-US" w:eastAsia="zh-CN"/>
              </w:rPr>
              <w:t>。根据附录B中危险物质的临界量，可计算的得出扩建项目危险物质数量与临界量的比值（Q），</w:t>
            </w:r>
            <w:r>
              <w:rPr>
                <w:rFonts w:hint="eastAsia"/>
                <w:lang w:val="en-US" w:eastAsia="zh-CN"/>
              </w:rPr>
              <w:t>扩建</w:t>
            </w:r>
            <w:r>
              <w:rPr>
                <w:lang w:val="en-US" w:eastAsia="zh-CN"/>
              </w:rPr>
              <w:t>项目Q值为0.0012，</w:t>
            </w:r>
            <w:r>
              <w:rPr>
                <w:rFonts w:hint="eastAsia"/>
                <w:lang w:val="en-US" w:eastAsia="zh-CN"/>
              </w:rPr>
              <w:t>则</w:t>
            </w:r>
            <w:r>
              <w:rPr>
                <w:lang w:val="en-US" w:eastAsia="zh-CN"/>
              </w:rPr>
              <w:t>Q＜1，环境风险潜势为I。具体计算详见下表。</w:t>
            </w:r>
          </w:p>
          <w:p w14:paraId="704AF9BE">
            <w:pPr>
              <w:pStyle w:val="217"/>
              <w:ind w:firstLine="480"/>
              <w:rPr>
                <w:lang w:val="en-US" w:eastAsia="zh-CN"/>
              </w:rPr>
            </w:pPr>
            <w:r>
              <w:rPr>
                <w:lang w:val="en-US" w:eastAsia="zh-CN"/>
              </w:rPr>
              <w:t>表7.2-1 建设项目Q值确定表</w:t>
            </w:r>
          </w:p>
          <w:p w14:paraId="2C57941C">
            <w:pPr>
              <w:ind w:firstLine="482"/>
              <w:jc w:val="center"/>
            </w:pPr>
            <w:r>
              <w:rPr>
                <w:rFonts w:hint="eastAsia"/>
                <w:b/>
              </w:rPr>
              <w:t>***（略，涉及商业秘密）</w:t>
            </w:r>
          </w:p>
          <w:p w14:paraId="35FF68AA">
            <w:pPr>
              <w:pStyle w:val="217"/>
              <w:ind w:firstLine="480"/>
              <w:rPr>
                <w:lang w:val="en-US" w:eastAsia="zh-CN"/>
              </w:rPr>
            </w:pPr>
          </w:p>
          <w:p w14:paraId="47D5CF0F">
            <w:pPr>
              <w:adjustRightInd w:val="0"/>
              <w:snapToGrid w:val="0"/>
              <w:ind w:firstLine="480"/>
              <w:rPr>
                <w:lang w:val="zh-CN"/>
              </w:rPr>
            </w:pPr>
            <w:r>
              <w:rPr>
                <w:lang w:val="zh-CN"/>
              </w:rPr>
              <w:t>由上表分析可知，</w:t>
            </w:r>
            <w:r>
              <w:rPr>
                <w:rFonts w:hint="eastAsia"/>
                <w:lang w:val="zh-CN"/>
              </w:rPr>
              <w:t>扩建</w:t>
            </w:r>
            <w:r>
              <w:rPr>
                <w:lang w:val="zh-CN"/>
              </w:rPr>
              <w:t>项目Q=</w:t>
            </w:r>
            <w:r>
              <w:t xml:space="preserve"> </w:t>
            </w:r>
            <w:r>
              <w:rPr>
                <w:lang w:val="zh-CN"/>
              </w:rPr>
              <w:t>0.0012，Q</w:t>
            </w:r>
            <w:r>
              <w:t>＜1</w:t>
            </w:r>
            <w:r>
              <w:rPr>
                <w:lang w:val="zh-CN"/>
              </w:rPr>
              <w:t>。</w:t>
            </w:r>
          </w:p>
          <w:p w14:paraId="67EBA0DA">
            <w:pPr>
              <w:pStyle w:val="8"/>
              <w:spacing w:before="120"/>
              <w:jc w:val="left"/>
              <w:rPr>
                <w:b w:val="0"/>
                <w:lang w:val="zh-CN" w:eastAsia="zh-CN"/>
              </w:rPr>
            </w:pPr>
            <w:r>
              <w:rPr>
                <w:lang w:val="en-US" w:eastAsia="zh-CN"/>
              </w:rPr>
              <w:t>7.</w:t>
            </w:r>
            <w:r>
              <w:rPr>
                <w:rFonts w:hint="eastAsia"/>
                <w:lang w:val="en-US" w:eastAsia="zh-CN"/>
              </w:rPr>
              <w:t>2</w:t>
            </w:r>
            <w:r>
              <w:rPr>
                <w:lang w:val="en-US" w:eastAsia="zh-CN"/>
              </w:rPr>
              <w:t>.3</w:t>
            </w:r>
            <w:r>
              <w:rPr>
                <w:sz w:val="24"/>
                <w:szCs w:val="24"/>
                <w:lang w:val="zh-CN" w:eastAsia="zh-CN"/>
              </w:rPr>
              <w:t>环境风险潜势</w:t>
            </w:r>
          </w:p>
          <w:p w14:paraId="25E2DAE0">
            <w:pPr>
              <w:pStyle w:val="117"/>
              <w:adjustRightInd w:val="0"/>
              <w:snapToGrid w:val="0"/>
              <w:ind w:firstLine="480"/>
              <w:rPr>
                <w:lang w:val="en-US" w:eastAsia="zh-CN"/>
              </w:rPr>
            </w:pPr>
            <w:r>
              <w:rPr>
                <w:rFonts w:hint="eastAsia"/>
                <w:lang w:val="en-US" w:eastAsia="zh-CN"/>
              </w:rPr>
              <w:t>扩建项目</w:t>
            </w:r>
            <w:r>
              <w:rPr>
                <w:lang w:val="en-US" w:eastAsia="zh-CN"/>
              </w:rPr>
              <w:t>物质总量与其临界量比值（Q）＜1，</w:t>
            </w:r>
            <w:r>
              <w:rPr>
                <w:rFonts w:hint="eastAsia"/>
                <w:lang w:val="en-US" w:eastAsia="zh-CN"/>
              </w:rPr>
              <w:t>则扩建项目</w:t>
            </w:r>
            <w:r>
              <w:rPr>
                <w:lang w:val="en-US" w:eastAsia="zh-CN"/>
              </w:rPr>
              <w:t>环境风险潜势为I。</w:t>
            </w:r>
          </w:p>
          <w:p w14:paraId="39F68D4E">
            <w:pPr>
              <w:pStyle w:val="8"/>
              <w:spacing w:before="120"/>
              <w:jc w:val="left"/>
              <w:rPr>
                <w:b w:val="0"/>
                <w:lang w:val="zh-CN" w:eastAsia="zh-CN"/>
              </w:rPr>
            </w:pPr>
            <w:r>
              <w:rPr>
                <w:lang w:val="en-US" w:eastAsia="zh-CN"/>
              </w:rPr>
              <w:t>7.</w:t>
            </w:r>
            <w:r>
              <w:rPr>
                <w:rFonts w:hint="eastAsia"/>
                <w:lang w:val="en-US" w:eastAsia="zh-CN"/>
              </w:rPr>
              <w:t>2</w:t>
            </w:r>
            <w:r>
              <w:rPr>
                <w:lang w:val="en-US" w:eastAsia="zh-CN"/>
              </w:rPr>
              <w:t>.</w:t>
            </w:r>
            <w:r>
              <w:rPr>
                <w:rFonts w:hint="eastAsia"/>
                <w:lang w:val="en-US" w:eastAsia="zh-CN"/>
              </w:rPr>
              <w:t>4</w:t>
            </w:r>
            <w:r>
              <w:rPr>
                <w:lang w:val="en-US" w:eastAsia="zh-CN"/>
              </w:rPr>
              <w:t>环境</w:t>
            </w:r>
            <w:r>
              <w:rPr>
                <w:rFonts w:hint="eastAsia"/>
                <w:lang w:val="en-US" w:eastAsia="zh-CN"/>
              </w:rPr>
              <w:t>风险</w:t>
            </w:r>
            <w:r>
              <w:rPr>
                <w:lang w:val="en-US" w:eastAsia="zh-CN"/>
              </w:rPr>
              <w:t>评价</w:t>
            </w:r>
            <w:r>
              <w:rPr>
                <w:sz w:val="24"/>
                <w:szCs w:val="24"/>
                <w:lang w:val="zh-CN" w:eastAsia="zh-CN"/>
              </w:rPr>
              <w:t>等级</w:t>
            </w:r>
          </w:p>
          <w:p w14:paraId="33068F3B">
            <w:pPr>
              <w:pStyle w:val="10"/>
              <w:adjustRightInd w:val="0"/>
              <w:snapToGrid w:val="0"/>
              <w:spacing w:beforeLines="0" w:line="240" w:lineRule="auto"/>
              <w:jc w:val="center"/>
              <w:rPr>
                <w:lang w:val="zh-CN"/>
              </w:rPr>
            </w:pPr>
            <w:r>
              <w:rPr>
                <w:rFonts w:hint="eastAsia"/>
                <w:lang w:val="zh-CN"/>
              </w:rPr>
              <w:t>表7.2-1</w:t>
            </w:r>
            <w:r>
              <w:rPr>
                <w:lang w:val="zh-CN"/>
              </w:rPr>
              <w:t>环境风险评价工作等级划分</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20"/>
              <w:gridCol w:w="1812"/>
              <w:gridCol w:w="1814"/>
              <w:gridCol w:w="1811"/>
            </w:tblGrid>
            <w:tr w14:paraId="6F9AE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0" w:type="pct"/>
                  <w:vAlign w:val="center"/>
                </w:tcPr>
                <w:p w14:paraId="36EBE58E">
                  <w:pPr>
                    <w:adjustRightInd w:val="0"/>
                    <w:snapToGrid w:val="0"/>
                    <w:spacing w:line="240" w:lineRule="auto"/>
                    <w:ind w:firstLine="0" w:firstLineChars="0"/>
                    <w:jc w:val="center"/>
                    <w:rPr>
                      <w:b/>
                      <w:bCs/>
                      <w:sz w:val="21"/>
                      <w:szCs w:val="21"/>
                    </w:rPr>
                  </w:pPr>
                  <w:r>
                    <w:rPr>
                      <w:b/>
                      <w:bCs/>
                      <w:sz w:val="21"/>
                      <w:szCs w:val="21"/>
                    </w:rPr>
                    <w:t>环境风险潜势</w:t>
                  </w:r>
                </w:p>
              </w:tc>
              <w:tc>
                <w:tcPr>
                  <w:tcW w:w="1003" w:type="pct"/>
                  <w:tcBorders>
                    <w:bottom w:val="single" w:color="auto" w:sz="4" w:space="0"/>
                  </w:tcBorders>
                  <w:vAlign w:val="center"/>
                </w:tcPr>
                <w:p w14:paraId="72961163">
                  <w:pPr>
                    <w:adjustRightInd w:val="0"/>
                    <w:snapToGrid w:val="0"/>
                    <w:spacing w:line="240" w:lineRule="auto"/>
                    <w:ind w:firstLine="0" w:firstLineChars="0"/>
                    <w:jc w:val="center"/>
                    <w:rPr>
                      <w:b/>
                      <w:bCs/>
                      <w:sz w:val="21"/>
                      <w:szCs w:val="21"/>
                    </w:rPr>
                  </w:pPr>
                  <w:r>
                    <w:rPr>
                      <w:rFonts w:hint="eastAsia" w:ascii="宋体" w:hAnsi="宋体" w:cs="宋体"/>
                      <w:b/>
                      <w:bCs/>
                      <w:sz w:val="21"/>
                      <w:szCs w:val="21"/>
                    </w:rPr>
                    <w:t>Ⅳ</w:t>
                  </w:r>
                  <w:r>
                    <w:rPr>
                      <w:b/>
                      <w:bCs/>
                      <w:sz w:val="21"/>
                      <w:szCs w:val="21"/>
                    </w:rPr>
                    <w:t>、</w:t>
                  </w:r>
                  <w:r>
                    <w:rPr>
                      <w:rFonts w:hint="eastAsia" w:ascii="宋体" w:hAnsi="宋体" w:cs="宋体"/>
                      <w:b/>
                      <w:bCs/>
                      <w:sz w:val="21"/>
                      <w:szCs w:val="21"/>
                    </w:rPr>
                    <w:t>Ⅳ</w:t>
                  </w:r>
                  <w:r>
                    <w:rPr>
                      <w:b/>
                      <w:bCs/>
                      <w:sz w:val="21"/>
                      <w:szCs w:val="21"/>
                    </w:rPr>
                    <w:t>+</w:t>
                  </w:r>
                </w:p>
              </w:tc>
              <w:tc>
                <w:tcPr>
                  <w:tcW w:w="999" w:type="pct"/>
                  <w:tcBorders>
                    <w:top w:val="single" w:color="auto" w:sz="12" w:space="0"/>
                    <w:bottom w:val="single" w:color="auto" w:sz="4" w:space="0"/>
                  </w:tcBorders>
                  <w:vAlign w:val="center"/>
                </w:tcPr>
                <w:p w14:paraId="6AB7BD05">
                  <w:pPr>
                    <w:adjustRightInd w:val="0"/>
                    <w:snapToGrid w:val="0"/>
                    <w:spacing w:line="240" w:lineRule="auto"/>
                    <w:ind w:firstLine="0" w:firstLineChars="0"/>
                    <w:jc w:val="center"/>
                    <w:rPr>
                      <w:b/>
                      <w:bCs/>
                      <w:sz w:val="21"/>
                      <w:szCs w:val="21"/>
                    </w:rPr>
                  </w:pPr>
                  <w:r>
                    <w:rPr>
                      <w:rFonts w:hint="eastAsia" w:ascii="宋体" w:hAnsi="宋体" w:cs="宋体"/>
                      <w:b/>
                      <w:bCs/>
                      <w:sz w:val="21"/>
                      <w:szCs w:val="21"/>
                    </w:rPr>
                    <w:t>Ⅲ</w:t>
                  </w:r>
                </w:p>
              </w:tc>
              <w:tc>
                <w:tcPr>
                  <w:tcW w:w="1000" w:type="pct"/>
                  <w:vAlign w:val="center"/>
                </w:tcPr>
                <w:p w14:paraId="0004B30A">
                  <w:pPr>
                    <w:adjustRightInd w:val="0"/>
                    <w:snapToGrid w:val="0"/>
                    <w:spacing w:line="240" w:lineRule="auto"/>
                    <w:ind w:firstLine="0" w:firstLineChars="0"/>
                    <w:jc w:val="center"/>
                    <w:rPr>
                      <w:b/>
                      <w:bCs/>
                      <w:sz w:val="21"/>
                      <w:szCs w:val="21"/>
                    </w:rPr>
                  </w:pPr>
                  <w:r>
                    <w:rPr>
                      <w:rFonts w:hint="eastAsia" w:ascii="宋体" w:hAnsi="宋体" w:cs="宋体"/>
                      <w:b/>
                      <w:bCs/>
                      <w:sz w:val="21"/>
                      <w:szCs w:val="21"/>
                    </w:rPr>
                    <w:t>Ⅱ</w:t>
                  </w:r>
                </w:p>
              </w:tc>
              <w:tc>
                <w:tcPr>
                  <w:tcW w:w="998" w:type="pct"/>
                  <w:tcBorders>
                    <w:bottom w:val="single" w:color="auto" w:sz="4" w:space="0"/>
                  </w:tcBorders>
                  <w:vAlign w:val="center"/>
                </w:tcPr>
                <w:p w14:paraId="36F58CF3">
                  <w:pPr>
                    <w:adjustRightInd w:val="0"/>
                    <w:snapToGrid w:val="0"/>
                    <w:spacing w:line="240" w:lineRule="auto"/>
                    <w:ind w:firstLine="0" w:firstLineChars="0"/>
                    <w:jc w:val="center"/>
                    <w:rPr>
                      <w:b/>
                      <w:bCs/>
                      <w:sz w:val="21"/>
                      <w:szCs w:val="21"/>
                    </w:rPr>
                  </w:pPr>
                  <w:r>
                    <w:rPr>
                      <w:rFonts w:hint="eastAsia" w:ascii="宋体" w:hAnsi="宋体" w:cs="宋体"/>
                      <w:b/>
                      <w:bCs/>
                      <w:sz w:val="21"/>
                      <w:szCs w:val="21"/>
                    </w:rPr>
                    <w:t>Ⅰ</w:t>
                  </w:r>
                </w:p>
              </w:tc>
            </w:tr>
            <w:tr w14:paraId="6A659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0" w:type="pct"/>
                  <w:shd w:val="clear" w:color="auto" w:fill="auto"/>
                  <w:vAlign w:val="center"/>
                </w:tcPr>
                <w:p w14:paraId="0A8AE7B6">
                  <w:pPr>
                    <w:adjustRightInd w:val="0"/>
                    <w:snapToGrid w:val="0"/>
                    <w:spacing w:line="240" w:lineRule="auto"/>
                    <w:ind w:firstLine="0" w:firstLineChars="0"/>
                    <w:jc w:val="center"/>
                    <w:rPr>
                      <w:sz w:val="21"/>
                      <w:szCs w:val="21"/>
                    </w:rPr>
                  </w:pPr>
                  <w:r>
                    <w:rPr>
                      <w:sz w:val="21"/>
                      <w:szCs w:val="21"/>
                    </w:rPr>
                    <w:t>评价工作等级</w:t>
                  </w:r>
                </w:p>
              </w:tc>
              <w:tc>
                <w:tcPr>
                  <w:tcW w:w="1003" w:type="pct"/>
                  <w:tcBorders>
                    <w:top w:val="single" w:color="auto" w:sz="4" w:space="0"/>
                    <w:bottom w:val="single" w:color="auto" w:sz="4" w:space="0"/>
                  </w:tcBorders>
                  <w:shd w:val="clear" w:color="auto" w:fill="auto"/>
                  <w:vAlign w:val="center"/>
                </w:tcPr>
                <w:p w14:paraId="7F3EDE03">
                  <w:pPr>
                    <w:adjustRightInd w:val="0"/>
                    <w:snapToGrid w:val="0"/>
                    <w:spacing w:line="240" w:lineRule="auto"/>
                    <w:ind w:firstLine="0" w:firstLineChars="0"/>
                    <w:jc w:val="center"/>
                    <w:rPr>
                      <w:sz w:val="21"/>
                      <w:szCs w:val="21"/>
                    </w:rPr>
                  </w:pPr>
                  <w:r>
                    <w:rPr>
                      <w:sz w:val="21"/>
                      <w:szCs w:val="21"/>
                    </w:rPr>
                    <w:t>一</w:t>
                  </w:r>
                </w:p>
              </w:tc>
              <w:tc>
                <w:tcPr>
                  <w:tcW w:w="999" w:type="pct"/>
                  <w:tcBorders>
                    <w:top w:val="single" w:color="auto" w:sz="4" w:space="0"/>
                    <w:bottom w:val="single" w:color="auto" w:sz="4" w:space="0"/>
                  </w:tcBorders>
                  <w:vAlign w:val="center"/>
                </w:tcPr>
                <w:p w14:paraId="5F791381">
                  <w:pPr>
                    <w:adjustRightInd w:val="0"/>
                    <w:snapToGrid w:val="0"/>
                    <w:spacing w:line="240" w:lineRule="auto"/>
                    <w:ind w:firstLine="0" w:firstLineChars="0"/>
                    <w:jc w:val="center"/>
                    <w:rPr>
                      <w:sz w:val="21"/>
                      <w:szCs w:val="21"/>
                    </w:rPr>
                  </w:pPr>
                  <w:r>
                    <w:rPr>
                      <w:sz w:val="21"/>
                      <w:szCs w:val="21"/>
                    </w:rPr>
                    <w:t>二</w:t>
                  </w:r>
                </w:p>
              </w:tc>
              <w:tc>
                <w:tcPr>
                  <w:tcW w:w="1000" w:type="pct"/>
                  <w:vAlign w:val="center"/>
                </w:tcPr>
                <w:p w14:paraId="5C0143F1">
                  <w:pPr>
                    <w:adjustRightInd w:val="0"/>
                    <w:snapToGrid w:val="0"/>
                    <w:spacing w:line="240" w:lineRule="auto"/>
                    <w:ind w:firstLine="0" w:firstLineChars="0"/>
                    <w:jc w:val="center"/>
                    <w:rPr>
                      <w:sz w:val="21"/>
                      <w:szCs w:val="21"/>
                    </w:rPr>
                  </w:pPr>
                  <w:r>
                    <w:rPr>
                      <w:sz w:val="21"/>
                      <w:szCs w:val="21"/>
                    </w:rPr>
                    <w:t>三</w:t>
                  </w:r>
                </w:p>
              </w:tc>
              <w:tc>
                <w:tcPr>
                  <w:tcW w:w="998" w:type="pct"/>
                  <w:tcBorders>
                    <w:top w:val="single" w:color="auto" w:sz="4" w:space="0"/>
                    <w:bottom w:val="single" w:color="auto" w:sz="4" w:space="0"/>
                  </w:tcBorders>
                  <w:shd w:val="clear" w:color="auto" w:fill="A5A5A5" w:themeFill="background1" w:themeFillShade="A6"/>
                  <w:vAlign w:val="center"/>
                </w:tcPr>
                <w:p w14:paraId="3D8BEAA6">
                  <w:pPr>
                    <w:adjustRightInd w:val="0"/>
                    <w:snapToGrid w:val="0"/>
                    <w:spacing w:line="240" w:lineRule="auto"/>
                    <w:ind w:firstLine="0" w:firstLineChars="0"/>
                    <w:jc w:val="center"/>
                    <w:rPr>
                      <w:sz w:val="21"/>
                      <w:szCs w:val="21"/>
                    </w:rPr>
                  </w:pPr>
                  <w:r>
                    <w:rPr>
                      <w:sz w:val="21"/>
                      <w:szCs w:val="21"/>
                    </w:rPr>
                    <w:t>简单分析a</w:t>
                  </w:r>
                </w:p>
              </w:tc>
            </w:tr>
            <w:tr w14:paraId="459A0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5"/>
                  <w:vAlign w:val="center"/>
                </w:tcPr>
                <w:p w14:paraId="405B58D5">
                  <w:pPr>
                    <w:adjustRightInd w:val="0"/>
                    <w:snapToGrid w:val="0"/>
                    <w:spacing w:line="240" w:lineRule="auto"/>
                    <w:ind w:firstLine="420"/>
                    <w:rPr>
                      <w:sz w:val="21"/>
                      <w:szCs w:val="21"/>
                    </w:rPr>
                  </w:pPr>
                  <w:r>
                    <w:rPr>
                      <w:sz w:val="21"/>
                      <w:szCs w:val="21"/>
                    </w:rPr>
                    <w:t>a.是相对于详细评价工作内容而言，在描述危险物质、环境影响途径、环境危害后果、风险防范措施等方面给出定性的说明。</w:t>
                  </w:r>
                </w:p>
              </w:tc>
            </w:tr>
          </w:tbl>
          <w:p w14:paraId="4AD81B64">
            <w:pPr>
              <w:pStyle w:val="7"/>
              <w:tabs>
                <w:tab w:val="left" w:pos="5400"/>
              </w:tabs>
              <w:spacing w:before="120"/>
            </w:pPr>
          </w:p>
        </w:tc>
      </w:tr>
    </w:tbl>
    <w:p w14:paraId="1BFAE33D">
      <w:pPr>
        <w:ind w:firstLine="0" w:firstLineChars="0"/>
        <w:jc w:val="center"/>
        <w:outlineLvl w:val="0"/>
        <w:sectPr>
          <w:headerReference r:id="rId44" w:type="default"/>
          <w:footerReference r:id="rId45" w:type="default"/>
          <w:pgSz w:w="11905" w:h="16838"/>
          <w:pgMar w:top="1417" w:right="1417" w:bottom="1417" w:left="1417" w:header="851" w:footer="850" w:gutter="0"/>
          <w:cols w:space="720" w:num="1"/>
          <w:docGrid w:linePitch="326"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28" w:type="dxa"/>
          <w:bottom w:w="0" w:type="dxa"/>
          <w:right w:w="28" w:type="dxa"/>
        </w:tblCellMar>
      </w:tblPr>
      <w:tblGrid>
        <w:gridCol w:w="14060"/>
      </w:tblGrid>
      <w:tr w14:paraId="0790CC54">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PrEx>
        <w:trPr>
          <w:trHeight w:val="11991" w:hRule="atLeast"/>
        </w:trPr>
        <w:tc>
          <w:tcPr>
            <w:tcW w:w="5000" w:type="pct"/>
          </w:tcPr>
          <w:p w14:paraId="5DE02389">
            <w:pPr>
              <w:pStyle w:val="7"/>
              <w:tabs>
                <w:tab w:val="left" w:pos="5400"/>
              </w:tabs>
              <w:spacing w:before="120"/>
            </w:pPr>
            <w:r>
              <w:t>7.</w:t>
            </w:r>
            <w:r>
              <w:rPr>
                <w:rFonts w:hint="eastAsia"/>
              </w:rPr>
              <w:t>3</w:t>
            </w:r>
            <w:r>
              <w:t>风险识别</w:t>
            </w:r>
          </w:p>
          <w:p w14:paraId="5D9FF786">
            <w:pPr>
              <w:pStyle w:val="8"/>
              <w:spacing w:before="120"/>
              <w:jc w:val="left"/>
              <w:rPr>
                <w:lang w:val="en-US" w:eastAsia="zh-CN"/>
              </w:rPr>
            </w:pPr>
            <w:r>
              <w:rPr>
                <w:lang w:val="en-US" w:eastAsia="zh-CN"/>
              </w:rPr>
              <w:t>7.</w:t>
            </w:r>
            <w:r>
              <w:rPr>
                <w:rFonts w:hint="eastAsia"/>
                <w:lang w:val="en-US" w:eastAsia="zh-CN"/>
              </w:rPr>
              <w:t>3</w:t>
            </w:r>
            <w:r>
              <w:rPr>
                <w:lang w:val="en-US" w:eastAsia="zh-CN"/>
              </w:rPr>
              <w:t>.1物质风险识别</w:t>
            </w:r>
          </w:p>
          <w:p w14:paraId="06BD45EB">
            <w:pPr>
              <w:ind w:firstLine="480"/>
              <w:rPr>
                <w:lang w:val="zh-CN" w:bidi="ar"/>
              </w:rPr>
            </w:pPr>
            <w:r>
              <w:rPr>
                <w:rFonts w:hint="eastAsia"/>
                <w:lang w:val="zh-CN" w:bidi="ar"/>
              </w:rPr>
              <w:t>（1）理化性质</w:t>
            </w:r>
          </w:p>
          <w:p w14:paraId="72C17E33">
            <w:pPr>
              <w:ind w:firstLine="480"/>
              <w:rPr>
                <w:lang w:val="zh-CN" w:bidi="ar"/>
              </w:rPr>
            </w:pPr>
            <w:r>
              <w:rPr>
                <w:lang w:val="zh-CN" w:bidi="ar"/>
              </w:rPr>
              <w:t>本次</w:t>
            </w:r>
            <w:r>
              <w:rPr>
                <w:rFonts w:hint="eastAsia"/>
                <w:lang w:val="zh-CN" w:bidi="ar"/>
              </w:rPr>
              <w:t>扩建项目</w:t>
            </w:r>
            <w:r>
              <w:rPr>
                <w:lang w:val="zh-CN" w:bidi="ar"/>
              </w:rPr>
              <w:t>涉及的风险物质为：</w:t>
            </w:r>
            <w:r>
              <w:rPr>
                <w:rFonts w:hint="eastAsia"/>
                <w:lang w:val="zh-CN" w:bidi="ar"/>
              </w:rPr>
              <w:t>顺酐（MA）、</w:t>
            </w:r>
            <w:r>
              <w:rPr>
                <w:lang w:val="zh-CN" w:bidi="ar"/>
              </w:rPr>
              <w:t>1，4-丁二醇（BDO）</w:t>
            </w:r>
            <w:r>
              <w:rPr>
                <w:rFonts w:hint="eastAsia"/>
                <w:lang w:val="zh-CN" w:bidi="ar"/>
              </w:rPr>
              <w:t>、</w:t>
            </w:r>
            <w:r>
              <w:rPr>
                <w:lang w:val="zh-CN" w:bidi="ar"/>
              </w:rPr>
              <w:t>四氢呋喃（THF）</w:t>
            </w:r>
            <w:r>
              <w:rPr>
                <w:rFonts w:hint="eastAsia"/>
                <w:lang w:val="zh-CN" w:bidi="ar"/>
              </w:rPr>
              <w:t>、废机油</w:t>
            </w:r>
            <w:r>
              <w:rPr>
                <w:lang w:val="zh-CN" w:bidi="ar"/>
              </w:rPr>
              <w:t>，另伴生/次生污染物有CO</w:t>
            </w:r>
            <w:r>
              <w:rPr>
                <w:rFonts w:hint="eastAsia"/>
                <w:lang w:val="zh-CN" w:bidi="ar"/>
              </w:rPr>
              <w:t>，</w:t>
            </w:r>
            <w:r>
              <w:rPr>
                <w:lang w:val="zh-CN" w:bidi="ar"/>
              </w:rPr>
              <w:t>主要危险物质及主要理化性质见下表</w:t>
            </w:r>
            <w:r>
              <w:rPr>
                <w:rFonts w:hint="eastAsia"/>
                <w:lang w:val="zh-CN" w:bidi="ar"/>
              </w:rPr>
              <w:t>。</w:t>
            </w:r>
          </w:p>
          <w:p w14:paraId="118C8C32">
            <w:pPr>
              <w:pStyle w:val="10"/>
              <w:adjustRightInd w:val="0"/>
              <w:snapToGrid w:val="0"/>
              <w:spacing w:beforeLines="0" w:line="240" w:lineRule="auto"/>
              <w:jc w:val="center"/>
              <w:rPr>
                <w:lang w:val="zh-CN"/>
              </w:rPr>
            </w:pPr>
            <w:r>
              <w:rPr>
                <w:lang w:val="zh-CN"/>
              </w:rPr>
              <w:t>表</w:t>
            </w:r>
            <w:r>
              <w:rPr>
                <w:rFonts w:hint="eastAsia"/>
                <w:lang w:val="zh-CN"/>
              </w:rPr>
              <w:t>7.3-1扩建项目</w:t>
            </w:r>
            <w:r>
              <w:rPr>
                <w:lang w:val="zh-CN"/>
              </w:rPr>
              <w:t>货种理化特性一览表</w:t>
            </w:r>
          </w:p>
          <w:p w14:paraId="4C123D7F">
            <w:pPr>
              <w:ind w:firstLine="482"/>
              <w:jc w:val="center"/>
            </w:pPr>
            <w:r>
              <w:rPr>
                <w:rFonts w:hint="eastAsia"/>
                <w:b/>
              </w:rPr>
              <w:t>***（略，涉及商业秘密）</w:t>
            </w:r>
          </w:p>
          <w:p w14:paraId="5C0923C4">
            <w:pPr>
              <w:ind w:firstLine="480"/>
              <w:rPr>
                <w:lang w:val="zh-CN"/>
              </w:rPr>
            </w:pPr>
          </w:p>
          <w:p w14:paraId="1C6FCE9D">
            <w:pPr>
              <w:ind w:firstLine="480"/>
              <w:rPr>
                <w:snapToGrid w:val="0"/>
                <w:lang w:bidi="ar"/>
              </w:rPr>
            </w:pPr>
            <w:r>
              <w:rPr>
                <w:snapToGrid w:val="0"/>
              </w:rPr>
              <w:t>根据项目涉及的化学品的理化特性，对照《危险化学品目录》（2015年，2022年调整版）、</w:t>
            </w:r>
            <w:r>
              <w:t>《优先控制化学品名录》（第一批）、《优先控制化学品名录》（第二批）</w:t>
            </w:r>
            <w:r>
              <w:rPr>
                <w:rFonts w:hint="eastAsia"/>
              </w:rPr>
              <w:t>、</w:t>
            </w:r>
            <w:r>
              <w:t>《优先控制化学品名录》（第</w:t>
            </w:r>
            <w:r>
              <w:rPr>
                <w:rFonts w:hint="eastAsia"/>
              </w:rPr>
              <w:t>三</w:t>
            </w:r>
            <w:r>
              <w:t>批）</w:t>
            </w:r>
            <w:r>
              <w:rPr>
                <w:snapToGrid w:val="0"/>
              </w:rPr>
              <w:t>等，项目风险物质识别结果见表7.</w:t>
            </w:r>
            <w:r>
              <w:rPr>
                <w:rFonts w:hint="eastAsia"/>
                <w:snapToGrid w:val="0"/>
              </w:rPr>
              <w:t>3</w:t>
            </w:r>
            <w:r>
              <w:rPr>
                <w:snapToGrid w:val="0"/>
              </w:rPr>
              <w:t>-</w:t>
            </w:r>
            <w:r>
              <w:rPr>
                <w:rFonts w:hint="eastAsia"/>
                <w:snapToGrid w:val="0"/>
              </w:rPr>
              <w:t>2</w:t>
            </w:r>
            <w:r>
              <w:rPr>
                <w:snapToGrid w:val="0"/>
                <w:lang w:bidi="ar"/>
              </w:rPr>
              <w:t>。</w:t>
            </w:r>
          </w:p>
          <w:p w14:paraId="02A55E63">
            <w:pPr>
              <w:pStyle w:val="10"/>
              <w:adjustRightInd w:val="0"/>
              <w:snapToGrid w:val="0"/>
              <w:spacing w:beforeLines="0" w:line="240" w:lineRule="auto"/>
              <w:jc w:val="center"/>
              <w:rPr>
                <w:lang w:val="zh-CN"/>
              </w:rPr>
            </w:pPr>
            <w:r>
              <w:rPr>
                <w:lang w:val="zh-CN"/>
              </w:rPr>
              <w:t>表7.</w:t>
            </w:r>
            <w:r>
              <w:rPr>
                <w:rFonts w:hint="eastAsia"/>
                <w:lang w:val="zh-CN"/>
              </w:rPr>
              <w:t>3</w:t>
            </w:r>
            <w:r>
              <w:rPr>
                <w:lang w:val="zh-CN"/>
              </w:rPr>
              <w:t>-</w:t>
            </w:r>
            <w:r>
              <w:rPr>
                <w:rFonts w:hint="eastAsia"/>
                <w:lang w:val="zh-CN"/>
              </w:rPr>
              <w:t>2</w:t>
            </w:r>
            <w:r>
              <w:rPr>
                <w:lang w:val="zh-CN"/>
              </w:rPr>
              <w:t>项目风险物质识别一览表</w:t>
            </w:r>
          </w:p>
          <w:p w14:paraId="663B399D">
            <w:pPr>
              <w:ind w:firstLine="482"/>
              <w:jc w:val="center"/>
            </w:pPr>
            <w:r>
              <w:rPr>
                <w:rFonts w:hint="eastAsia"/>
                <w:b/>
              </w:rPr>
              <w:t>***（略，涉及商业秘密）</w:t>
            </w:r>
          </w:p>
          <w:p w14:paraId="4A08835A">
            <w:pPr>
              <w:ind w:firstLine="480"/>
              <w:rPr>
                <w:lang w:val="zh-CN" w:bidi="ar"/>
              </w:rPr>
            </w:pPr>
            <w:r>
              <w:rPr>
                <w:rFonts w:hint="eastAsia"/>
                <w:lang w:val="zh-CN" w:bidi="ar"/>
              </w:rPr>
              <w:t>（2）毒物危害</w:t>
            </w:r>
          </w:p>
          <w:p w14:paraId="37D25478">
            <w:pPr>
              <w:ind w:firstLine="480"/>
            </w:pPr>
            <w:r>
              <w:rPr>
                <w:rFonts w:hint="eastAsia"/>
                <w:lang w:val="zh-CN" w:bidi="ar"/>
              </w:rPr>
              <w:t>对照《化学品分类和标签规范第18部分：急性毒性》（GB30000.18-2013）及《化学品分类和标签规范第28部分：对水生环境的危害》（GB30000.28-2013），根据扩建项目</w:t>
            </w:r>
            <w:r>
              <w:rPr>
                <w:lang w:val="zh-CN" w:bidi="ar"/>
              </w:rPr>
              <w:t>货种理化特性</w:t>
            </w:r>
            <w:r>
              <w:rPr>
                <w:rFonts w:hint="eastAsia"/>
                <w:lang w:val="zh-CN" w:bidi="ar"/>
              </w:rPr>
              <w:t>，项目储运的顺酐（MA）、</w:t>
            </w:r>
            <w:r>
              <w:rPr>
                <w:lang w:val="zh-CN" w:bidi="ar"/>
              </w:rPr>
              <w:t>1，4-丁二醇（BDO）</w:t>
            </w:r>
            <w:r>
              <w:rPr>
                <w:rFonts w:hint="eastAsia"/>
                <w:lang w:val="zh-CN" w:bidi="ar"/>
              </w:rPr>
              <w:t>、</w:t>
            </w:r>
            <w:r>
              <w:rPr>
                <w:lang w:val="zh-CN" w:bidi="ar"/>
              </w:rPr>
              <w:t>四氢呋喃（THF）</w:t>
            </w:r>
            <w:r>
              <w:rPr>
                <w:rFonts w:hint="eastAsia"/>
                <w:lang w:val="zh-CN" w:bidi="ar"/>
              </w:rPr>
              <w:t>均不属于《化学品分类和标签规范</w:t>
            </w:r>
            <w:r>
              <w:rPr>
                <w:rFonts w:hint="eastAsia"/>
              </w:rPr>
              <w:t>第18部分：急性毒性》（GB30000.18-2013）类别1、类别2及类别3，也不属于《化学品分类和标签规范第28部分：对水生环境的危害》（GB30000.28-2013）急性毒性类别1。</w:t>
            </w:r>
          </w:p>
          <w:p w14:paraId="213294C9">
            <w:pPr>
              <w:pStyle w:val="10"/>
              <w:adjustRightInd w:val="0"/>
              <w:snapToGrid w:val="0"/>
              <w:spacing w:beforeLines="0" w:line="240" w:lineRule="auto"/>
              <w:jc w:val="center"/>
              <w:rPr>
                <w:lang w:val="zh-CN"/>
              </w:rPr>
            </w:pPr>
            <w:r>
              <w:rPr>
                <w:lang w:val="zh-CN"/>
              </w:rPr>
              <w:t>表</w:t>
            </w:r>
            <w:r>
              <w:rPr>
                <w:rFonts w:hint="eastAsia"/>
                <w:lang w:val="zh-CN"/>
              </w:rPr>
              <w:t>7.3-3 急性毒性危害分类和定义各个类别的急性毒性估计值（ATE）</w:t>
            </w:r>
          </w:p>
          <w:p w14:paraId="35D93764">
            <w:pPr>
              <w:ind w:firstLine="482"/>
              <w:jc w:val="center"/>
            </w:pPr>
            <w:r>
              <w:rPr>
                <w:rFonts w:hint="eastAsia"/>
                <w:b/>
              </w:rPr>
              <w:t>***（略，涉及商业秘密）</w:t>
            </w:r>
          </w:p>
          <w:p w14:paraId="3B3181EE">
            <w:pPr>
              <w:ind w:firstLine="480"/>
            </w:pPr>
            <w:r>
              <w:rPr>
                <w:rFonts w:hint="eastAsia"/>
              </w:rPr>
              <w:t>由表7.3-3毒物危害类别，可得出本次扩建项目储运货种毒性级别见表7.3-4。</w:t>
            </w:r>
          </w:p>
          <w:p w14:paraId="5EDA5004">
            <w:pPr>
              <w:pStyle w:val="10"/>
              <w:adjustRightInd w:val="0"/>
              <w:snapToGrid w:val="0"/>
              <w:spacing w:beforeLines="0" w:line="240" w:lineRule="auto"/>
              <w:jc w:val="center"/>
              <w:rPr>
                <w:lang w:val="zh-CN"/>
              </w:rPr>
            </w:pPr>
            <w:r>
              <w:rPr>
                <w:rFonts w:hint="eastAsia"/>
                <w:lang w:val="zh-CN"/>
              </w:rPr>
              <w:t>表7.3-4 扩建项目储运货种毒性分级表</w:t>
            </w:r>
          </w:p>
          <w:p w14:paraId="667A6B3D">
            <w:pPr>
              <w:ind w:firstLine="482"/>
              <w:jc w:val="center"/>
              <w:rPr>
                <w:lang w:val="zh-CN"/>
              </w:rPr>
            </w:pPr>
            <w:r>
              <w:rPr>
                <w:rFonts w:hint="eastAsia"/>
                <w:b/>
              </w:rPr>
              <w:t>***（略，涉及商业秘密）</w:t>
            </w:r>
          </w:p>
          <w:p w14:paraId="0F73CB15">
            <w:pPr>
              <w:pStyle w:val="10"/>
              <w:spacing w:before="120" w:line="240" w:lineRule="auto"/>
              <w:jc w:val="center"/>
            </w:pPr>
            <w:r>
              <w:rPr>
                <w:rFonts w:hint="eastAsia"/>
              </w:rPr>
              <w:t>表7.3-5 扩建项目储运货种</w:t>
            </w:r>
            <w:r>
              <w:t>急性水生毒性数据（LC</w:t>
            </w:r>
            <w:r>
              <w:rPr>
                <w:rFonts w:hint="eastAsia"/>
                <w:vertAlign w:val="subscript"/>
              </w:rPr>
              <w:t>50</w:t>
            </w:r>
            <w:r>
              <w:rPr>
                <w:rFonts w:hint="eastAsia"/>
              </w:rPr>
              <w:t>/</w:t>
            </w:r>
            <w:r>
              <w:t>EC</w:t>
            </w:r>
            <w:r>
              <w:rPr>
                <w:rFonts w:hint="eastAsia"/>
                <w:vertAlign w:val="subscript"/>
              </w:rPr>
              <w:t>50</w:t>
            </w:r>
            <w:r>
              <w:t>）</w:t>
            </w:r>
          </w:p>
          <w:p w14:paraId="487C8F22">
            <w:pPr>
              <w:ind w:firstLine="482"/>
              <w:jc w:val="center"/>
              <w:rPr>
                <w:lang w:val="zh-CN"/>
              </w:rPr>
            </w:pPr>
            <w:r>
              <w:rPr>
                <w:rFonts w:hint="eastAsia"/>
                <w:b/>
              </w:rPr>
              <w:t>***（略，涉及商业秘密）</w:t>
            </w:r>
          </w:p>
          <w:p w14:paraId="1DECB99F">
            <w:pPr>
              <w:ind w:firstLine="480"/>
            </w:pPr>
          </w:p>
          <w:p w14:paraId="4CDF04C6">
            <w:pPr>
              <w:pStyle w:val="2"/>
              <w:ind w:firstLine="480"/>
              <w:rPr>
                <w:lang w:val="en-US" w:eastAsia="zh-CN" w:bidi="ar"/>
              </w:rPr>
            </w:pPr>
            <w:r>
              <w:rPr>
                <w:rFonts w:hint="eastAsia"/>
              </w:rPr>
              <w:t>根据《化学品分类和标签规范第28部分：对水生环境的危害》（GB30000.28-2013）表1中危害水生环境物质的分类标准，急性（短期）水生危害毒性类别1：96hLC</w:t>
            </w:r>
            <w:r>
              <w:rPr>
                <w:rFonts w:hint="eastAsia"/>
                <w:vertAlign w:val="subscript"/>
              </w:rPr>
              <w:t>50</w:t>
            </w:r>
            <w:r>
              <w:rPr>
                <w:rFonts w:hint="eastAsia"/>
              </w:rPr>
              <w:t>（鱼类）≤1mg/L和/或48hEC</w:t>
            </w:r>
            <w:r>
              <w:rPr>
                <w:rFonts w:hint="eastAsia"/>
                <w:vertAlign w:val="subscript"/>
              </w:rPr>
              <w:t>50</w:t>
            </w:r>
            <w:r>
              <w:rPr>
                <w:rFonts w:hint="eastAsia"/>
              </w:rPr>
              <w:t>（甲壳纲动物）≤1mg/L和/或72h或96hErC</w:t>
            </w:r>
            <w:r>
              <w:rPr>
                <w:rFonts w:hint="eastAsia"/>
                <w:vertAlign w:val="subscript"/>
              </w:rPr>
              <w:t>50</w:t>
            </w:r>
            <w:r>
              <w:rPr>
                <w:rFonts w:hint="eastAsia"/>
              </w:rPr>
              <w:t>（藻类或其他水生植物）≤1mg/L，一些管理制度可能将急性类别1进行细分，包括更低的幅度L（E）C</w:t>
            </w:r>
            <w:r>
              <w:rPr>
                <w:rFonts w:hint="eastAsia"/>
                <w:vertAlign w:val="subscript"/>
              </w:rPr>
              <w:t>50</w:t>
            </w:r>
            <w:r>
              <w:rPr>
                <w:rFonts w:hint="eastAsia"/>
              </w:rPr>
              <w:t>≤0.1mg/L。因此扩建项目不属于《化学品分类和标签规范第28部分：对水生环境的危害》（GB30000.28-2013）急性毒性类别1。</w:t>
            </w:r>
          </w:p>
          <w:p w14:paraId="2240C412">
            <w:pPr>
              <w:ind w:firstLine="480"/>
              <w:rPr>
                <w:lang w:val="zh-CN" w:bidi="ar"/>
              </w:rPr>
            </w:pPr>
            <w:r>
              <w:rPr>
                <w:rFonts w:hint="eastAsia"/>
                <w:lang w:val="zh-CN" w:bidi="ar"/>
              </w:rPr>
              <w:t>（3）火灾危险物质</w:t>
            </w:r>
          </w:p>
          <w:p w14:paraId="6C45D2E7">
            <w:pPr>
              <w:ind w:firstLine="480"/>
            </w:pPr>
            <w:r>
              <w:rPr>
                <w:rFonts w:hint="eastAsia"/>
              </w:rPr>
              <w:t>扩建项目涉及的主要火灾爆炸风险物质主要如下表。</w:t>
            </w:r>
          </w:p>
          <w:p w14:paraId="26A2FE36">
            <w:pPr>
              <w:pStyle w:val="10"/>
              <w:spacing w:before="120" w:line="240" w:lineRule="auto"/>
              <w:jc w:val="center"/>
              <w:rPr>
                <w:lang w:val="zh-CN"/>
              </w:rPr>
            </w:pPr>
            <w:r>
              <w:rPr>
                <w:lang w:val="zh-CN"/>
              </w:rPr>
              <w:t>表</w:t>
            </w:r>
            <w:r>
              <w:rPr>
                <w:rFonts w:hint="eastAsia"/>
                <w:lang w:val="zh-CN"/>
              </w:rPr>
              <w:t>7.3-6 项目主要物质火灾危险性分类</w:t>
            </w:r>
          </w:p>
          <w:p w14:paraId="62BF21DD">
            <w:pPr>
              <w:ind w:firstLine="482"/>
              <w:jc w:val="center"/>
              <w:rPr>
                <w:lang w:val="zh-CN"/>
              </w:rPr>
            </w:pPr>
            <w:r>
              <w:rPr>
                <w:rFonts w:hint="eastAsia"/>
                <w:b/>
              </w:rPr>
              <w:t>***（略，涉及商业秘密）</w:t>
            </w:r>
          </w:p>
          <w:p w14:paraId="2DCBF2E3">
            <w:pPr>
              <w:ind w:firstLine="480"/>
              <w:rPr>
                <w:lang w:val="zh-CN"/>
              </w:rPr>
            </w:pPr>
          </w:p>
          <w:p w14:paraId="6F897BC9">
            <w:pPr>
              <w:pStyle w:val="3"/>
              <w:ind w:firstLine="480"/>
              <w:rPr>
                <w:lang w:bidi="ar"/>
              </w:rPr>
            </w:pPr>
          </w:p>
        </w:tc>
      </w:tr>
    </w:tbl>
    <w:p w14:paraId="374D22E5">
      <w:pPr>
        <w:ind w:firstLine="0" w:firstLineChars="0"/>
        <w:jc w:val="center"/>
        <w:outlineLvl w:val="0"/>
        <w:sectPr>
          <w:footerReference r:id="rId46" w:type="default"/>
          <w:pgSz w:w="16838" w:h="11905" w:orient="landscape"/>
          <w:pgMar w:top="1417" w:right="1417" w:bottom="1417" w:left="1417" w:header="851" w:footer="850" w:gutter="0"/>
          <w:cols w:space="720" w:num="1"/>
          <w:docGrid w:linePitch="326"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28" w:type="dxa"/>
          <w:bottom w:w="0" w:type="dxa"/>
          <w:right w:w="28" w:type="dxa"/>
        </w:tblCellMar>
      </w:tblPr>
      <w:tblGrid>
        <w:gridCol w:w="9127"/>
      </w:tblGrid>
      <w:tr w14:paraId="1607EB6D">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11991" w:hRule="atLeast"/>
        </w:trPr>
        <w:tc>
          <w:tcPr>
            <w:tcW w:w="5000" w:type="pct"/>
          </w:tcPr>
          <w:p w14:paraId="59C23345">
            <w:pPr>
              <w:pStyle w:val="8"/>
              <w:spacing w:before="120"/>
              <w:jc w:val="left"/>
              <w:rPr>
                <w:lang w:val="en-US" w:eastAsia="zh-CN"/>
              </w:rPr>
            </w:pPr>
            <w:r>
              <w:rPr>
                <w:lang w:val="en-US" w:eastAsia="zh-CN"/>
              </w:rPr>
              <w:t>7.</w:t>
            </w:r>
            <w:r>
              <w:rPr>
                <w:rFonts w:hint="eastAsia"/>
                <w:lang w:val="en-US" w:eastAsia="zh-CN"/>
              </w:rPr>
              <w:t>3</w:t>
            </w:r>
            <w:r>
              <w:rPr>
                <w:lang w:val="en-US" w:eastAsia="zh-CN"/>
              </w:rPr>
              <w:t>.2生产系统风险识别</w:t>
            </w:r>
          </w:p>
          <w:p w14:paraId="023F07D1">
            <w:pPr>
              <w:adjustRightInd w:val="0"/>
              <w:snapToGrid w:val="0"/>
              <w:ind w:firstLine="480"/>
            </w:pPr>
            <w:r>
              <w:rPr>
                <w:rFonts w:hint="eastAsia"/>
              </w:rPr>
              <w:t>扩建项目</w:t>
            </w:r>
            <w:r>
              <w:rPr>
                <w:lang w:val="zh-CN"/>
              </w:rPr>
              <w:t>存在明显性的生产系统有储罐区、</w:t>
            </w:r>
            <w:r>
              <w:rPr>
                <w:rFonts w:hint="eastAsia"/>
                <w:lang w:val="zh-CN"/>
              </w:rPr>
              <w:t>废气处理装置、</w:t>
            </w:r>
            <w:r>
              <w:t>物料输送管道</w:t>
            </w:r>
            <w:r>
              <w:rPr>
                <w:rFonts w:hint="eastAsia"/>
              </w:rPr>
              <w:t>、</w:t>
            </w:r>
            <w:r>
              <w:t>废气处理装置和危险废物贮存库</w:t>
            </w:r>
            <w:r>
              <w:rPr>
                <w:lang w:val="zh-CN"/>
              </w:rPr>
              <w:t>。</w:t>
            </w:r>
            <w:r>
              <w:t>本评价在进行划分危险单元时，将两个截止阀之间的管段作为一个危险单元。</w:t>
            </w:r>
          </w:p>
          <w:p w14:paraId="1C247574">
            <w:pPr>
              <w:pStyle w:val="108"/>
              <w:adjustRightInd w:val="0"/>
              <w:snapToGrid w:val="0"/>
              <w:ind w:firstLine="480"/>
            </w:pPr>
            <w:r>
              <w:t>在物料的运输、仓储过程中，如管理、操作不当或意外事故，都有可能存在造成火灾、爆炸或中毒等环境事故风险。一旦发生这类事故，将造成有毒、有害化工原料的外泄，对周围环境产生较大的污染影响。</w:t>
            </w:r>
          </w:p>
          <w:p w14:paraId="5ED4B019">
            <w:pPr>
              <w:adjustRightInd w:val="0"/>
              <w:snapToGrid w:val="0"/>
              <w:ind w:firstLine="480"/>
            </w:pPr>
            <w:r>
              <w:t>根据货品种类、库容、罐容等情况，确定企业存在的危险因素有两类：第一类是贮运运输环节，危险化学品在运输、储存及输送过程中由于储罐、阀门、机泵、管道等毁坏或爆裂造成的泄漏，导致环境污染和人体伤害；第二类是生产性废水、废气不经处理或处理不合格直接排放，</w:t>
            </w:r>
            <w:r>
              <w:rPr>
                <w:rFonts w:hint="eastAsia"/>
              </w:rPr>
              <w:t>危</w:t>
            </w:r>
            <w:r>
              <w:t>废未按照要求收集、存放和运输，突发停电等原因造成有毒有害气体直排和各种危险废物的泄漏等。各种危险因素分析如下：</w:t>
            </w:r>
          </w:p>
          <w:p w14:paraId="6CE9D457">
            <w:pPr>
              <w:pStyle w:val="108"/>
              <w:adjustRightInd w:val="0"/>
              <w:snapToGrid w:val="0"/>
              <w:ind w:firstLine="480"/>
            </w:pPr>
            <w:r>
              <w:t>1、管道泄漏</w:t>
            </w:r>
          </w:p>
          <w:p w14:paraId="0E7F80A3">
            <w:pPr>
              <w:pStyle w:val="108"/>
              <w:adjustRightInd w:val="0"/>
              <w:snapToGrid w:val="0"/>
              <w:ind w:firstLine="480"/>
            </w:pPr>
            <w:r>
              <w:t>扩建项目的</w:t>
            </w:r>
            <w:r>
              <w:rPr>
                <w:rFonts w:hint="eastAsia"/>
              </w:rPr>
              <w:t>顺酐（MA）、</w:t>
            </w:r>
            <w:r>
              <w:t>1，4-丁二醇（BDO）</w:t>
            </w:r>
            <w:r>
              <w:rPr>
                <w:rFonts w:hint="eastAsia"/>
              </w:rPr>
              <w:t>、</w:t>
            </w:r>
            <w:r>
              <w:t>四氢呋喃（THF）等为易燃液体，其在输送过程中泄漏后存在潜在的火灾危险性。管道制造、安装有缺陷，材料选型不当，腐蚀穿孔，可能导致化学品泄漏；管网在运行中，常发生气体压力、流量的波动，管网积水、堵塞等故障，也会发生泄漏等现象。因此，一旦发生这类故障，必须准确</w:t>
            </w:r>
            <w:r>
              <w:rPr>
                <w:rFonts w:hint="eastAsia"/>
                <w:lang w:eastAsia="zh-CN"/>
              </w:rPr>
              <w:t>及</w:t>
            </w:r>
            <w:r>
              <w:t>时地判断、排除，才能保证生产的安全、连续与稳定。同时，违章作业致使设备超温、超压，密封损坏、设备破裂，也可导致化学品泄漏。</w:t>
            </w:r>
          </w:p>
          <w:p w14:paraId="312248C6">
            <w:pPr>
              <w:pStyle w:val="108"/>
              <w:adjustRightInd w:val="0"/>
              <w:snapToGrid w:val="0"/>
              <w:ind w:firstLine="480"/>
            </w:pPr>
            <w:r>
              <w:t>2、罐区储罐泄漏</w:t>
            </w:r>
          </w:p>
          <w:p w14:paraId="0AC2C823">
            <w:pPr>
              <w:pStyle w:val="108"/>
              <w:adjustRightInd w:val="0"/>
              <w:snapToGrid w:val="0"/>
              <w:ind w:firstLine="480"/>
            </w:pPr>
            <w:r>
              <w:rPr>
                <w:rFonts w:hint="eastAsia"/>
              </w:rPr>
              <w:t>储罐</w:t>
            </w:r>
            <w:r>
              <w:t>产生的环境风险及有害因素主要为“跑、冒、漏”、事故泄漏及火灾。由于设备损坏或操作事故引起物料从储罐泄漏，大量释放的危险化学品，可能会导致火灾、中毒等重大事故的发生，污染大气、地表水、地下水和土壤。当发生储罐破裂泄漏时，物料遇明火或撞击会燃烧，燃烧后转变为CO</w:t>
            </w:r>
            <w:r>
              <w:rPr>
                <w:vertAlign w:val="subscript"/>
              </w:rPr>
              <w:t>2</w:t>
            </w:r>
            <w:r>
              <w:t>和水蒸气，不完全燃烧时会有CO产生，影响周围环境</w:t>
            </w:r>
            <w:r>
              <w:rPr>
                <w:rFonts w:hint="eastAsia"/>
                <w:lang w:eastAsia="zh-CN"/>
              </w:rPr>
              <w:t>且</w:t>
            </w:r>
            <w:r>
              <w:t>火灾爆炸会危及生命财产安全。同时大量溢出的物料除燃烧外，还会有部分蒸发到大气中，污染周围的大气环境。当发生管道或者接头泄漏时，泄漏的液体将在罐区围堰内蒸发或形成池液，产品蒸发时对周围大气环境将造成一定程度的影响，遇明火会燃烧发生火灾事故。</w:t>
            </w:r>
          </w:p>
          <w:p w14:paraId="0666FDE2">
            <w:pPr>
              <w:adjustRightInd w:val="0"/>
              <w:snapToGrid w:val="0"/>
              <w:ind w:firstLine="480"/>
            </w:pPr>
            <w:r>
              <w:t>3、废气处理设施故障</w:t>
            </w:r>
          </w:p>
          <w:p w14:paraId="44446A6F">
            <w:pPr>
              <w:adjustRightInd w:val="0"/>
              <w:snapToGrid w:val="0"/>
              <w:ind w:firstLine="480"/>
            </w:pPr>
            <w:r>
              <w:rPr>
                <w:rFonts w:hint="eastAsia"/>
              </w:rPr>
              <w:t>罐区</w:t>
            </w:r>
            <w:r>
              <w:t>设有</w:t>
            </w:r>
            <w:r>
              <w:rPr>
                <w:rFonts w:hint="eastAsia"/>
              </w:rPr>
              <w:t>废气</w:t>
            </w:r>
            <w:r>
              <w:t>吸收装置</w:t>
            </w:r>
            <w:r>
              <w:rPr>
                <w:rFonts w:hint="eastAsia"/>
              </w:rPr>
              <w:t>以及</w:t>
            </w:r>
            <w:r>
              <w:t>油气回收系统，装卸储存过程中分别对</w:t>
            </w:r>
            <w:r>
              <w:rPr>
                <w:rFonts w:hint="eastAsia"/>
              </w:rPr>
              <w:t>MA/BDO</w:t>
            </w:r>
            <w:r>
              <w:t>废气</w:t>
            </w:r>
            <w:r>
              <w:rPr>
                <w:rFonts w:hint="eastAsia"/>
              </w:rPr>
              <w:t>进行吸收处理</w:t>
            </w:r>
            <w:r>
              <w:t>及</w:t>
            </w:r>
            <w:r>
              <w:rPr>
                <w:rFonts w:hint="eastAsia"/>
              </w:rPr>
              <w:t>对THF</w:t>
            </w:r>
            <w:r>
              <w:t>废气</w:t>
            </w:r>
            <w:r>
              <w:rPr>
                <w:rFonts w:hint="eastAsia"/>
              </w:rPr>
              <w:t>进行</w:t>
            </w:r>
            <w:r>
              <w:t>油气进行回收，若废气处理设施发生故障，将导致废气未经处理直接排放，不仅会造成空气污染，还可能引发中毒事故。</w:t>
            </w:r>
          </w:p>
          <w:p w14:paraId="41C2DAFF">
            <w:pPr>
              <w:pStyle w:val="108"/>
              <w:ind w:firstLine="480"/>
            </w:pPr>
            <w:r>
              <w:t>4、危险废物泄漏事件后果</w:t>
            </w:r>
          </w:p>
          <w:p w14:paraId="7184F487">
            <w:pPr>
              <w:pStyle w:val="108"/>
              <w:ind w:firstLine="480"/>
            </w:pPr>
            <w:r>
              <w:t>危险废物暂存过程中如操作失误、储存桶发生破裂造成泄漏，可造成周围土壤、地表水体以及地下水污染。</w:t>
            </w:r>
          </w:p>
          <w:p w14:paraId="34BEB63E">
            <w:pPr>
              <w:pStyle w:val="108"/>
              <w:adjustRightInd w:val="0"/>
              <w:snapToGrid w:val="0"/>
              <w:ind w:firstLine="480"/>
            </w:pPr>
            <w:r>
              <w:t>罐区项目潜在危险性分析具体见表</w:t>
            </w:r>
            <w:r>
              <w:rPr>
                <w:rFonts w:hint="eastAsia"/>
              </w:rPr>
              <w:t>7.3-7</w:t>
            </w:r>
            <w:r>
              <w:t>。</w:t>
            </w:r>
          </w:p>
          <w:p w14:paraId="796F745A">
            <w:pPr>
              <w:pStyle w:val="3"/>
              <w:ind w:firstLine="480"/>
              <w:rPr>
                <w:szCs w:val="24"/>
                <w:lang w:val="zh-CN"/>
              </w:rPr>
            </w:pPr>
            <w:r>
              <w:rPr>
                <w:szCs w:val="24"/>
                <w:lang w:val="zh-CN"/>
              </w:rPr>
              <w:t>综上，扩建项目危险单元主要为</w:t>
            </w:r>
            <w:r>
              <w:rPr>
                <w:lang w:val="zh-CN"/>
              </w:rPr>
              <w:t>储罐区、</w:t>
            </w:r>
            <w:r>
              <w:rPr>
                <w:rFonts w:hint="eastAsia"/>
                <w:lang w:val="zh-CN"/>
              </w:rPr>
              <w:t>废气处理装置、</w:t>
            </w:r>
            <w:r>
              <w:t>物料输送管道</w:t>
            </w:r>
            <w:r>
              <w:rPr>
                <w:rFonts w:hint="eastAsia"/>
              </w:rPr>
              <w:t>、</w:t>
            </w:r>
            <w:r>
              <w:t>废气处理装置和危险废物贮存库</w:t>
            </w:r>
            <w:r>
              <w:rPr>
                <w:szCs w:val="24"/>
                <w:lang w:val="zh-CN"/>
              </w:rPr>
              <w:t>。</w:t>
            </w:r>
          </w:p>
          <w:p w14:paraId="76BA669A">
            <w:pPr>
              <w:pStyle w:val="10"/>
              <w:spacing w:before="120" w:line="240" w:lineRule="auto"/>
              <w:jc w:val="center"/>
            </w:pPr>
            <w:r>
              <w:rPr>
                <w:rFonts w:hint="eastAsia"/>
              </w:rPr>
              <w:t>表7.3-7</w:t>
            </w:r>
            <w:r>
              <w:t>储罐工程罐区风险识别汇总表</w:t>
            </w:r>
          </w:p>
          <w:p w14:paraId="7E92AF75">
            <w:pPr>
              <w:ind w:firstLine="482"/>
              <w:jc w:val="center"/>
              <w:rPr>
                <w:lang w:val="zh-CN"/>
              </w:rPr>
            </w:pPr>
            <w:r>
              <w:rPr>
                <w:rFonts w:hint="eastAsia"/>
                <w:b/>
              </w:rPr>
              <w:t>***（略，涉及商业秘密）</w:t>
            </w:r>
          </w:p>
          <w:p w14:paraId="795F058A">
            <w:pPr>
              <w:ind w:firstLine="480"/>
              <w:rPr>
                <w:lang w:val="zh-CN"/>
              </w:rPr>
            </w:pPr>
          </w:p>
        </w:tc>
      </w:tr>
    </w:tbl>
    <w:p w14:paraId="63891B96">
      <w:pPr>
        <w:ind w:firstLine="480"/>
        <w:jc w:val="center"/>
      </w:pPr>
    </w:p>
    <w:p w14:paraId="685FE120">
      <w:pPr>
        <w:pStyle w:val="2"/>
        <w:ind w:firstLine="480"/>
        <w:jc w:val="center"/>
      </w:pPr>
    </w:p>
    <w:p w14:paraId="0DD1EA52">
      <w:pPr>
        <w:pStyle w:val="3"/>
        <w:ind w:firstLine="480"/>
        <w:jc w:val="center"/>
        <w:sectPr>
          <w:footerReference r:id="rId47" w:type="default"/>
          <w:pgSz w:w="11905" w:h="16838"/>
          <w:pgMar w:top="1417" w:right="1417" w:bottom="1417" w:left="1417" w:header="851" w:footer="850" w:gutter="0"/>
          <w:cols w:space="720" w:num="1"/>
          <w:docGrid w:linePitch="312" w:charSpace="0"/>
        </w:sectPr>
      </w:pPr>
    </w:p>
    <w:tbl>
      <w:tblPr>
        <w:tblStyle w:val="30"/>
        <w:tblW w:w="4984"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28" w:type="dxa"/>
          <w:bottom w:w="0" w:type="dxa"/>
          <w:right w:w="28" w:type="dxa"/>
        </w:tblCellMar>
      </w:tblPr>
      <w:tblGrid>
        <w:gridCol w:w="9100"/>
      </w:tblGrid>
      <w:tr w14:paraId="0904F78C">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11991" w:hRule="atLeast"/>
        </w:trPr>
        <w:tc>
          <w:tcPr>
            <w:tcW w:w="5000" w:type="pct"/>
          </w:tcPr>
          <w:p w14:paraId="5A35AE9C">
            <w:pPr>
              <w:pStyle w:val="7"/>
              <w:spacing w:before="120"/>
              <w:jc w:val="left"/>
              <w:rPr>
                <w:sz w:val="30"/>
              </w:rPr>
            </w:pPr>
            <w:r>
              <w:rPr>
                <w:rFonts w:hint="eastAsia"/>
                <w:sz w:val="30"/>
              </w:rPr>
              <w:t>7.4</w:t>
            </w:r>
            <w:r>
              <w:rPr>
                <w:sz w:val="30"/>
              </w:rPr>
              <w:t>环境风险防范措施</w:t>
            </w:r>
          </w:p>
          <w:p w14:paraId="3933BA4D">
            <w:pPr>
              <w:pStyle w:val="8"/>
              <w:adjustRightInd w:val="0"/>
              <w:snapToGrid w:val="0"/>
              <w:spacing w:before="120"/>
              <w:rPr>
                <w:lang w:val="en-US" w:eastAsia="zh-CN"/>
              </w:rPr>
            </w:pPr>
            <w:r>
              <w:rPr>
                <w:lang w:val="en-US" w:eastAsia="zh-CN"/>
              </w:rPr>
              <w:t>7.</w:t>
            </w:r>
            <w:r>
              <w:rPr>
                <w:rFonts w:hint="eastAsia"/>
                <w:lang w:val="en-US" w:eastAsia="zh-CN"/>
              </w:rPr>
              <w:t>4</w:t>
            </w:r>
            <w:r>
              <w:rPr>
                <w:lang w:val="en-US" w:eastAsia="zh-CN"/>
              </w:rPr>
              <w:t>.1企业环境风险管理体系建立要求</w:t>
            </w:r>
          </w:p>
          <w:p w14:paraId="31F35800">
            <w:pPr>
              <w:pStyle w:val="117"/>
              <w:ind w:firstLine="480"/>
              <w:rPr>
                <w:lang w:val="en-US" w:eastAsia="zh-CN"/>
              </w:rPr>
            </w:pPr>
            <w:r>
              <w:rPr>
                <w:lang w:val="en-US" w:eastAsia="zh-CN"/>
              </w:rPr>
              <w:t>企业应建立完整环境风险管理体系，成立突发应急指挥中心，环境风险防范管理体系组织机构如</w:t>
            </w:r>
            <w:r>
              <w:rPr>
                <w:rFonts w:hint="eastAsia"/>
                <w:lang w:val="en-US" w:eastAsia="zh-CN"/>
              </w:rPr>
              <w:t>下图</w:t>
            </w:r>
            <w:r>
              <w:rPr>
                <w:lang w:val="en-US" w:eastAsia="zh-CN"/>
              </w:rPr>
              <w:t>所示。</w:t>
            </w:r>
          </w:p>
          <w:p w14:paraId="2FC9741F">
            <w:pPr>
              <w:ind w:firstLine="482"/>
              <w:jc w:val="center"/>
              <w:rPr>
                <w:lang w:val="zh-CN"/>
              </w:rPr>
            </w:pPr>
            <w:r>
              <w:rPr>
                <w:rFonts w:hint="eastAsia"/>
                <w:b/>
              </w:rPr>
              <w:t>***（略，涉及商业秘密）</w:t>
            </w:r>
          </w:p>
          <w:p w14:paraId="5820CA20">
            <w:pPr>
              <w:pStyle w:val="117"/>
              <w:ind w:firstLine="482"/>
              <w:jc w:val="center"/>
              <w:rPr>
                <w:bCs/>
                <w:szCs w:val="22"/>
              </w:rPr>
            </w:pPr>
            <w:r>
              <w:rPr>
                <w:b/>
                <w:kern w:val="0"/>
                <w:lang w:val="en-US" w:eastAsia="zh-CN"/>
              </w:rPr>
              <w:t>图7.</w:t>
            </w:r>
            <w:r>
              <w:rPr>
                <w:rFonts w:hint="eastAsia"/>
                <w:b/>
                <w:kern w:val="0"/>
                <w:lang w:val="en-US" w:eastAsia="zh-CN"/>
              </w:rPr>
              <w:t>4</w:t>
            </w:r>
            <w:r>
              <w:rPr>
                <w:b/>
                <w:kern w:val="0"/>
                <w:lang w:val="en-US" w:eastAsia="zh-CN"/>
              </w:rPr>
              <w:noBreakHyphen/>
            </w:r>
            <w:r>
              <w:rPr>
                <w:b/>
                <w:kern w:val="0"/>
                <w:lang w:val="en-US" w:eastAsia="zh-CN"/>
              </w:rPr>
              <w:fldChar w:fldCharType="begin"/>
            </w:r>
            <w:r>
              <w:rPr>
                <w:b/>
                <w:kern w:val="0"/>
                <w:lang w:val="en-US" w:eastAsia="zh-CN"/>
              </w:rPr>
              <w:instrText xml:space="preserve"> SEQ 图 \* ARABIC \s 2 </w:instrText>
            </w:r>
            <w:r>
              <w:rPr>
                <w:b/>
                <w:kern w:val="0"/>
                <w:lang w:val="en-US" w:eastAsia="zh-CN"/>
              </w:rPr>
              <w:fldChar w:fldCharType="separate"/>
            </w:r>
            <w:r>
              <w:rPr>
                <w:b/>
                <w:kern w:val="0"/>
                <w:lang w:val="en-US" w:eastAsia="zh-CN"/>
              </w:rPr>
              <w:t>1</w:t>
            </w:r>
            <w:r>
              <w:rPr>
                <w:b/>
                <w:kern w:val="0"/>
                <w:lang w:val="en-US" w:eastAsia="zh-CN"/>
              </w:rPr>
              <w:fldChar w:fldCharType="end"/>
            </w:r>
            <w:r>
              <w:rPr>
                <w:b/>
                <w:kern w:val="0"/>
                <w:lang w:val="en-US" w:eastAsia="zh-CN"/>
              </w:rPr>
              <w:t>环境应急组织机构框图</w:t>
            </w:r>
          </w:p>
          <w:p w14:paraId="20FD5F84">
            <w:pPr>
              <w:pStyle w:val="117"/>
              <w:ind w:firstLine="480"/>
              <w:rPr>
                <w:lang w:val="en-US" w:eastAsia="zh-CN"/>
              </w:rPr>
            </w:pPr>
            <w:r>
              <w:rPr>
                <w:lang w:val="en-US" w:eastAsia="zh-CN"/>
              </w:rPr>
              <w:t>（1）应急指挥中心</w:t>
            </w:r>
          </w:p>
          <w:p w14:paraId="442B9192">
            <w:pPr>
              <w:pStyle w:val="2"/>
              <w:ind w:firstLine="480"/>
              <w:rPr>
                <w:lang w:val="en-US" w:eastAsia="zh-CN"/>
              </w:rPr>
            </w:pPr>
            <w:r>
              <w:rPr>
                <w:lang w:val="en-US" w:eastAsia="zh-CN"/>
              </w:rPr>
              <w:t>公司成立突发应急指挥中心，负责公司突发事件的应急管理工作。应急指挥中心总指挥由董事长（总经理）担任，各部门主管组成。环境突发事件发生后，由总指挥、副总指挥负责成立现场应急指挥部，指挥部由指挥中心各成员及部门组成。</w:t>
            </w:r>
          </w:p>
          <w:p w14:paraId="47C6DD71">
            <w:pPr>
              <w:pStyle w:val="117"/>
              <w:ind w:firstLine="480"/>
              <w:rPr>
                <w:lang w:val="en-US" w:eastAsia="zh-CN"/>
              </w:rPr>
            </w:pPr>
            <w:r>
              <w:rPr>
                <w:lang w:val="en-US" w:eastAsia="zh-CN"/>
              </w:rPr>
              <w:t>（2）应急中心办公室</w:t>
            </w:r>
          </w:p>
          <w:p w14:paraId="111B6A14">
            <w:pPr>
              <w:ind w:firstLine="480"/>
            </w:pPr>
            <w:r>
              <w:t>根据公司职能部门的职责分工，公司应急指挥中心办公室由生产部、环安部等组成。应急指挥中心设在</w:t>
            </w:r>
            <w:r>
              <w:rPr>
                <w:rFonts w:hint="eastAsia"/>
              </w:rPr>
              <w:t>中控</w:t>
            </w:r>
            <w:r>
              <w:t>室，负责24小时应急值班和接警工作。</w:t>
            </w:r>
          </w:p>
          <w:p w14:paraId="25EBA8E5">
            <w:pPr>
              <w:pStyle w:val="117"/>
              <w:ind w:firstLine="480"/>
              <w:rPr>
                <w:lang w:val="en-US" w:eastAsia="zh-CN"/>
              </w:rPr>
            </w:pPr>
            <w:r>
              <w:rPr>
                <w:lang w:val="en-US" w:eastAsia="zh-CN"/>
              </w:rPr>
              <w:t>（3）现场应急指挥部</w:t>
            </w:r>
          </w:p>
          <w:p w14:paraId="30412DE9">
            <w:pPr>
              <w:pStyle w:val="117"/>
              <w:ind w:firstLine="480"/>
              <w:rPr>
                <w:lang w:val="en-US" w:eastAsia="zh-CN"/>
              </w:rPr>
            </w:pPr>
            <w:r>
              <w:rPr>
                <w:lang w:val="en-US" w:eastAsia="zh-CN"/>
              </w:rPr>
              <w:t>现场应急指挥部是公司应急指挥中心的现场应急指挥机构。现场应急指挥部指挥长由事件所在部门主管，当分管主管不在或现场丧失指挥职能或因其它原因不能履行其职责时，公司应急指挥中心应立即指派或由现场最高领导接替其指挥职务。</w:t>
            </w:r>
          </w:p>
          <w:p w14:paraId="7E5BFEB6">
            <w:pPr>
              <w:pStyle w:val="117"/>
              <w:ind w:firstLine="480"/>
              <w:rPr>
                <w:lang w:val="en-US" w:eastAsia="zh-CN"/>
              </w:rPr>
            </w:pPr>
            <w:r>
              <w:rPr>
                <w:lang w:val="en-US" w:eastAsia="zh-CN"/>
              </w:rPr>
              <w:t>根据事件发生的性质、特点、严重程度和现场处置工作需要，现场应急指挥部可下设：医疗救护组、专业应急队伍、治安警戒组、应急监测组、工程抢险组、物资保障组、运输保障组、信息通报组、善后处理组的几个或多个现场应急专业小组，以完成现场应急指挥部交办的任务。现场应急专业小组组长由现场应急指挥部指挥长指定。</w:t>
            </w:r>
          </w:p>
          <w:p w14:paraId="28DEBB9F">
            <w:pPr>
              <w:pStyle w:val="8"/>
              <w:adjustRightInd w:val="0"/>
              <w:snapToGrid w:val="0"/>
              <w:spacing w:before="120"/>
              <w:rPr>
                <w:lang w:val="en-US" w:eastAsia="zh-CN"/>
              </w:rPr>
            </w:pPr>
            <w:r>
              <w:rPr>
                <w:lang w:val="en-US" w:eastAsia="zh-CN"/>
              </w:rPr>
              <w:t>7.</w:t>
            </w:r>
            <w:r>
              <w:rPr>
                <w:rFonts w:hint="eastAsia"/>
                <w:lang w:val="en-US" w:eastAsia="zh-CN"/>
              </w:rPr>
              <w:t>4</w:t>
            </w:r>
            <w:r>
              <w:rPr>
                <w:lang w:val="en-US" w:eastAsia="zh-CN"/>
              </w:rPr>
              <w:t>.</w:t>
            </w:r>
            <w:r>
              <w:rPr>
                <w:rFonts w:hint="eastAsia"/>
                <w:lang w:val="en-US" w:eastAsia="zh-CN"/>
              </w:rPr>
              <w:t>2</w:t>
            </w:r>
            <w:r>
              <w:rPr>
                <w:lang w:val="en-US" w:eastAsia="zh-CN"/>
              </w:rPr>
              <w:t>罐区环境事故防</w:t>
            </w:r>
            <w:r>
              <w:rPr>
                <w:rFonts w:hint="eastAsia"/>
                <w:lang w:val="en-US" w:eastAsia="zh-CN"/>
              </w:rPr>
              <w:t>范</w:t>
            </w:r>
            <w:r>
              <w:rPr>
                <w:lang w:val="en-US" w:eastAsia="zh-CN"/>
              </w:rPr>
              <w:t>措施</w:t>
            </w:r>
          </w:p>
          <w:p w14:paraId="6E89B9A9">
            <w:pPr>
              <w:adjustRightInd w:val="0"/>
              <w:snapToGrid w:val="0"/>
              <w:ind w:firstLine="480"/>
            </w:pPr>
            <w:r>
              <w:rPr>
                <w:rFonts w:hint="eastAsia"/>
              </w:rPr>
              <w:t>码头罐区扩建</w:t>
            </w:r>
            <w:r>
              <w:rPr>
                <w:rFonts w:hint="eastAsia"/>
                <w:szCs w:val="22"/>
              </w:rPr>
              <w:t>THF储罐</w:t>
            </w:r>
            <w:r>
              <w:rPr>
                <w:rFonts w:hint="eastAsia"/>
                <w:bCs/>
                <w:snapToGrid w:val="0"/>
                <w:kern w:val="0"/>
                <w:szCs w:val="21"/>
              </w:rPr>
              <w:t>、</w:t>
            </w:r>
            <w:r>
              <w:rPr>
                <w:rFonts w:hint="eastAsia"/>
                <w:szCs w:val="22"/>
              </w:rPr>
              <w:t>MA储罐及BDO储罐</w:t>
            </w:r>
            <w:r>
              <w:rPr>
                <w:rFonts w:hint="eastAsia"/>
              </w:rPr>
              <w:t>除依托现有工程的环境风险防范措施外，本次还针对新增环境风险源提出以下环境风险防范与应急措施：</w:t>
            </w:r>
          </w:p>
          <w:p w14:paraId="688EBEFA">
            <w:pPr>
              <w:adjustRightInd w:val="0"/>
              <w:snapToGrid w:val="0"/>
              <w:ind w:firstLine="482"/>
              <w:rPr>
                <w:b/>
              </w:rPr>
            </w:pPr>
            <w:r>
              <w:rPr>
                <w:b/>
              </w:rPr>
              <w:t>1、危险源监控措施</w:t>
            </w:r>
          </w:p>
          <w:p w14:paraId="003E553B">
            <w:pPr>
              <w:ind w:firstLine="480"/>
            </w:pPr>
            <w:r>
              <w:rPr>
                <w:rFonts w:hint="eastAsia"/>
              </w:rPr>
              <w:t>罐区扩建项目涉及DCS系统、SIS系统、GDS系统、PLC系统等。</w:t>
            </w:r>
          </w:p>
          <w:p w14:paraId="5544D046">
            <w:pPr>
              <w:ind w:firstLine="480"/>
            </w:pPr>
            <w:r>
              <w:rPr>
                <w:rFonts w:hint="eastAsia"/>
              </w:rPr>
              <w:t>（1）DCS系统</w:t>
            </w:r>
          </w:p>
          <w:p w14:paraId="6E8B1D31">
            <w:pPr>
              <w:ind w:firstLine="480"/>
            </w:pPr>
            <w:r>
              <w:rPr>
                <w:rFonts w:hint="eastAsia"/>
              </w:rPr>
              <w:t>扩建项目拟</w:t>
            </w:r>
            <w:r>
              <w:t>采用分散型控制系统（DCS），双重冗余结构，对工艺设备施行自动控制</w:t>
            </w:r>
            <w:r>
              <w:rPr>
                <w:rFonts w:hint="eastAsia"/>
              </w:rPr>
              <w:t>。储运监控管理系统拟设置罐区数据采集，定量装车系统。</w:t>
            </w:r>
          </w:p>
          <w:p w14:paraId="04FBD565">
            <w:pPr>
              <w:ind w:firstLine="480"/>
            </w:pPr>
            <w:r>
              <w:rPr>
                <w:rFonts w:hint="eastAsia"/>
              </w:rPr>
              <w:t>1）罐区数据采集</w:t>
            </w:r>
          </w:p>
          <w:p w14:paraId="15F6483C">
            <w:pPr>
              <w:ind w:firstLine="480"/>
            </w:pPr>
            <w:r>
              <w:rPr>
                <w:rFonts w:hint="eastAsia"/>
              </w:rPr>
              <w:t>罐区数据采集仪表系统通过485协议与DCS通讯，如:雷达液位计、伺服液位计、多点温度计等，提供储罐的温度、密度和液位信息，并通过计算将测量的液位自动转换为体积值或质量值，同时其优化软件可以通过罐内液体的温度变化，作出预测并报警。罐区数据采集系统与DCS控制系统通讯。</w:t>
            </w:r>
          </w:p>
          <w:p w14:paraId="0710D3B2">
            <w:pPr>
              <w:ind w:firstLine="480"/>
            </w:pPr>
            <w:r>
              <w:rPr>
                <w:rFonts w:hint="eastAsia"/>
              </w:rPr>
              <w:t>2）汽车装车系统</w:t>
            </w:r>
          </w:p>
          <w:p w14:paraId="7BFC3174">
            <w:pPr>
              <w:ind w:firstLine="480"/>
            </w:pPr>
            <w:r>
              <w:rPr>
                <w:rFonts w:hint="eastAsia"/>
              </w:rPr>
              <w:t>汽车装车设施拟设置汽车装车监控管理系统，用于监视和管理装车相关信息及装车设施部分的所有辅助过程信息。装车设施中的每个装车鹤位均设有定量装车系统，每套定量装车系统包括定量装车仪、流量计、控制阀等，各定量装置系统均与装车监控管理系统通讯。</w:t>
            </w:r>
          </w:p>
          <w:p w14:paraId="571DD61E">
            <w:pPr>
              <w:ind w:firstLine="480"/>
            </w:pPr>
            <w:r>
              <w:rPr>
                <w:rFonts w:hint="eastAsia"/>
              </w:rPr>
              <w:t>（2）SIS系统</w:t>
            </w:r>
          </w:p>
          <w:p w14:paraId="3FA63605">
            <w:pPr>
              <w:ind w:firstLine="480"/>
            </w:pPr>
            <w:r>
              <w:rPr>
                <w:rFonts w:hint="eastAsia"/>
              </w:rPr>
              <w:t>扩建项目拟</w:t>
            </w:r>
            <w:r>
              <w:t>设置安全仪表控制系统（SIS）</w:t>
            </w:r>
            <w:r>
              <w:rPr>
                <w:rFonts w:hint="eastAsia"/>
              </w:rPr>
              <w:t>，</w:t>
            </w:r>
            <w:r>
              <w:t>当监测到相关的液位、压力、温度、流量等工艺参数超出规定值的紧急情况时，可实现储罐的进出口管道紧急切断、装车区管道紧急切断、外送管道的紧急切断。非正常工况联锁保护由安全仪表系统完成，安全仪表系统（SIS）独立于DCS系统，用于完成与安全相关的紧急停车和安全联锁保护功能。可实现自动停车或由控制室的操作人员手动停车。所有工艺输入信号均设维护旁路开关。</w:t>
            </w:r>
          </w:p>
          <w:p w14:paraId="01E9000D">
            <w:pPr>
              <w:ind w:firstLine="480"/>
            </w:pPr>
            <w:r>
              <w:rPr>
                <w:rFonts w:hint="eastAsia"/>
              </w:rPr>
              <w:t>（3）GDS系统</w:t>
            </w:r>
          </w:p>
          <w:p w14:paraId="70CE78CC">
            <w:pPr>
              <w:ind w:firstLine="480"/>
            </w:pPr>
            <w:r>
              <w:rPr>
                <w:rFonts w:hint="eastAsia"/>
              </w:rPr>
              <w:t>扩建项目拟在可能泄漏、聚集可燃气体的场所设置可燃气体探测器，可燃气体检测报警系统（GDS）独立设置，并入中民新能源GDS系统，GDS终端安装在现场控制室，实现现场/控制室内声、光报警。可燃气体的第二级报警信号和报警控制单元的故障信号，送至消防控制室（位于现场控制室内）进行图形显示和报警。</w:t>
            </w:r>
          </w:p>
          <w:p w14:paraId="7CF6BA07">
            <w:pPr>
              <w:pStyle w:val="10"/>
              <w:spacing w:before="120" w:line="240" w:lineRule="auto"/>
              <w:jc w:val="center"/>
            </w:pPr>
            <w:r>
              <w:rPr>
                <w:rFonts w:hint="eastAsia"/>
              </w:rPr>
              <w:t>表7.4-1码头罐区可燃气体探测器分布及报警值一览表</w:t>
            </w:r>
          </w:p>
          <w:p w14:paraId="3C1A4E27">
            <w:pPr>
              <w:ind w:firstLine="482"/>
              <w:jc w:val="center"/>
            </w:pPr>
            <w:r>
              <w:rPr>
                <w:rFonts w:hint="eastAsia"/>
                <w:b/>
              </w:rPr>
              <w:t>***（略，涉及商业秘密）</w:t>
            </w:r>
          </w:p>
          <w:p w14:paraId="1C7A69B3">
            <w:pPr>
              <w:ind w:firstLine="480"/>
            </w:pPr>
            <w:r>
              <w:rPr>
                <w:rFonts w:hint="eastAsia"/>
              </w:rPr>
              <w:t>（4）PLC系统</w:t>
            </w:r>
          </w:p>
          <w:p w14:paraId="34309007">
            <w:pPr>
              <w:ind w:firstLine="480"/>
            </w:pPr>
            <w:r>
              <w:rPr>
                <w:rFonts w:hint="eastAsia"/>
              </w:rPr>
              <w:t>热水换热机组、油气回收设施生产工艺操作控制拟采用随机配套的PLC系统自动控制。正常运行时所需监视的重要信号，通过PLC的标准通讯接口（RS-485）通讯至储运控制DCS系统，以实现集中监控管理。</w:t>
            </w:r>
          </w:p>
          <w:p w14:paraId="525E4BC8">
            <w:pPr>
              <w:adjustRightInd w:val="0"/>
              <w:snapToGrid w:val="0"/>
              <w:ind w:firstLine="482"/>
              <w:rPr>
                <w:b/>
              </w:rPr>
            </w:pPr>
            <w:r>
              <w:rPr>
                <w:b/>
              </w:rPr>
              <w:t>2、储罐溢顶的防范措施</w:t>
            </w:r>
          </w:p>
          <w:p w14:paraId="386B662B">
            <w:pPr>
              <w:adjustRightInd w:val="0"/>
              <w:snapToGrid w:val="0"/>
              <w:ind w:firstLine="480"/>
            </w:pPr>
            <w:r>
              <w:t>（1）储罐在装料前必须标定和检尺，装料后必须定期巡检和严格交接班检查。</w:t>
            </w:r>
          </w:p>
          <w:p w14:paraId="46762436">
            <w:pPr>
              <w:adjustRightInd w:val="0"/>
              <w:snapToGrid w:val="0"/>
              <w:ind w:firstLine="480"/>
            </w:pPr>
            <w:r>
              <w:t>（2）储罐安装高液位报警和泵或进口阀之间的</w:t>
            </w:r>
            <w:r>
              <w:rPr>
                <w:rFonts w:hint="eastAsia"/>
              </w:rPr>
              <w:t>联</w:t>
            </w:r>
            <w:r>
              <w:t>锁系统。</w:t>
            </w:r>
          </w:p>
          <w:p w14:paraId="266D937E">
            <w:pPr>
              <w:adjustRightInd w:val="0"/>
              <w:snapToGrid w:val="0"/>
              <w:ind w:firstLine="480"/>
            </w:pPr>
            <w:r>
              <w:t>（3）</w:t>
            </w:r>
            <w:r>
              <w:rPr>
                <w:rFonts w:hint="eastAsia"/>
              </w:rPr>
              <w:t>在线液位监测系统与储罐进出口阀之间的联锁系统。</w:t>
            </w:r>
          </w:p>
          <w:p w14:paraId="5466B1F0">
            <w:pPr>
              <w:adjustRightInd w:val="0"/>
              <w:snapToGrid w:val="0"/>
              <w:ind w:firstLine="480"/>
            </w:pPr>
            <w:r>
              <w:t>（</w:t>
            </w:r>
            <w:r>
              <w:rPr>
                <w:rFonts w:hint="eastAsia"/>
              </w:rPr>
              <w:t>4</w:t>
            </w:r>
            <w:r>
              <w:t>）储罐呼吸装置和泄压装置均就位。</w:t>
            </w:r>
          </w:p>
          <w:p w14:paraId="271AC99A">
            <w:pPr>
              <w:adjustRightInd w:val="0"/>
              <w:snapToGrid w:val="0"/>
              <w:ind w:firstLine="480"/>
            </w:pPr>
            <w:r>
              <w:t>（</w:t>
            </w:r>
            <w:r>
              <w:rPr>
                <w:rFonts w:hint="eastAsia"/>
              </w:rPr>
              <w:t>5</w:t>
            </w:r>
            <w:r>
              <w:t>）罐区设有围堰，可有效防止泄漏的废液流入外环境。</w:t>
            </w:r>
          </w:p>
          <w:p w14:paraId="09DB93DA">
            <w:pPr>
              <w:pStyle w:val="2"/>
              <w:ind w:firstLine="480"/>
              <w:rPr>
                <w:lang w:val="en-US" w:eastAsia="zh-CN"/>
              </w:rPr>
            </w:pPr>
            <w:r>
              <w:rPr>
                <w:rFonts w:hint="eastAsia"/>
                <w:lang w:val="en-US" w:eastAsia="zh-CN"/>
              </w:rPr>
              <w:t>（6）储罐设置两种不同形式液位计，两种液位计设置偏差报警。</w:t>
            </w:r>
          </w:p>
          <w:p w14:paraId="32ED825A">
            <w:pPr>
              <w:adjustRightInd w:val="0"/>
              <w:snapToGrid w:val="0"/>
              <w:ind w:firstLine="482"/>
              <w:rPr>
                <w:b/>
              </w:rPr>
            </w:pPr>
            <w:r>
              <w:rPr>
                <w:b/>
              </w:rPr>
              <w:t>3、储罐危险化学品泄漏防范措施</w:t>
            </w:r>
          </w:p>
          <w:p w14:paraId="15C6A902">
            <w:pPr>
              <w:adjustRightInd w:val="0"/>
              <w:snapToGrid w:val="0"/>
              <w:ind w:firstLine="480"/>
            </w:pPr>
            <w:r>
              <w:t>（1）为防止设备发生事故时的环境影响，在重要的储罐上安装水喷淋设施。</w:t>
            </w:r>
          </w:p>
          <w:p w14:paraId="55249608">
            <w:pPr>
              <w:adjustRightInd w:val="0"/>
              <w:snapToGrid w:val="0"/>
              <w:ind w:firstLine="480"/>
            </w:pPr>
            <w:r>
              <w:t>（2）安装附带报警装置的气体探测仪，以便及早发现泄漏，及早处理。</w:t>
            </w:r>
          </w:p>
          <w:p w14:paraId="1454207F">
            <w:pPr>
              <w:adjustRightInd w:val="0"/>
              <w:snapToGrid w:val="0"/>
              <w:ind w:firstLine="480"/>
            </w:pPr>
            <w:r>
              <w:t>（3）定期对储罐外部检查，及时发现破损和漏处。对储罐焊缝、垫片、螺栓的漏采取必要措施。</w:t>
            </w:r>
          </w:p>
          <w:p w14:paraId="6A6AB511">
            <w:pPr>
              <w:adjustRightInd w:val="0"/>
              <w:snapToGrid w:val="0"/>
              <w:ind w:firstLine="480"/>
            </w:pPr>
            <w:r>
              <w:t>（4）设置储罐高液位报警器及其它自动安全措施。</w:t>
            </w:r>
          </w:p>
          <w:p w14:paraId="59C8E2D4">
            <w:pPr>
              <w:adjustRightInd w:val="0"/>
              <w:snapToGrid w:val="0"/>
              <w:ind w:firstLine="480"/>
            </w:pPr>
            <w:r>
              <w:t>（5）防止管道的泄漏，经常检查管道，若地下管道应采用防腐蚀材料，并在埋设的地面作标记，以防开挖时破坏管道。地上管道应防止汽车碰撞。</w:t>
            </w:r>
          </w:p>
          <w:p w14:paraId="6EE134B6">
            <w:pPr>
              <w:adjustRightInd w:val="0"/>
              <w:snapToGrid w:val="0"/>
              <w:ind w:firstLine="480"/>
            </w:pPr>
            <w:r>
              <w:t>（6）所有进出罐区的管道均设2道以上的安全控制阀。</w:t>
            </w:r>
          </w:p>
          <w:p w14:paraId="13419212">
            <w:pPr>
              <w:adjustRightInd w:val="0"/>
              <w:snapToGrid w:val="0"/>
              <w:ind w:firstLine="482"/>
              <w:rPr>
                <w:b/>
              </w:rPr>
            </w:pPr>
            <w:r>
              <w:rPr>
                <w:b/>
              </w:rPr>
              <w:t>4、化学品管线泄漏防范措施</w:t>
            </w:r>
          </w:p>
          <w:p w14:paraId="660E976C">
            <w:pPr>
              <w:adjustRightInd w:val="0"/>
              <w:snapToGrid w:val="0"/>
              <w:ind w:firstLine="480"/>
            </w:pPr>
            <w:r>
              <w:t>（1）工艺管线采用专管专线。管线采用管架、支墩明敷。</w:t>
            </w:r>
          </w:p>
          <w:p w14:paraId="0B5F9387">
            <w:pPr>
              <w:adjustRightInd w:val="0"/>
              <w:snapToGrid w:val="0"/>
              <w:ind w:firstLine="480"/>
            </w:pPr>
            <w:r>
              <w:t>（2）强化管道敷设质量</w:t>
            </w:r>
          </w:p>
          <w:p w14:paraId="30E33E4C">
            <w:pPr>
              <w:adjustRightInd w:val="0"/>
              <w:snapToGrid w:val="0"/>
              <w:ind w:firstLine="480"/>
            </w:pPr>
            <w:r>
              <w:rPr>
                <w:rFonts w:hint="eastAsia" w:ascii="宋体" w:hAnsi="宋体" w:cs="宋体"/>
              </w:rPr>
              <w:t>①</w:t>
            </w:r>
            <w:r>
              <w:t>管道材质按管道制管标准按《管线钢管规范》（API5L44版）及</w:t>
            </w:r>
            <w:r>
              <w:rPr>
                <w:rFonts w:hint="eastAsia"/>
              </w:rPr>
              <w:t>石油化工厂区管线综合布置设计规范》</w:t>
            </w:r>
            <w:r>
              <w:t>（</w:t>
            </w:r>
            <w:r>
              <w:rPr>
                <w:rFonts w:hint="eastAsia"/>
              </w:rPr>
              <w:t>SH/T 3054-2025</w:t>
            </w:r>
            <w:r>
              <w:t>）进行计算选型，并增加腐蚀余量。</w:t>
            </w:r>
          </w:p>
          <w:p w14:paraId="27E43FF4">
            <w:pPr>
              <w:adjustRightInd w:val="0"/>
              <w:snapToGrid w:val="0"/>
              <w:ind w:firstLine="480"/>
            </w:pPr>
            <w:r>
              <w:rPr>
                <w:rFonts w:hint="eastAsia" w:ascii="宋体" w:hAnsi="宋体" w:cs="宋体"/>
              </w:rPr>
              <w:t>②</w:t>
            </w:r>
            <w:r>
              <w:t>管道所有环向焊缝经外观检查合格后，采用100%X射线全周长射线探伤检查。</w:t>
            </w:r>
          </w:p>
          <w:p w14:paraId="157B9E50">
            <w:pPr>
              <w:adjustRightInd w:val="0"/>
              <w:snapToGrid w:val="0"/>
              <w:ind w:firstLine="480"/>
            </w:pPr>
            <w:r>
              <w:rPr>
                <w:rFonts w:hint="eastAsia" w:ascii="宋体" w:hAnsi="宋体" w:cs="宋体"/>
              </w:rPr>
              <w:t>③</w:t>
            </w:r>
            <w:r>
              <w:t>化工品管道必须进行分段强度试压和严密性试压。本工程管道试压按照：《石油化工金属管道工程施工质量验收规范》（GB5051</w:t>
            </w:r>
            <w:r>
              <w:rPr>
                <w:rFonts w:hint="eastAsia"/>
              </w:rPr>
              <w:t>7</w:t>
            </w:r>
            <w:r>
              <w:t>）及《石油化工有毒、可燃介质钢制管道工程施工及验收规范》（SH3501）进行。</w:t>
            </w:r>
          </w:p>
          <w:p w14:paraId="4E842D9B">
            <w:pPr>
              <w:adjustRightInd w:val="0"/>
              <w:snapToGrid w:val="0"/>
              <w:ind w:firstLine="480"/>
            </w:pPr>
            <w:r>
              <w:rPr>
                <w:rFonts w:hint="eastAsia" w:ascii="宋体" w:hAnsi="宋体" w:cs="宋体"/>
              </w:rPr>
              <w:t>④</w:t>
            </w:r>
            <w:r>
              <w:t>管道设有测压装置及超限报警装置</w:t>
            </w:r>
          </w:p>
          <w:p w14:paraId="49512F73">
            <w:pPr>
              <w:adjustRightInd w:val="0"/>
              <w:snapToGrid w:val="0"/>
              <w:ind w:firstLine="480"/>
            </w:pPr>
            <w:r>
              <w:rPr>
                <w:rFonts w:hint="eastAsia" w:ascii="宋体" w:hAnsi="宋体" w:cs="宋体"/>
              </w:rPr>
              <w:t>⑤</w:t>
            </w:r>
            <w:r>
              <w:t>为预防</w:t>
            </w:r>
            <w:r>
              <w:rPr>
                <w:rFonts w:hint="eastAsia"/>
              </w:rPr>
              <w:t>液化烃</w:t>
            </w:r>
            <w:r>
              <w:t>管道压力超过最大允许积聚压力，</w:t>
            </w:r>
            <w:r>
              <w:rPr>
                <w:rFonts w:hint="eastAsia"/>
              </w:rPr>
              <w:t>液化烃</w:t>
            </w:r>
            <w:r>
              <w:t>管道应设有安全阀。管道高点设置排气阀，低点设有排空阀。</w:t>
            </w:r>
          </w:p>
          <w:p w14:paraId="0613E176">
            <w:pPr>
              <w:adjustRightInd w:val="0"/>
              <w:snapToGrid w:val="0"/>
              <w:ind w:firstLine="480"/>
            </w:pPr>
            <w:r>
              <w:t>（3）管道防腐措施</w:t>
            </w:r>
          </w:p>
          <w:p w14:paraId="71A29A89">
            <w:pPr>
              <w:adjustRightInd w:val="0"/>
              <w:snapToGrid w:val="0"/>
              <w:ind w:firstLine="480"/>
            </w:pPr>
            <w:r>
              <w:t>管道</w:t>
            </w:r>
            <w:r>
              <w:rPr>
                <w:rFonts w:hint="eastAsia"/>
              </w:rPr>
              <w:t>防腐措施按照</w:t>
            </w:r>
            <w:r>
              <w:t>《化工设备管道外防腐设计</w:t>
            </w:r>
            <w:r>
              <w:rPr>
                <w:rFonts w:hint="eastAsia"/>
              </w:rPr>
              <w:t>规范</w:t>
            </w:r>
            <w:r>
              <w:t>》</w:t>
            </w:r>
            <w:r>
              <w:rPr>
                <w:rFonts w:hint="eastAsia"/>
              </w:rPr>
              <w:t>（</w:t>
            </w:r>
            <w:r>
              <w:t>HG/T20679</w:t>
            </w:r>
            <w:r>
              <w:rPr>
                <w:rFonts w:hint="eastAsia"/>
              </w:rPr>
              <w:t>）要求进行施工</w:t>
            </w:r>
            <w:r>
              <w:t>。</w:t>
            </w:r>
          </w:p>
          <w:p w14:paraId="037AA7F8">
            <w:pPr>
              <w:adjustRightInd w:val="0"/>
              <w:snapToGrid w:val="0"/>
              <w:ind w:firstLine="480"/>
            </w:pPr>
            <w:r>
              <w:t>（4）</w:t>
            </w:r>
            <w:r>
              <w:rPr>
                <w:rFonts w:hint="eastAsia"/>
              </w:rPr>
              <w:t>厂内</w:t>
            </w:r>
            <w:r>
              <w:t>各类化工品输送管线应设置紧急切断阀。</w:t>
            </w:r>
          </w:p>
          <w:p w14:paraId="3A54000F">
            <w:pPr>
              <w:adjustRightInd w:val="0"/>
              <w:snapToGrid w:val="0"/>
              <w:ind w:firstLine="480"/>
            </w:pPr>
            <w:r>
              <w:t>（</w:t>
            </w:r>
            <w:r>
              <w:rPr>
                <w:rFonts w:hint="eastAsia"/>
              </w:rPr>
              <w:t>5</w:t>
            </w:r>
            <w:r>
              <w:t>）定期对管道进行压力、防腐、泄漏检测，每年进行管道在线检测，确保化学品管线安全运行。</w:t>
            </w:r>
          </w:p>
          <w:p w14:paraId="60DAA692">
            <w:pPr>
              <w:adjustRightInd w:val="0"/>
              <w:snapToGrid w:val="0"/>
              <w:ind w:firstLine="482"/>
              <w:rPr>
                <w:b/>
              </w:rPr>
            </w:pPr>
            <w:r>
              <w:rPr>
                <w:rFonts w:hint="eastAsia"/>
                <w:b/>
              </w:rPr>
              <w:t>5、</w:t>
            </w:r>
            <w:r>
              <w:rPr>
                <w:b/>
              </w:rPr>
              <w:t>火灾防范措施</w:t>
            </w:r>
          </w:p>
          <w:p w14:paraId="7E32420C">
            <w:pPr>
              <w:pStyle w:val="117"/>
              <w:ind w:firstLine="480"/>
              <w:rPr>
                <w:lang w:val="en-US" w:eastAsia="zh-CN"/>
              </w:rPr>
            </w:pPr>
            <w:r>
              <w:rPr>
                <w:lang w:val="en-US" w:eastAsia="zh-CN"/>
              </w:rPr>
              <w:t>（1）预防明火</w:t>
            </w:r>
          </w:p>
          <w:p w14:paraId="7CE331C0">
            <w:pPr>
              <w:pStyle w:val="117"/>
              <w:ind w:firstLine="480"/>
              <w:rPr>
                <w:lang w:val="en-US" w:eastAsia="zh-CN"/>
              </w:rPr>
            </w:pPr>
            <w:r>
              <w:rPr>
                <w:lang w:val="en-US" w:eastAsia="zh-CN"/>
              </w:rPr>
              <w:t>（2）预防摩擦与撞击火花</w:t>
            </w:r>
          </w:p>
          <w:p w14:paraId="41F5DEF0">
            <w:pPr>
              <w:pStyle w:val="117"/>
              <w:ind w:firstLine="480"/>
              <w:rPr>
                <w:lang w:val="en-US" w:eastAsia="zh-CN"/>
              </w:rPr>
            </w:pPr>
            <w:r>
              <w:rPr>
                <w:lang w:val="en-US" w:eastAsia="zh-CN"/>
              </w:rPr>
              <w:t>（3）预防电气火花</w:t>
            </w:r>
          </w:p>
          <w:p w14:paraId="393DA32B">
            <w:pPr>
              <w:pStyle w:val="117"/>
              <w:ind w:firstLine="480"/>
              <w:rPr>
                <w:lang w:val="en-US" w:eastAsia="zh-CN"/>
              </w:rPr>
            </w:pPr>
            <w:r>
              <w:rPr>
                <w:lang w:val="en-US" w:eastAsia="zh-CN"/>
              </w:rPr>
              <w:t>（4）预防静电火花</w:t>
            </w:r>
          </w:p>
          <w:p w14:paraId="14B75EDF">
            <w:pPr>
              <w:pStyle w:val="117"/>
              <w:ind w:firstLine="480"/>
              <w:rPr>
                <w:lang w:val="en-US" w:eastAsia="zh-CN"/>
              </w:rPr>
            </w:pPr>
            <w:r>
              <w:rPr>
                <w:lang w:val="en-US" w:eastAsia="zh-CN"/>
              </w:rPr>
              <w:t>（5）预防其它火源</w:t>
            </w:r>
          </w:p>
          <w:p w14:paraId="2A74261E">
            <w:pPr>
              <w:pStyle w:val="117"/>
              <w:ind w:firstLine="480"/>
              <w:rPr>
                <w:lang w:val="en-US" w:eastAsia="zh-CN"/>
              </w:rPr>
            </w:pPr>
            <w:r>
              <w:rPr>
                <w:lang w:val="en-US" w:eastAsia="zh-CN"/>
              </w:rPr>
              <w:t>（6）工艺设计的防火、防爆措施</w:t>
            </w:r>
          </w:p>
          <w:p w14:paraId="70B5A698">
            <w:pPr>
              <w:pStyle w:val="117"/>
              <w:ind w:firstLine="480"/>
              <w:rPr>
                <w:lang w:val="en-US" w:eastAsia="zh-CN"/>
              </w:rPr>
            </w:pPr>
            <w:r>
              <w:rPr>
                <w:lang w:val="en-US" w:eastAsia="zh-CN"/>
              </w:rPr>
              <w:t>（7）其他防范措施</w:t>
            </w:r>
          </w:p>
          <w:p w14:paraId="58D3BC46">
            <w:pPr>
              <w:pStyle w:val="121"/>
              <w:numPr>
                <w:ilvl w:val="3"/>
                <w:numId w:val="0"/>
              </w:numPr>
              <w:adjustRightInd w:val="0"/>
              <w:snapToGrid w:val="0"/>
              <w:ind w:firstLine="480"/>
            </w:pPr>
            <w:r>
              <w:rPr>
                <w:rFonts w:hint="eastAsia"/>
              </w:rPr>
              <w:t>6、</w:t>
            </w:r>
            <w:r>
              <w:t>安全管理措施</w:t>
            </w:r>
          </w:p>
          <w:p w14:paraId="6936F440">
            <w:pPr>
              <w:pStyle w:val="117"/>
              <w:ind w:firstLine="480"/>
              <w:rPr>
                <w:lang w:val="en-US" w:eastAsia="zh-CN"/>
              </w:rPr>
            </w:pPr>
            <w:r>
              <w:rPr>
                <w:lang w:val="en-US" w:eastAsia="zh-CN"/>
              </w:rPr>
              <w:t>码头罐区项目要实行严格的操作管理与罐区人员的安全培训，安全教育等纳入企业经营管理范畴，完善安全组织结构。加强安全卫生培训，掌握处理事故的技能，加强技术防范，杜绝安全和危害职工健康事故的发生；在所有职工中普及对扩建项目经营的有毒有害化工品等物质有害意识及对中毒者的急救措施。</w:t>
            </w:r>
          </w:p>
          <w:p w14:paraId="66CC582C">
            <w:pPr>
              <w:pStyle w:val="117"/>
              <w:ind w:firstLine="480"/>
              <w:rPr>
                <w:lang w:val="en-US" w:eastAsia="zh-CN"/>
              </w:rPr>
            </w:pPr>
            <w:r>
              <w:rPr>
                <w:lang w:val="en-US" w:eastAsia="zh-CN"/>
              </w:rPr>
              <w:t>岗位操作严格穿戴劳保用品、配备相应的安全防护设施，制定安全操作规程，严格执行，保证严格依照公安、交警部门的管理进行运输、组织生产。加强与进出港轮船的联络、协调作业。</w:t>
            </w:r>
          </w:p>
          <w:p w14:paraId="059F1EFD">
            <w:pPr>
              <w:pStyle w:val="121"/>
              <w:numPr>
                <w:ilvl w:val="3"/>
                <w:numId w:val="0"/>
              </w:numPr>
              <w:adjustRightInd w:val="0"/>
              <w:snapToGrid w:val="0"/>
              <w:ind w:firstLine="480"/>
            </w:pPr>
            <w:r>
              <w:rPr>
                <w:rFonts w:hint="eastAsia"/>
              </w:rPr>
              <w:t>7、</w:t>
            </w:r>
            <w:r>
              <w:t>消防控制措施</w:t>
            </w:r>
          </w:p>
          <w:p w14:paraId="06D6CDDE">
            <w:pPr>
              <w:pStyle w:val="117"/>
              <w:ind w:firstLine="480"/>
            </w:pPr>
            <w:r>
              <w:rPr>
                <w:rFonts w:hint="eastAsia"/>
              </w:rPr>
              <w:t>扩建项目依托中民新能源厂区已建的1座现场控制室</w:t>
            </w:r>
            <w:r>
              <w:rPr>
                <w:rFonts w:hint="eastAsia"/>
                <w:lang w:eastAsia="zh-CN"/>
              </w:rPr>
              <w:t>（中控室）</w:t>
            </w:r>
            <w:r>
              <w:rPr>
                <w:rFonts w:hint="eastAsia"/>
              </w:rPr>
              <w:t>，内设UPS室、机柜室、操作室、交接班室、工程师室、通讯室、空调机房等</w:t>
            </w:r>
            <w:r>
              <w:t>。</w:t>
            </w:r>
          </w:p>
          <w:p w14:paraId="4811541D">
            <w:pPr>
              <w:pStyle w:val="117"/>
              <w:ind w:firstLine="480"/>
            </w:pPr>
            <w:r>
              <w:rPr>
                <w:rFonts w:hint="eastAsia"/>
              </w:rPr>
              <w:t>灭火设施上设置消火栓、水喷淋、消防水管网、泡沫灭火系统等灭火设施。</w:t>
            </w:r>
          </w:p>
          <w:p w14:paraId="66578CFE">
            <w:pPr>
              <w:pStyle w:val="117"/>
              <w:ind w:firstLine="482"/>
              <w:rPr>
                <w:b/>
              </w:rPr>
            </w:pPr>
            <w:r>
              <w:rPr>
                <w:rFonts w:hint="eastAsia"/>
                <w:b/>
              </w:rPr>
              <w:t>（1）消防水系统</w:t>
            </w:r>
          </w:p>
          <w:p w14:paraId="3754CFCE">
            <w:pPr>
              <w:pStyle w:val="117"/>
              <w:ind w:firstLine="480"/>
            </w:pPr>
            <w:r>
              <w:rPr>
                <w:rFonts w:hint="eastAsia"/>
                <w:lang w:eastAsia="zh-CN"/>
              </w:rPr>
              <w:t>扩建项目</w:t>
            </w:r>
            <w:r>
              <w:rPr>
                <w:rFonts w:hint="eastAsia"/>
              </w:rPr>
              <w:t>消防给水系统依托中民新能源厂区已建的消防给水系统。</w:t>
            </w:r>
          </w:p>
          <w:p w14:paraId="13DC19F5">
            <w:pPr>
              <w:pStyle w:val="117"/>
              <w:ind w:firstLine="480"/>
            </w:pPr>
            <w:r>
              <w:rPr>
                <w:rFonts w:hint="eastAsia"/>
              </w:rPr>
              <w:t>消防水源由2个消防水罐（每个消防水罐为6000m³）提供，消防水罐补水依托中景石化科技园区DN300的生产给水管线，补水量不小于300m³/h，补水时间不超过48h。消防水罐液位信息远传至现场控制室。消防水泵站设置有2台电动消防泵、2台柴油消防泵（流量：300L/s、扬程：160m），两用两备；设置2台稳压泵（流量：30L/s、扬程：80m）。</w:t>
            </w:r>
          </w:p>
          <w:p w14:paraId="68790601">
            <w:pPr>
              <w:pStyle w:val="117"/>
              <w:ind w:firstLine="480"/>
            </w:pPr>
            <w:r>
              <w:rPr>
                <w:rFonts w:hint="eastAsia"/>
              </w:rPr>
              <w:t>①室外消火栓</w:t>
            </w:r>
          </w:p>
          <w:p w14:paraId="76F9A07A">
            <w:pPr>
              <w:pStyle w:val="117"/>
              <w:ind w:firstLine="480"/>
            </w:pPr>
            <w:r>
              <w:rPr>
                <w:rFonts w:hint="eastAsia"/>
                <w:lang w:eastAsia="zh-CN"/>
              </w:rPr>
              <w:t>扩建项目</w:t>
            </w:r>
            <w:r>
              <w:rPr>
                <w:rFonts w:hint="eastAsia"/>
              </w:rPr>
              <w:t>消防给水来自中民新能源厂区消防水罐及配套的临时高压（带稳压装置）消防供水管网。消防供水系统总供水能力约600L/s，供水压力1.40MPa。</w:t>
            </w:r>
          </w:p>
          <w:p w14:paraId="683CCF76">
            <w:pPr>
              <w:pStyle w:val="117"/>
              <w:ind w:firstLine="480"/>
            </w:pPr>
            <w:r>
              <w:rPr>
                <w:rFonts w:hint="eastAsia"/>
                <w:lang w:eastAsia="zh-CN"/>
              </w:rPr>
              <w:t>扩建项目</w:t>
            </w:r>
            <w:r>
              <w:rPr>
                <w:rFonts w:hint="eastAsia"/>
              </w:rPr>
              <w:t>消防水管网由中民新能源厂区现有环状管网的不同管段上接出两路DN300管道至扩建项目厂区，在扩建项目厂区内结成环状管网，并与中民新能源消防水管网连接成环状。</w:t>
            </w:r>
          </w:p>
          <w:p w14:paraId="568E0B6D">
            <w:pPr>
              <w:pStyle w:val="117"/>
              <w:ind w:firstLine="480"/>
            </w:pPr>
            <w:r>
              <w:rPr>
                <w:rFonts w:hint="eastAsia"/>
              </w:rPr>
              <w:t>全厂设置地上式室外消火栓。室外消火栓沿建筑均匀布置，消火栓距建筑外墙不小于5.0m，并不大于40m；距路边不小于0.5m，并不大于2m。消火栓之间的间距不大于120m；消火栓保护半径不大于150m。室外管网两个阀门之间消火栓个数不超过5个。</w:t>
            </w:r>
          </w:p>
          <w:p w14:paraId="538B03DE">
            <w:pPr>
              <w:pStyle w:val="117"/>
              <w:ind w:firstLine="480"/>
            </w:pPr>
            <w:r>
              <w:rPr>
                <w:rFonts w:hint="eastAsia"/>
              </w:rPr>
              <w:t>②室内消火栓</w:t>
            </w:r>
          </w:p>
          <w:p w14:paraId="66B9B620">
            <w:pPr>
              <w:pStyle w:val="117"/>
              <w:ind w:firstLine="480"/>
            </w:pPr>
            <w:r>
              <w:rPr>
                <w:rFonts w:hint="eastAsia"/>
                <w:lang w:eastAsia="zh-CN"/>
              </w:rPr>
              <w:t>扩建项目</w:t>
            </w:r>
            <w:r>
              <w:rPr>
                <w:rFonts w:hint="eastAsia"/>
              </w:rPr>
              <w:t>危废品仓库内拟设置室内消火栓，由室外临时高压消防水管网上接出两路引入管至室内，室内消火栓给水管接成环状。室内消火栓采用明装，消火栓栓口距（楼）地面1.1m。消火栓采用SN65消火栓，栓口出水压力0.35MPa。水枪喷嘴的口径为DN19，为直流-水雾两用枪。水龙带为长25m麻质内衬胶。</w:t>
            </w:r>
          </w:p>
          <w:p w14:paraId="049917CF">
            <w:pPr>
              <w:pStyle w:val="117"/>
              <w:ind w:firstLine="482"/>
              <w:rPr>
                <w:b/>
              </w:rPr>
            </w:pPr>
            <w:r>
              <w:rPr>
                <w:rFonts w:hint="eastAsia"/>
                <w:b/>
              </w:rPr>
              <w:t>（2）泡沫消防系统</w:t>
            </w:r>
          </w:p>
          <w:p w14:paraId="60D34A1F">
            <w:pPr>
              <w:pStyle w:val="117"/>
              <w:ind w:firstLine="480"/>
            </w:pPr>
            <w:r>
              <w:rPr>
                <w:rFonts w:hint="eastAsia"/>
                <w:lang w:eastAsia="zh-CN"/>
              </w:rPr>
              <w:t>扩建项目</w:t>
            </w:r>
            <w:r>
              <w:rPr>
                <w:rFonts w:hint="eastAsia"/>
              </w:rPr>
              <w:t>拟新建1座泡沫站，泡沫比例混合装置型号为PHP160/3%。泡沫混合液额定流量：160L/s，泡沫混合液供应压力1.20MPa。主要包括：10m³泡沫液储罐2座、2台泡沫液泵（1开1备）、2台比例混合器（1用1备）、2台平衡阀（1用1备）及配套控制系统。</w:t>
            </w:r>
          </w:p>
          <w:p w14:paraId="2C4FC4BA">
            <w:pPr>
              <w:pStyle w:val="117"/>
              <w:ind w:firstLine="480"/>
            </w:pPr>
            <w:r>
              <w:rPr>
                <w:rFonts w:hint="eastAsia"/>
              </w:rPr>
              <w:t>泡沫比例混合器（装置）采用平衡式比例混合装置，备用泡沫液泵选用水轮机驱动。泡沫液储罐采用耐腐蚀材料，考虑储存100%备用量。泡沫液管道采用奥氏体不锈钢管，泡沫混合液管道采用钢管。系统采用3%型泡沫液，并根据保护对象的介质特性，采用抗溶性水成膜泡沫液。泡沫产生器采用立式泡沫产生器</w:t>
            </w:r>
            <w:r>
              <w:t>。</w:t>
            </w:r>
          </w:p>
          <w:p w14:paraId="5D022715">
            <w:pPr>
              <w:pStyle w:val="117"/>
              <w:ind w:firstLine="482"/>
              <w:rPr>
                <w:b/>
              </w:rPr>
            </w:pPr>
            <w:r>
              <w:rPr>
                <w:rFonts w:hint="eastAsia"/>
                <w:b/>
              </w:rPr>
              <w:t>（3）火灾自动报警系统</w:t>
            </w:r>
          </w:p>
          <w:p w14:paraId="11DA59A7">
            <w:pPr>
              <w:pStyle w:val="117"/>
              <w:ind w:firstLine="480"/>
            </w:pPr>
            <w:bookmarkStart w:id="51" w:name="_Toc10223"/>
            <w:bookmarkStart w:id="52" w:name="_Toc11293"/>
            <w:r>
              <w:rPr>
                <w:rFonts w:hint="eastAsia"/>
                <w:lang w:eastAsia="zh-CN"/>
              </w:rPr>
              <w:t>扩建项目</w:t>
            </w:r>
            <w:r>
              <w:rPr>
                <w:rFonts w:hint="eastAsia"/>
              </w:rPr>
              <w:t>火灾自动报警系统依托中民新能源的火灾自动报警系统，在3#机柜间设置火灾报警主机，各单元火灾报警设备均接至3#机柜间，火灾报警主机与中民新能源厂区火灾自动报警系统联网。</w:t>
            </w:r>
          </w:p>
          <w:p w14:paraId="3EFB0E9A">
            <w:pPr>
              <w:pStyle w:val="117"/>
              <w:ind w:firstLine="480"/>
            </w:pPr>
            <w:r>
              <w:rPr>
                <w:rFonts w:hint="eastAsia"/>
              </w:rPr>
              <w:t>厂区火灾自动报警系统组成：由火灾探测器、手动火灾报警按钮、消火栓按钮、火灾声光警报器、消防应急广播、消防专用电话、图形显示屏、火灾报警控制器、消防联动控制器、电源设备等组成。</w:t>
            </w:r>
          </w:p>
          <w:bookmarkEnd w:id="51"/>
          <w:bookmarkEnd w:id="52"/>
          <w:p w14:paraId="5C1E497B">
            <w:pPr>
              <w:pStyle w:val="121"/>
              <w:numPr>
                <w:ilvl w:val="3"/>
                <w:numId w:val="0"/>
              </w:numPr>
              <w:adjustRightInd w:val="0"/>
              <w:snapToGrid w:val="0"/>
              <w:ind w:firstLine="480"/>
            </w:pPr>
            <w:r>
              <w:rPr>
                <w:rFonts w:hint="eastAsia"/>
              </w:rPr>
              <w:t>8、</w:t>
            </w:r>
            <w:r>
              <w:t>防止事故废水泄漏至外环境的防范措施</w:t>
            </w:r>
          </w:p>
          <w:p w14:paraId="7674E5F0">
            <w:pPr>
              <w:pStyle w:val="139"/>
              <w:ind w:firstLine="480"/>
              <w:rPr>
                <w:spacing w:val="-1"/>
                <w:lang w:eastAsia="zh-CN"/>
              </w:rPr>
            </w:pPr>
            <w:r>
              <w:rPr>
                <w:lang w:eastAsia="zh-CN"/>
              </w:rPr>
              <w:t>为了阻断事故泄漏液和消防水进入环境，立足工程配套设施，采取“收→调→输→储→处理”事故泄漏和事故消防水，设置</w:t>
            </w:r>
            <w:r>
              <w:rPr>
                <w:rFonts w:hint="eastAsia"/>
                <w:lang w:eastAsia="zh-CN"/>
              </w:rPr>
              <w:t>“单元-厂区-园区/区域”的环境风险防控体系</w:t>
            </w:r>
            <w:r>
              <w:rPr>
                <w:lang w:eastAsia="zh-CN"/>
              </w:rPr>
              <w:t>防范事故泄漏液和消防污水进入外环境和海域水环境。措施具体如下：</w:t>
            </w:r>
          </w:p>
          <w:p w14:paraId="035DCBB9">
            <w:pPr>
              <w:pStyle w:val="108"/>
              <w:adjustRightInd w:val="0"/>
              <w:snapToGrid w:val="0"/>
              <w:ind w:firstLine="476"/>
              <w:rPr>
                <w:spacing w:val="-1"/>
              </w:rPr>
            </w:pPr>
            <w:r>
              <w:rPr>
                <w:rFonts w:hint="eastAsia" w:ascii="宋体" w:hAnsi="宋体" w:cs="宋体"/>
                <w:spacing w:val="-1"/>
              </w:rPr>
              <w:t>Ⅰ</w:t>
            </w:r>
            <w:r>
              <w:rPr>
                <w:spacing w:val="-1"/>
              </w:rPr>
              <w:t>、</w:t>
            </w:r>
            <w:r>
              <w:rPr>
                <w:rFonts w:hint="eastAsia"/>
                <w:spacing w:val="-1"/>
              </w:rPr>
              <w:t>单元</w:t>
            </w:r>
          </w:p>
          <w:p w14:paraId="071943D1">
            <w:pPr>
              <w:pStyle w:val="108"/>
              <w:adjustRightInd w:val="0"/>
              <w:snapToGrid w:val="0"/>
              <w:ind w:firstLine="480"/>
              <w:rPr>
                <w:spacing w:val="-1"/>
              </w:rPr>
            </w:pPr>
            <w:r>
              <w:rPr>
                <w:rFonts w:hint="eastAsia"/>
              </w:rPr>
              <w:t>单元环境风险</w:t>
            </w:r>
            <w:r>
              <w:rPr>
                <w:spacing w:val="-1"/>
              </w:rPr>
              <w:t>防控措施</w:t>
            </w:r>
            <w:r>
              <w:rPr>
                <w:rFonts w:hint="eastAsia"/>
                <w:spacing w:val="-1"/>
              </w:rPr>
              <w:t>：</w:t>
            </w:r>
            <w:r>
              <w:rPr>
                <w:spacing w:val="-1"/>
              </w:rPr>
              <w:t>设置罐区围堰</w:t>
            </w:r>
            <w:r>
              <w:rPr>
                <w:rFonts w:hint="eastAsia"/>
                <w:spacing w:val="-1"/>
              </w:rPr>
              <w:t>，</w:t>
            </w:r>
            <w:r>
              <w:rPr>
                <w:spacing w:val="-1"/>
              </w:rPr>
              <w:t>四周设置导流系统，构筑生产过程中环境安全的第一层防控网，将泄漏物料切换到处理系统，防止污染雨水和轻微事故泄漏造成的环境污染。项目各储罐区均设置围堰一旦发生泄漏，可将泄漏物料暂时储存在围堰内或导入导排沟，可有效防止泄漏物料漫流出罐区。</w:t>
            </w:r>
          </w:p>
          <w:p w14:paraId="2BF62816">
            <w:pPr>
              <w:pStyle w:val="108"/>
              <w:adjustRightInd w:val="0"/>
              <w:snapToGrid w:val="0"/>
              <w:ind w:firstLine="476"/>
              <w:rPr>
                <w:spacing w:val="-1"/>
              </w:rPr>
            </w:pPr>
            <w:r>
              <w:rPr>
                <w:rFonts w:hint="eastAsia" w:ascii="宋体" w:hAnsi="宋体" w:cs="宋体"/>
                <w:spacing w:val="-1"/>
              </w:rPr>
              <w:t>Ⅱ</w:t>
            </w:r>
            <w:r>
              <w:rPr>
                <w:spacing w:val="-1"/>
              </w:rPr>
              <w:t>、</w:t>
            </w:r>
            <w:r>
              <w:rPr>
                <w:rFonts w:hint="eastAsia"/>
                <w:spacing w:val="-1"/>
              </w:rPr>
              <w:t>厂区</w:t>
            </w:r>
          </w:p>
          <w:p w14:paraId="7B3CE4EA">
            <w:pPr>
              <w:ind w:firstLine="480"/>
              <w:rPr>
                <w:spacing w:val="-1"/>
              </w:rPr>
            </w:pPr>
            <w:r>
              <w:rPr>
                <w:rFonts w:hint="eastAsia"/>
                <w:bCs/>
                <w:kern w:val="0"/>
                <w:szCs w:val="28"/>
              </w:rPr>
              <w:t>厂区环境风险</w:t>
            </w:r>
            <w:r>
              <w:rPr>
                <w:bCs/>
                <w:kern w:val="0"/>
                <w:szCs w:val="28"/>
              </w:rPr>
              <w:t>防控措施</w:t>
            </w:r>
            <w:r>
              <w:rPr>
                <w:rFonts w:hint="eastAsia"/>
                <w:bCs/>
                <w:kern w:val="0"/>
                <w:szCs w:val="28"/>
              </w:rPr>
              <w:t>：</w:t>
            </w:r>
            <w:r>
              <w:rPr>
                <w:rFonts w:hint="eastAsia"/>
                <w:spacing w:val="-1"/>
              </w:rPr>
              <w:t>码头罐区已建</w:t>
            </w:r>
            <w:r>
              <w:rPr>
                <w:spacing w:val="-1"/>
              </w:rPr>
              <w:t>1座</w:t>
            </w:r>
            <w:r>
              <w:rPr>
                <w:rFonts w:hint="eastAsia"/>
                <w:spacing w:val="-1"/>
              </w:rPr>
              <w:t>15000</w:t>
            </w:r>
            <w:r>
              <w:rPr>
                <w:spacing w:val="-1"/>
              </w:rPr>
              <w:t>m³的</w:t>
            </w:r>
            <w:r>
              <w:rPr>
                <w:rFonts w:hint="eastAsia"/>
                <w:spacing w:val="-1"/>
              </w:rPr>
              <w:t>事故应急池</w:t>
            </w:r>
            <w:r>
              <w:rPr>
                <w:spacing w:val="-1"/>
              </w:rPr>
              <w:t>作为事故水收集池，</w:t>
            </w:r>
            <w:r>
              <w:rPr>
                <w:rFonts w:hint="eastAsia"/>
                <w:spacing w:val="-1"/>
              </w:rPr>
              <w:t>初期雨水池（1500m³</w:t>
            </w:r>
            <w:r>
              <w:rPr>
                <w:spacing w:val="-1"/>
              </w:rPr>
              <w:t>）及相应的切换装置。一旦厂区内发生污染事故，可立即启动切换装置，将雨水和污水引入3#消防事故应急池，切断污染物与外部的通道，将污染控制在企业内，</w:t>
            </w:r>
            <w:r>
              <w:rPr>
                <w:rFonts w:hint="eastAsia"/>
                <w:spacing w:val="-1"/>
              </w:rPr>
              <w:t>根据《福州中民新能源有限公司突发环境事件风险评估报告》当事故废水超出15000m³时，启动提升泵，事故废水可由管道输送至下游中景石化科技园26600m³事故缓冲池内。</w:t>
            </w:r>
            <w:r>
              <w:rPr>
                <w:spacing w:val="-1"/>
              </w:rPr>
              <w:t>防止重大事故泄漏物料和污染消防水造成的环境污染</w:t>
            </w:r>
            <w:r>
              <w:rPr>
                <w:rFonts w:hint="eastAsia"/>
                <w:spacing w:val="-1"/>
              </w:rPr>
              <w:t>。</w:t>
            </w:r>
          </w:p>
          <w:p w14:paraId="4F57BDBA">
            <w:pPr>
              <w:ind w:firstLine="476"/>
              <w:rPr>
                <w:spacing w:val="-1"/>
              </w:rPr>
            </w:pPr>
            <w:r>
              <w:rPr>
                <w:spacing w:val="-1"/>
              </w:rPr>
              <w:t>初期雨水池切换阀门日常保持常开状态，事故应急池切换阀门日常保持常关状态。初期雨水收集完毕，关闭初期雨水池切换阀门，清净中后期雨水由雨水总排口排出。雨后打开初期雨水池切换阀门，以备收集下次初期雨水。发生火灾事故时，</w:t>
            </w:r>
            <w:r>
              <w:rPr>
                <w:rFonts w:hint="eastAsia"/>
                <w:spacing w:val="-1"/>
              </w:rPr>
              <w:t>停止雨水监控池外排雨水泵</w:t>
            </w:r>
            <w:r>
              <w:rPr>
                <w:spacing w:val="-1"/>
              </w:rPr>
              <w:t>，打开事故应急池切换阀门，</w:t>
            </w:r>
            <w:r>
              <w:rPr>
                <w:rFonts w:hint="eastAsia"/>
                <w:spacing w:val="-1"/>
              </w:rPr>
              <w:t>将</w:t>
            </w:r>
            <w:r>
              <w:rPr>
                <w:rFonts w:hint="eastAsia"/>
              </w:rPr>
              <w:t>收集泄漏物、洗消水和被污染的雨水等事故废水</w:t>
            </w:r>
            <w:r>
              <w:rPr>
                <w:spacing w:val="-1"/>
              </w:rPr>
              <w:t>收集至事故应急池。项目初期雨水池和事故应急池的废水设置相应的事故污水提升泵</w:t>
            </w:r>
            <w:r>
              <w:rPr>
                <w:rFonts w:hint="eastAsia"/>
                <w:spacing w:val="-1"/>
              </w:rPr>
              <w:t>，</w:t>
            </w:r>
            <w:r>
              <w:rPr>
                <w:rFonts w:hint="eastAsia"/>
              </w:rPr>
              <w:t>当</w:t>
            </w:r>
            <w:r>
              <w:t>事故应急池装满事故污水时，</w:t>
            </w:r>
            <w:r>
              <w:rPr>
                <w:spacing w:val="-1"/>
              </w:rPr>
              <w:t>可及时将事故废水由泵提升至</w:t>
            </w:r>
            <w:r>
              <w:rPr>
                <w:rFonts w:hint="eastAsia"/>
                <w:spacing w:val="-1"/>
              </w:rPr>
              <w:t>中景石化科技园26600m³事故缓冲池内</w:t>
            </w:r>
            <w:r>
              <w:rPr>
                <w:spacing w:val="-1"/>
              </w:rPr>
              <w:t>。</w:t>
            </w:r>
          </w:p>
          <w:p w14:paraId="15A1AD3B">
            <w:pPr>
              <w:pStyle w:val="108"/>
              <w:adjustRightInd w:val="0"/>
              <w:snapToGrid w:val="0"/>
              <w:ind w:firstLine="476"/>
            </w:pPr>
            <w:r>
              <w:rPr>
                <w:rFonts w:hint="eastAsia"/>
                <w:spacing w:val="-1"/>
              </w:rPr>
              <w:t>事故应急池为</w:t>
            </w:r>
            <w:r>
              <w:t>自流式事故应急池，确保</w:t>
            </w:r>
            <w:r>
              <w:rPr>
                <w:rFonts w:hint="eastAsia"/>
              </w:rPr>
              <w:t>码头罐区的收集泄漏物、洗消水和被污染的雨水等事故废水能够</w:t>
            </w:r>
            <w:r>
              <w:t>全收集、全处理。</w:t>
            </w:r>
            <w:r>
              <w:rPr>
                <w:szCs w:val="24"/>
              </w:rPr>
              <w:t>事故废水专用架空管道采用无缝钢管，管道焊接焊缝按100%进行射线探伤检验，以保证管道的严密性，严防跑、冒、滴、漏事故</w:t>
            </w:r>
            <w:r>
              <w:rPr>
                <w:rFonts w:hint="eastAsia"/>
              </w:rPr>
              <w:t>，确保事故废水不进入外环境。</w:t>
            </w:r>
          </w:p>
          <w:p w14:paraId="7AC39435">
            <w:pPr>
              <w:pStyle w:val="108"/>
              <w:adjustRightInd w:val="0"/>
              <w:snapToGrid w:val="0"/>
              <w:ind w:left="480" w:leftChars="200" w:firstLine="0" w:firstLineChars="0"/>
              <w:rPr>
                <w:spacing w:val="-1"/>
              </w:rPr>
            </w:pPr>
            <w:r>
              <w:rPr>
                <w:rFonts w:hint="eastAsia" w:ascii="宋体" w:hAnsi="宋体" w:cs="宋体"/>
                <w:spacing w:val="-1"/>
              </w:rPr>
              <w:t>Ⅲ</w:t>
            </w:r>
            <w:r>
              <w:rPr>
                <w:spacing w:val="-1"/>
              </w:rPr>
              <w:t>、</w:t>
            </w:r>
            <w:r>
              <w:rPr>
                <w:rFonts w:hint="eastAsia"/>
                <w:spacing w:val="-1"/>
              </w:rPr>
              <w:t>园区/区域</w:t>
            </w:r>
          </w:p>
          <w:p w14:paraId="0D46BE8D">
            <w:pPr>
              <w:ind w:firstLine="476"/>
              <w:rPr>
                <w:spacing w:val="-1"/>
              </w:rPr>
            </w:pPr>
            <w:r>
              <w:rPr>
                <w:rFonts w:hint="eastAsia"/>
                <w:spacing w:val="-1"/>
              </w:rPr>
              <w:t>园区/区域环境</w:t>
            </w:r>
            <w:r>
              <w:rPr>
                <w:rFonts w:hint="eastAsia"/>
              </w:rPr>
              <w:t>风险</w:t>
            </w:r>
            <w:r>
              <w:rPr>
                <w:spacing w:val="-1"/>
              </w:rPr>
              <w:t>防控措施</w:t>
            </w:r>
            <w:r>
              <w:rPr>
                <w:rFonts w:hint="eastAsia"/>
                <w:spacing w:val="-1"/>
              </w:rPr>
              <w:t>：</w:t>
            </w:r>
          </w:p>
          <w:p w14:paraId="7F8CEC30">
            <w:pPr>
              <w:ind w:firstLine="476"/>
              <w:rPr>
                <w:spacing w:val="-1"/>
              </w:rPr>
            </w:pPr>
            <w:r>
              <w:rPr>
                <w:rFonts w:hint="eastAsia"/>
                <w:spacing w:val="-1"/>
              </w:rPr>
              <w:t>在园区污水处理厂终端建设终端事故缓冲池，作为事故状态下的储存与调控手段，将污染物控制在区内，防止重大事故泄漏物料和污染消防水造成的环境污染。</w:t>
            </w:r>
          </w:p>
          <w:p w14:paraId="31AE4BF8">
            <w:pPr>
              <w:ind w:firstLine="480"/>
              <w:rPr>
                <w:snapToGrid w:val="0"/>
                <w:kern w:val="0"/>
              </w:rPr>
            </w:pPr>
            <w:r>
              <w:rPr>
                <w:snapToGrid w:val="0"/>
                <w:kern w:val="0"/>
              </w:rPr>
              <w:t>为</w:t>
            </w:r>
            <w:r>
              <w:rPr>
                <w:rFonts w:hint="eastAsia"/>
                <w:snapToGrid w:val="0"/>
                <w:kern w:val="0"/>
                <w:lang w:eastAsia="zh-CN"/>
              </w:rPr>
              <w:t>防患于未然</w:t>
            </w:r>
            <w:r>
              <w:rPr>
                <w:snapToGrid w:val="0"/>
                <w:kern w:val="0"/>
              </w:rPr>
              <w:t>，将可能发生的环境风险事故的影响</w:t>
            </w:r>
            <w:r>
              <w:rPr>
                <w:rFonts w:hint="eastAsia"/>
                <w:snapToGrid w:val="0"/>
                <w:kern w:val="0"/>
              </w:rPr>
              <w:t>降到最低</w:t>
            </w:r>
            <w:r>
              <w:rPr>
                <w:snapToGrid w:val="0"/>
                <w:kern w:val="0"/>
              </w:rPr>
              <w:t>，以江阴工业园区的公共事故应急池、海堤和排洪闸作为</w:t>
            </w:r>
            <w:r>
              <w:rPr>
                <w:rFonts w:hint="eastAsia"/>
                <w:spacing w:val="-1"/>
              </w:rPr>
              <w:t>园区/区域环境</w:t>
            </w:r>
            <w:r>
              <w:rPr>
                <w:rFonts w:hint="eastAsia"/>
              </w:rPr>
              <w:t>风险</w:t>
            </w:r>
            <w:r>
              <w:rPr>
                <w:spacing w:val="-1"/>
              </w:rPr>
              <w:t>防控措施</w:t>
            </w:r>
            <w:r>
              <w:rPr>
                <w:snapToGrid w:val="0"/>
                <w:kern w:val="0"/>
              </w:rPr>
              <w:t>，防止事故废水流入兴化湾。</w:t>
            </w:r>
          </w:p>
          <w:p w14:paraId="147C55E0">
            <w:pPr>
              <w:ind w:firstLine="480"/>
              <w:rPr>
                <w:snapToGrid w:val="0"/>
                <w:kern w:val="0"/>
                <w:lang w:bidi="ar"/>
              </w:rPr>
            </w:pPr>
            <w:r>
              <w:rPr>
                <w:snapToGrid w:val="0"/>
                <w:kern w:val="0"/>
                <w:lang w:bidi="ar"/>
              </w:rPr>
              <w:t>园区已建有1个5万m³公共应急池及其切换装置、管道，</w:t>
            </w:r>
            <w:r>
              <w:rPr>
                <w:rFonts w:hint="eastAsia"/>
                <w:snapToGrid w:val="0"/>
                <w:kern w:val="0"/>
                <w:lang w:bidi="ar"/>
              </w:rPr>
              <w:t>建设单位</w:t>
            </w:r>
            <w:r>
              <w:rPr>
                <w:rFonts w:hint="eastAsia"/>
                <w:spacing w:val="-1"/>
              </w:rPr>
              <w:t>15000m³</w:t>
            </w:r>
            <w:r>
              <w:rPr>
                <w:rFonts w:hint="eastAsia"/>
                <w:snapToGrid w:val="0"/>
                <w:kern w:val="0"/>
                <w:lang w:bidi="ar"/>
              </w:rPr>
              <w:t>事故应急池与</w:t>
            </w:r>
            <w:bookmarkStart w:id="53" w:name="OLE_LINK11"/>
            <w:bookmarkStart w:id="54" w:name="OLE_LINK12"/>
            <w:r>
              <w:rPr>
                <w:rFonts w:hint="eastAsia"/>
                <w:spacing w:val="-1"/>
              </w:rPr>
              <w:t>中景石化科技园</w:t>
            </w:r>
            <w:bookmarkStart w:id="55" w:name="OLE_LINK6"/>
            <w:bookmarkStart w:id="56" w:name="OLE_LINK7"/>
            <w:r>
              <w:rPr>
                <w:rFonts w:hint="eastAsia"/>
                <w:spacing w:val="-1"/>
              </w:rPr>
              <w:t>26600m³事故缓冲池</w:t>
            </w:r>
            <w:bookmarkEnd w:id="53"/>
            <w:bookmarkEnd w:id="54"/>
            <w:bookmarkEnd w:id="55"/>
            <w:bookmarkEnd w:id="56"/>
            <w:r>
              <w:rPr>
                <w:rFonts w:hint="eastAsia"/>
                <w:snapToGrid w:val="0"/>
                <w:kern w:val="0"/>
                <w:lang w:bidi="ar"/>
              </w:rPr>
              <w:t>实现相互连通，再通过其已建的厂外事故水管线与园区5万m³公共事故应急池建立连通，确保事故废水不排入外环境</w:t>
            </w:r>
            <w:r>
              <w:rPr>
                <w:snapToGrid w:val="0"/>
                <w:kern w:val="0"/>
                <w:lang w:bidi="ar"/>
              </w:rPr>
              <w:t>。</w:t>
            </w:r>
          </w:p>
          <w:p w14:paraId="2789DD9D">
            <w:pPr>
              <w:pStyle w:val="162"/>
              <w:ind w:firstLine="480"/>
              <w:rPr>
                <w:kern w:val="0"/>
                <w:szCs w:val="21"/>
              </w:rPr>
            </w:pPr>
            <w:r>
              <w:rPr>
                <w:bCs/>
                <w:szCs w:val="24"/>
              </w:rPr>
              <w:t>同时，江阴工业集中区在西侧和南侧靠海一侧均设置了防海堤和排洪闸门（新西河水闸），新西河水闸排洪口高程为2.47m，与平均高潮位一致，必要时可关闭排洪闸门阻断事故废水的入海通道，将海堤内侧的滞洪区和排洪闸门作为区域外围防控措施</w:t>
            </w:r>
            <w:r>
              <w:rPr>
                <w:kern w:val="0"/>
                <w:szCs w:val="21"/>
              </w:rPr>
              <w:t>。</w:t>
            </w:r>
          </w:p>
          <w:p w14:paraId="6648E19F">
            <w:pPr>
              <w:pStyle w:val="162"/>
              <w:ind w:firstLine="480"/>
              <w:rPr>
                <w:kern w:val="0"/>
                <w:szCs w:val="21"/>
              </w:rPr>
            </w:pPr>
            <w:r>
              <w:rPr>
                <w:rFonts w:hint="eastAsia"/>
              </w:rPr>
              <w:t>“单元-厂区-园区/区域”的环境风险防控体系</w:t>
            </w:r>
            <w:r>
              <w:t>示意图见下图。</w:t>
            </w:r>
          </w:p>
          <w:p w14:paraId="259DC8C1">
            <w:pPr>
              <w:ind w:firstLine="482"/>
              <w:jc w:val="center"/>
            </w:pPr>
            <w:r>
              <w:rPr>
                <w:rFonts w:hint="eastAsia"/>
                <w:b/>
              </w:rPr>
              <w:t>***（略，涉及商业秘密）</w:t>
            </w:r>
          </w:p>
          <w:p w14:paraId="5F91DA38">
            <w:pPr>
              <w:pStyle w:val="117"/>
              <w:ind w:firstLine="482"/>
              <w:jc w:val="center"/>
              <w:rPr>
                <w:b/>
                <w:kern w:val="0"/>
                <w:lang w:val="en-US" w:eastAsia="zh-CN"/>
              </w:rPr>
            </w:pPr>
            <w:r>
              <w:rPr>
                <w:b/>
                <w:kern w:val="0"/>
                <w:lang w:val="en-US" w:eastAsia="zh-CN"/>
              </w:rPr>
              <w:t>图</w:t>
            </w:r>
            <w:r>
              <w:rPr>
                <w:rFonts w:hint="eastAsia"/>
                <w:b/>
                <w:kern w:val="0"/>
                <w:lang w:val="en-US" w:eastAsia="zh-CN"/>
              </w:rPr>
              <w:t>7.4</w:t>
            </w:r>
            <w:r>
              <w:rPr>
                <w:b/>
                <w:kern w:val="0"/>
                <w:lang w:val="en-US" w:eastAsia="zh-CN"/>
              </w:rPr>
              <w:t>-</w:t>
            </w:r>
            <w:r>
              <w:rPr>
                <w:rFonts w:hint="eastAsia"/>
                <w:b/>
                <w:kern w:val="0"/>
                <w:lang w:val="en-US" w:eastAsia="zh-CN"/>
              </w:rPr>
              <w:t>2</w:t>
            </w:r>
            <w:r>
              <w:rPr>
                <w:b/>
                <w:kern w:val="0"/>
                <w:lang w:val="en-US" w:eastAsia="zh-CN"/>
              </w:rPr>
              <w:t>项目</w:t>
            </w:r>
            <w:r>
              <w:rPr>
                <w:rFonts w:hint="eastAsia"/>
                <w:b/>
                <w:kern w:val="0"/>
                <w:lang w:val="en-US" w:eastAsia="zh-CN"/>
              </w:rPr>
              <w:t>“单元-厂区-园区/区域”的环境风险防控体系</w:t>
            </w:r>
            <w:r>
              <w:rPr>
                <w:b/>
                <w:kern w:val="0"/>
                <w:lang w:val="en-US" w:eastAsia="zh-CN"/>
              </w:rPr>
              <w:t>图</w:t>
            </w:r>
          </w:p>
          <w:p w14:paraId="24C116C1">
            <w:pPr>
              <w:pStyle w:val="121"/>
              <w:numPr>
                <w:ilvl w:val="3"/>
                <w:numId w:val="0"/>
              </w:numPr>
              <w:adjustRightInd w:val="0"/>
              <w:snapToGrid w:val="0"/>
              <w:ind w:firstLine="480"/>
            </w:pPr>
            <w:r>
              <w:rPr>
                <w:rFonts w:hint="eastAsia"/>
              </w:rPr>
              <w:t>9、事故废水收集、切换、导排措施</w:t>
            </w:r>
          </w:p>
          <w:p w14:paraId="7BF4FA15">
            <w:pPr>
              <w:pStyle w:val="162"/>
              <w:ind w:firstLine="480"/>
              <w:rPr>
                <w:kern w:val="0"/>
                <w:szCs w:val="21"/>
              </w:rPr>
            </w:pPr>
            <w:r>
              <w:rPr>
                <w:rFonts w:hint="eastAsia"/>
                <w:kern w:val="0"/>
                <w:szCs w:val="21"/>
              </w:rPr>
              <w:t>①扩建项目罐组发生泄漏，泄漏液经雨水管网自流至事故应急池，收集后委托其他单位处理。</w:t>
            </w:r>
          </w:p>
          <w:p w14:paraId="084CAC32">
            <w:pPr>
              <w:pStyle w:val="162"/>
              <w:ind w:firstLine="480"/>
              <w:rPr>
                <w:kern w:val="0"/>
                <w:szCs w:val="21"/>
              </w:rPr>
            </w:pPr>
            <w:r>
              <w:rPr>
                <w:rFonts w:hint="eastAsia"/>
                <w:kern w:val="0"/>
                <w:szCs w:val="21"/>
              </w:rPr>
              <w:t>②当扩建项目罐组发生火灾、爆炸事故时，首先</w:t>
            </w:r>
            <w:r>
              <w:rPr>
                <w:spacing w:val="-1"/>
              </w:rPr>
              <w:t>关闭雨水总排口切换阀门和初期雨水切换阀门，打开事故应急池</w:t>
            </w:r>
            <w:r>
              <w:rPr>
                <w:rFonts w:hint="eastAsia"/>
                <w:spacing w:val="-1"/>
              </w:rPr>
              <w:t>和</w:t>
            </w:r>
            <w:r>
              <w:rPr>
                <w:spacing w:val="-1"/>
              </w:rPr>
              <w:t>切换阀门</w:t>
            </w:r>
            <w:r>
              <w:rPr>
                <w:rFonts w:hint="eastAsia"/>
                <w:kern w:val="0"/>
                <w:szCs w:val="21"/>
              </w:rPr>
              <w:t>，扩建项目码头罐区</w:t>
            </w:r>
            <w:r>
              <w:rPr>
                <w:rFonts w:hint="eastAsia"/>
              </w:rPr>
              <w:t>收集泄漏物、洗消水和被污染的雨水等事故废水</w:t>
            </w:r>
            <w:r>
              <w:rPr>
                <w:rFonts w:hint="eastAsia"/>
                <w:kern w:val="0"/>
                <w:szCs w:val="21"/>
              </w:rPr>
              <w:t>经过雨水管网进入中民新能源事故应急池。报警设施应具备现场和远程报警的功能，也可考虑与紧急切断阀、排水闸门等设施进行联动。事故结束后用泵分批送至中景石化公司的污水处理站处理。做到事故状态下收集泄</w:t>
            </w:r>
            <w:r>
              <w:rPr>
                <w:rFonts w:hint="eastAsia"/>
              </w:rPr>
              <w:t>漏物、洗消水和被污染的雨水</w:t>
            </w:r>
            <w:r>
              <w:rPr>
                <w:rFonts w:hint="eastAsia"/>
                <w:kern w:val="0"/>
                <w:szCs w:val="21"/>
              </w:rPr>
              <w:t>不外排，泄漏物料妥善处理，事故废水处理达标后才允许外排。综上所述，物料泄漏不会对周围水体造成二次污染。</w:t>
            </w:r>
          </w:p>
          <w:p w14:paraId="3810D752">
            <w:pPr>
              <w:pStyle w:val="121"/>
              <w:numPr>
                <w:ilvl w:val="3"/>
                <w:numId w:val="0"/>
              </w:numPr>
              <w:adjustRightInd w:val="0"/>
              <w:snapToGrid w:val="0"/>
              <w:ind w:firstLine="480"/>
            </w:pPr>
            <w:r>
              <w:rPr>
                <w:rFonts w:hint="eastAsia"/>
              </w:rPr>
              <w:t>10、</w:t>
            </w:r>
            <w:r>
              <w:t>事故应急池容量计算</w:t>
            </w:r>
          </w:p>
          <w:p w14:paraId="2CCCDF4B">
            <w:pPr>
              <w:pStyle w:val="162"/>
              <w:ind w:firstLine="480"/>
              <w:rPr>
                <w:kern w:val="0"/>
                <w:szCs w:val="21"/>
              </w:rPr>
            </w:pPr>
            <w:r>
              <w:rPr>
                <w:rFonts w:hint="eastAsia"/>
                <w:kern w:val="0"/>
                <w:szCs w:val="21"/>
              </w:rPr>
              <w:t>在发生火灾、爆炸、泄漏事故时，除了对周围环境空气产生影响外，事故污水也会对周围的环境水体造成风险影响，可引发一系列的次生水环境风险事故。按性质的不同，事故污水可以分为消防污水和被污染的清净下水。</w:t>
            </w:r>
          </w:p>
          <w:p w14:paraId="17A339D7">
            <w:pPr>
              <w:pStyle w:val="162"/>
              <w:ind w:firstLine="480"/>
              <w:rPr>
                <w:kern w:val="0"/>
                <w:szCs w:val="21"/>
              </w:rPr>
            </w:pPr>
            <w:r>
              <w:rPr>
                <w:rFonts w:hint="eastAsia"/>
                <w:kern w:val="0"/>
                <w:szCs w:val="21"/>
              </w:rPr>
              <w:t>根据《事故状态下水体污染的预防与控制规范》（Q/SY08190-2019）中的相关规定设置。事故应急池主要用于区内发生事故或火灾时，控制、收集和存放污染事故水（包括污染雨水）及污染消防水。</w:t>
            </w:r>
          </w:p>
          <w:p w14:paraId="45D62BB4">
            <w:pPr>
              <w:pStyle w:val="162"/>
              <w:ind w:firstLine="480"/>
              <w:rPr>
                <w:kern w:val="0"/>
                <w:szCs w:val="21"/>
              </w:rPr>
            </w:pPr>
            <w:r>
              <w:rPr>
                <w:rFonts w:hint="eastAsia"/>
                <w:kern w:val="0"/>
                <w:szCs w:val="21"/>
              </w:rPr>
              <w:t>事故储存设施总有效容积计算公式如下：</w:t>
            </w:r>
          </w:p>
          <w:p w14:paraId="56B9D605">
            <w:pPr>
              <w:ind w:firstLine="480"/>
              <w:jc w:val="center"/>
            </w:pPr>
            <w:r>
              <w:t>V</w:t>
            </w:r>
            <w:r>
              <w:rPr>
                <w:vertAlign w:val="subscript"/>
              </w:rPr>
              <w:t>总</w:t>
            </w:r>
            <w:r>
              <w:t>=（V</w:t>
            </w:r>
            <w:r>
              <w:rPr>
                <w:vertAlign w:val="subscript"/>
              </w:rPr>
              <w:t>1</w:t>
            </w:r>
            <w:r>
              <w:t>+V</w:t>
            </w:r>
            <w:r>
              <w:rPr>
                <w:vertAlign w:val="subscript"/>
              </w:rPr>
              <w:t>2</w:t>
            </w:r>
            <w:r>
              <w:t>-V</w:t>
            </w:r>
            <w:r>
              <w:rPr>
                <w:vertAlign w:val="subscript"/>
              </w:rPr>
              <w:t>3</w:t>
            </w:r>
            <w:r>
              <w:t>）</w:t>
            </w:r>
            <w:r>
              <w:rPr>
                <w:rFonts w:hint="eastAsia"/>
                <w:vertAlign w:val="subscript"/>
              </w:rPr>
              <w:t>max</w:t>
            </w:r>
            <w:r>
              <w:t>+V</w:t>
            </w:r>
            <w:r>
              <w:rPr>
                <w:vertAlign w:val="subscript"/>
              </w:rPr>
              <w:t>4</w:t>
            </w:r>
            <w:r>
              <w:t>+V</w:t>
            </w:r>
            <w:r>
              <w:rPr>
                <w:vertAlign w:val="subscript"/>
              </w:rPr>
              <w:t>5</w:t>
            </w:r>
          </w:p>
          <w:p w14:paraId="1D00A3E9">
            <w:pPr>
              <w:ind w:firstLine="480"/>
            </w:pPr>
            <w:r>
              <w:t>式中：</w:t>
            </w:r>
          </w:p>
          <w:p w14:paraId="6D80B191">
            <w:pPr>
              <w:ind w:firstLine="480"/>
            </w:pPr>
            <w:r>
              <w:rPr>
                <w:i/>
              </w:rPr>
              <w:t>V</w:t>
            </w:r>
            <w:r>
              <w:rPr>
                <w:i/>
                <w:vertAlign w:val="subscript"/>
              </w:rPr>
              <w:t>1</w:t>
            </w:r>
            <w:r>
              <w:t>——</w:t>
            </w:r>
            <w:r>
              <w:rPr>
                <w:rFonts w:hint="eastAsia"/>
              </w:rPr>
              <w:t>收集系统范围内发生事故的物料量</w:t>
            </w:r>
            <w:r>
              <w:t>。</w:t>
            </w:r>
          </w:p>
          <w:p w14:paraId="05D2F285">
            <w:pPr>
              <w:ind w:firstLine="480"/>
            </w:pPr>
            <w:bookmarkStart w:id="57" w:name="_Toc167270172"/>
            <w:bookmarkStart w:id="58" w:name="_Toc167262129"/>
            <w:bookmarkStart w:id="59" w:name="_Toc167864354"/>
            <w:r>
              <w:rPr>
                <w:i/>
              </w:rPr>
              <w:t>V</w:t>
            </w:r>
            <w:r>
              <w:rPr>
                <w:i/>
                <w:vertAlign w:val="subscript"/>
              </w:rPr>
              <w:t>2</w:t>
            </w:r>
            <w:r>
              <w:t>——发生事故的装置的消防水量</w:t>
            </w:r>
            <w:bookmarkEnd w:id="57"/>
            <w:bookmarkEnd w:id="58"/>
            <w:bookmarkEnd w:id="59"/>
            <w:r>
              <w:t>。</w:t>
            </w:r>
          </w:p>
          <w:p w14:paraId="268DD861">
            <w:pPr>
              <w:ind w:firstLine="480"/>
            </w:pPr>
            <w:r>
              <w:rPr>
                <w:i/>
              </w:rPr>
              <w:t>V</w:t>
            </w:r>
            <w:r>
              <w:rPr>
                <w:i/>
                <w:vertAlign w:val="subscript"/>
              </w:rPr>
              <w:t>3</w:t>
            </w:r>
            <w:r>
              <w:t>——发生事故时可以转输到其他储存或处理设施的物料量。</w:t>
            </w:r>
          </w:p>
          <w:p w14:paraId="55396915">
            <w:pPr>
              <w:ind w:firstLine="480"/>
            </w:pPr>
            <w:r>
              <w:rPr>
                <w:i/>
              </w:rPr>
              <w:t>V</w:t>
            </w:r>
            <w:r>
              <w:rPr>
                <w:i/>
                <w:vertAlign w:val="subscript"/>
              </w:rPr>
              <w:t>4</w:t>
            </w:r>
            <w:r>
              <w:t>——发生事故时仍必须进入该收集系统的生产废水量。</w:t>
            </w:r>
          </w:p>
          <w:p w14:paraId="10288D23">
            <w:pPr>
              <w:ind w:firstLine="480"/>
            </w:pPr>
            <w:r>
              <w:rPr>
                <w:i/>
              </w:rPr>
              <w:t>V</w:t>
            </w:r>
            <w:r>
              <w:rPr>
                <w:i/>
                <w:vertAlign w:val="subscript"/>
              </w:rPr>
              <w:t>5</w:t>
            </w:r>
            <w:r>
              <w:t>——发生事故时可能进入该收集系统的降雨量。</w:t>
            </w:r>
          </w:p>
          <w:p w14:paraId="1FD9C58D">
            <w:pPr>
              <w:ind w:firstLine="480"/>
            </w:pPr>
            <w:r>
              <w:t>（1）物料量</w:t>
            </w:r>
          </w:p>
          <w:p w14:paraId="0C73162E">
            <w:pPr>
              <w:ind w:firstLine="480"/>
              <w:rPr>
                <w:snapToGrid w:val="0"/>
                <w:kern w:val="0"/>
                <w:szCs w:val="21"/>
              </w:rPr>
            </w:pPr>
            <w:r>
              <w:rPr>
                <w:snapToGrid w:val="0"/>
                <w:kern w:val="0"/>
                <w:szCs w:val="21"/>
              </w:rPr>
              <w:t>储罐泄漏物料量一罐组中最大储罐计，见</w:t>
            </w:r>
            <w:r>
              <w:rPr>
                <w:rFonts w:hint="eastAsia"/>
                <w:snapToGrid w:val="0"/>
                <w:kern w:val="0"/>
                <w:szCs w:val="21"/>
              </w:rPr>
              <w:t>表7.4-2</w:t>
            </w:r>
            <w:r>
              <w:rPr>
                <w:snapToGrid w:val="0"/>
                <w:kern w:val="0"/>
                <w:szCs w:val="21"/>
              </w:rPr>
              <w:t>。</w:t>
            </w:r>
          </w:p>
          <w:p w14:paraId="1B1052B8">
            <w:pPr>
              <w:pStyle w:val="10"/>
              <w:spacing w:before="120" w:line="240" w:lineRule="auto"/>
              <w:jc w:val="center"/>
            </w:pPr>
            <w:r>
              <w:t>表</w:t>
            </w:r>
            <w:r>
              <w:rPr>
                <w:rFonts w:hint="eastAsia"/>
              </w:rPr>
              <w:t xml:space="preserve">7.4-2 </w:t>
            </w:r>
            <w:r>
              <w:t>收集系统范围内发生事故的物料量V1</w:t>
            </w:r>
          </w:p>
          <w:p w14:paraId="37C2428F">
            <w:pPr>
              <w:ind w:firstLine="482"/>
              <w:jc w:val="center"/>
            </w:pPr>
            <w:r>
              <w:rPr>
                <w:rFonts w:hint="eastAsia"/>
                <w:b/>
              </w:rPr>
              <w:t>***（略，涉及商业秘密）</w:t>
            </w:r>
          </w:p>
          <w:p w14:paraId="623CE77E">
            <w:pPr>
              <w:ind w:firstLine="480"/>
            </w:pPr>
            <w:r>
              <w:t>（2）消防水量</w:t>
            </w:r>
          </w:p>
          <w:p w14:paraId="3E44819A">
            <w:pPr>
              <w:ind w:firstLine="480"/>
            </w:pPr>
            <w:r>
              <w:rPr>
                <w:rFonts w:hint="eastAsia"/>
              </w:rPr>
              <w:t>根据《国民经济行业分类》（GB/T4754-2017）及其第1号修改单，扩建项目为危险化学品仓储，根据《建设项目环境影响评价分类管理名录》（2021年版），扩建项目为装卸搬运和仓储业，不属于石油化工企业。因此消防历时参照</w:t>
            </w:r>
            <w:r>
              <w:rPr>
                <w:rFonts w:hint="eastAsia"/>
                <w:kern w:val="0"/>
                <w:szCs w:val="21"/>
              </w:rPr>
              <w:t>《事故状态下水体污染的预防与控制规范》（Q/SY08190-2019）</w:t>
            </w:r>
            <w:r>
              <w:rPr>
                <w:rFonts w:hint="eastAsia"/>
              </w:rPr>
              <w:t>进行设计，消防历时按6h计算。同时类比港区内其他码头罐区项目的火灾延续时间，详见表7.4-3。</w:t>
            </w:r>
          </w:p>
          <w:p w14:paraId="692CED3C">
            <w:pPr>
              <w:pStyle w:val="10"/>
              <w:spacing w:before="120" w:line="240" w:lineRule="auto"/>
              <w:jc w:val="center"/>
            </w:pPr>
            <w:r>
              <w:rPr>
                <w:rFonts w:hint="eastAsia"/>
              </w:rPr>
              <w:t>表7.4-3 江阴港区范围内各企业火灾延续时间调查表</w:t>
            </w:r>
          </w:p>
          <w:p w14:paraId="5501B4A7">
            <w:pPr>
              <w:ind w:firstLine="482"/>
              <w:jc w:val="center"/>
            </w:pPr>
            <w:r>
              <w:rPr>
                <w:rFonts w:hint="eastAsia"/>
                <w:b/>
              </w:rPr>
              <w:t>***（略，涉及商业秘密）</w:t>
            </w:r>
          </w:p>
          <w:p w14:paraId="015128FA">
            <w:pPr>
              <w:ind w:firstLine="480"/>
            </w:pPr>
            <w:r>
              <w:rPr>
                <w:rFonts w:hint="eastAsia"/>
              </w:rPr>
              <w:t>综上所述，通过收集设计文件、类比港区同类型企业，确定扩建项目火灾延续时间为6h。</w:t>
            </w:r>
          </w:p>
          <w:p w14:paraId="78C5FD50">
            <w:pPr>
              <w:pStyle w:val="117"/>
              <w:ind w:firstLine="480"/>
              <w:rPr>
                <w:lang w:val="en-US" w:eastAsia="zh-CN"/>
              </w:rPr>
            </w:pPr>
            <w:r>
              <w:rPr>
                <w:lang w:val="en-US" w:eastAsia="zh-CN"/>
              </w:rPr>
              <w:t>（3）发生事故时可以转输到其他储存或处理设施的物料量</w:t>
            </w:r>
          </w:p>
          <w:p w14:paraId="0BC1FE71">
            <w:pPr>
              <w:ind w:firstLine="480"/>
            </w:pPr>
            <w:r>
              <w:t>根据建设单位</w:t>
            </w:r>
            <w:r>
              <w:rPr>
                <w:rFonts w:hint="eastAsia"/>
              </w:rPr>
              <w:t>提供的设计资料及验收资料</w:t>
            </w:r>
            <w:r>
              <w:t>，</w:t>
            </w:r>
            <w:r>
              <w:rPr>
                <w:rFonts w:hint="eastAsia"/>
              </w:rPr>
              <w:t>现有项目依据《石油化工企业设计防火规范》（GB50160-2008）（2018年版）中规定，丙烷储罐为全容罐可不设置防火堤，V3=0m³。</w:t>
            </w:r>
          </w:p>
          <w:p w14:paraId="5931503D">
            <w:pPr>
              <w:ind w:firstLine="480"/>
            </w:pPr>
            <w:r>
              <w:rPr>
                <w:rFonts w:hint="eastAsia"/>
              </w:rPr>
              <w:t>扩建项目</w:t>
            </w:r>
            <w:bookmarkStart w:id="60" w:name="OLE_LINK20"/>
            <w:bookmarkStart w:id="61" w:name="OLE_LINK19"/>
            <w:r>
              <w:rPr>
                <w:rFonts w:hint="eastAsia"/>
              </w:rPr>
              <w:t>化工品罐组一</w:t>
            </w:r>
            <w:bookmarkEnd w:id="60"/>
            <w:bookmarkEnd w:id="61"/>
            <w:r>
              <w:rPr>
                <w:rFonts w:hint="eastAsia"/>
              </w:rPr>
              <w:t>内MA储罐跟BDO储罐共用一个防火堤，面积为5002</w:t>
            </w:r>
            <w:r>
              <w:t>m²，围堰高度为1.</w:t>
            </w:r>
            <w:r>
              <w:rPr>
                <w:rFonts w:hint="eastAsia"/>
              </w:rPr>
              <w:t>2</w:t>
            </w:r>
            <w:r>
              <w:t>m，在围堰中暂存的物料量总计约</w:t>
            </w:r>
            <w:r>
              <w:rPr>
                <w:rFonts w:hint="eastAsia"/>
              </w:rPr>
              <w:t>4080</w:t>
            </w:r>
            <w:r>
              <w:t>m³。</w:t>
            </w:r>
            <w:r>
              <w:rPr>
                <w:rFonts w:hint="eastAsia"/>
              </w:rPr>
              <w:t>化工品罐组二内为THF储罐面积为1020</w:t>
            </w:r>
            <w:r>
              <w:t>m²，围堰高度为</w:t>
            </w:r>
            <w:r>
              <w:rPr>
                <w:rFonts w:hint="eastAsia"/>
              </w:rPr>
              <w:t>1.5</w:t>
            </w:r>
            <w:r>
              <w:t>m，在围堰中暂存的物料量总计约</w:t>
            </w:r>
            <w:r>
              <w:rPr>
                <w:rFonts w:hint="eastAsia"/>
              </w:rPr>
              <w:t>1170</w:t>
            </w:r>
            <w:r>
              <w:t>m³。</w:t>
            </w:r>
          </w:p>
          <w:p w14:paraId="2B1B47C0">
            <w:pPr>
              <w:pStyle w:val="117"/>
              <w:ind w:firstLine="480"/>
              <w:rPr>
                <w:lang w:val="en-US" w:eastAsia="zh-CN"/>
              </w:rPr>
            </w:pPr>
            <w:r>
              <w:rPr>
                <w:lang w:val="en-US" w:eastAsia="zh-CN"/>
              </w:rPr>
              <w:t>（4）其他储存或处理设施的物料量</w:t>
            </w:r>
          </w:p>
          <w:p w14:paraId="2CA81416">
            <w:pPr>
              <w:pStyle w:val="117"/>
              <w:ind w:firstLine="480"/>
              <w:rPr>
                <w:lang w:val="en-US" w:eastAsia="zh-CN"/>
              </w:rPr>
            </w:pPr>
            <w:r>
              <w:rPr>
                <w:lang w:val="en-US" w:eastAsia="zh-CN"/>
              </w:rPr>
              <w:t>发生事故时仍必须进入该收集系统或可以转输到其他系统</w:t>
            </w:r>
            <w:r>
              <w:rPr>
                <w:rFonts w:hint="eastAsia"/>
                <w:lang w:val="en-US" w:eastAsia="zh-CN"/>
              </w:rPr>
              <w:t>的</w:t>
            </w:r>
            <w:r>
              <w:rPr>
                <w:lang w:val="en-US" w:eastAsia="zh-CN"/>
              </w:rPr>
              <w:t>生产废水量均按0m³计。</w:t>
            </w:r>
          </w:p>
          <w:p w14:paraId="06F6DB1E">
            <w:pPr>
              <w:pStyle w:val="117"/>
              <w:ind w:firstLine="480"/>
              <w:rPr>
                <w:lang w:val="en-US" w:eastAsia="zh-CN"/>
              </w:rPr>
            </w:pPr>
            <w:r>
              <w:rPr>
                <w:lang w:val="en-US" w:eastAsia="zh-CN"/>
              </w:rPr>
              <w:t>（5）雨水水量</w:t>
            </w:r>
          </w:p>
          <w:p w14:paraId="2957180A">
            <w:pPr>
              <w:ind w:firstLine="480"/>
              <w:rPr>
                <w:bCs/>
              </w:rPr>
            </w:pPr>
            <w:r>
              <w:rPr>
                <w:bCs/>
              </w:rPr>
              <w:t>进入事故水收集系统的降雨量采用下列公式计算：</w:t>
            </w:r>
          </w:p>
          <w:p w14:paraId="3A7FD94F">
            <w:pPr>
              <w:ind w:firstLine="480"/>
              <w:rPr>
                <w:bCs/>
              </w:rPr>
            </w:pPr>
            <w:r>
              <w:rPr>
                <w:bCs/>
              </w:rPr>
              <w:t>V</w:t>
            </w:r>
            <w:r>
              <w:rPr>
                <w:bCs/>
                <w:vertAlign w:val="subscript"/>
              </w:rPr>
              <w:t>5</w:t>
            </w:r>
            <w:r>
              <w:rPr>
                <w:bCs/>
              </w:rPr>
              <w:t>=10qf</w:t>
            </w:r>
          </w:p>
          <w:p w14:paraId="5A5108BB">
            <w:pPr>
              <w:ind w:firstLine="480"/>
              <w:rPr>
                <w:bCs/>
              </w:rPr>
            </w:pPr>
            <w:r>
              <w:rPr>
                <w:bCs/>
              </w:rPr>
              <w:t>q——降雨强度，mm；按平均日降雨量；</w:t>
            </w:r>
          </w:p>
          <w:p w14:paraId="29841EDD">
            <w:pPr>
              <w:ind w:firstLine="480"/>
              <w:rPr>
                <w:bCs/>
              </w:rPr>
            </w:pPr>
            <w:r>
              <w:rPr>
                <w:bCs/>
              </w:rPr>
              <w:t>q=qa/n</w:t>
            </w:r>
          </w:p>
          <w:p w14:paraId="3F248AF8">
            <w:pPr>
              <w:ind w:firstLine="480"/>
              <w:rPr>
                <w:bCs/>
              </w:rPr>
            </w:pPr>
            <w:r>
              <w:rPr>
                <w:bCs/>
              </w:rPr>
              <w:t>qa——年平均降雨量，mm；</w:t>
            </w:r>
          </w:p>
          <w:p w14:paraId="0CFDA332">
            <w:pPr>
              <w:ind w:firstLine="480"/>
              <w:rPr>
                <w:bCs/>
              </w:rPr>
            </w:pPr>
            <w:r>
              <w:rPr>
                <w:bCs/>
              </w:rPr>
              <w:t>n——年平均降雨日数。</w:t>
            </w:r>
          </w:p>
          <w:p w14:paraId="03462AFD">
            <w:pPr>
              <w:ind w:firstLine="480"/>
              <w:rPr>
                <w:bCs/>
              </w:rPr>
            </w:pPr>
            <w:r>
              <w:rPr>
                <w:bCs/>
              </w:rPr>
              <w:t>F——可能进入事故废水收集系统的雨水汇水面积，10</w:t>
            </w:r>
            <w:r>
              <w:rPr>
                <w:bCs/>
                <w:vertAlign w:val="superscript"/>
              </w:rPr>
              <w:t>4</w:t>
            </w:r>
            <w:r>
              <w:rPr>
                <w:bCs/>
              </w:rPr>
              <w:t>m²；</w:t>
            </w:r>
          </w:p>
          <w:p w14:paraId="1C3ACAA9">
            <w:pPr>
              <w:ind w:firstLine="480"/>
              <w:rPr>
                <w:bCs/>
              </w:rPr>
            </w:pPr>
            <w:r>
              <w:rPr>
                <w:bCs/>
              </w:rPr>
              <w:t>本地区</w:t>
            </w:r>
            <w:r>
              <w:rPr>
                <w:lang w:val="zh-CN" w:bidi="ar"/>
              </w:rPr>
              <w:t>年平均降雨量约1</w:t>
            </w:r>
            <w:r>
              <w:rPr>
                <w:lang w:bidi="ar"/>
              </w:rPr>
              <w:t>239</w:t>
            </w:r>
            <w:r>
              <w:rPr>
                <w:lang w:val="zh-CN" w:bidi="ar"/>
              </w:rPr>
              <w:t>mm，年平均降水天数按1</w:t>
            </w:r>
            <w:r>
              <w:rPr>
                <w:lang w:bidi="ar"/>
              </w:rPr>
              <w:t>25</w:t>
            </w:r>
            <w:r>
              <w:rPr>
                <w:lang w:val="zh-CN" w:bidi="ar"/>
              </w:rPr>
              <w:t>天计</w:t>
            </w:r>
            <w:r>
              <w:rPr>
                <w:bCs/>
              </w:rPr>
              <w:t>，平均日降雨量为</w:t>
            </w:r>
            <w:r>
              <w:rPr>
                <w:rFonts w:hint="eastAsia"/>
                <w:bCs/>
              </w:rPr>
              <w:t>9.91</w:t>
            </w:r>
            <w:r>
              <w:rPr>
                <w:bCs/>
              </w:rPr>
              <w:t>mm。</w:t>
            </w:r>
          </w:p>
          <w:p w14:paraId="02737E8F">
            <w:pPr>
              <w:ind w:firstLine="480"/>
              <w:rPr>
                <w:bCs/>
              </w:rPr>
            </w:pPr>
            <w:r>
              <w:rPr>
                <w:rFonts w:hint="eastAsia"/>
                <w:bCs/>
              </w:rPr>
              <w:t>扩建项目所在厂区</w:t>
            </w:r>
            <w:r>
              <w:rPr>
                <w:bCs/>
              </w:rPr>
              <w:t>的降水全部进入事故水收集系统，</w:t>
            </w:r>
            <w:r>
              <w:rPr>
                <w:rFonts w:hint="eastAsia"/>
                <w:bCs/>
              </w:rPr>
              <w:t>扩建项目所在厂区占地面积约为</w:t>
            </w:r>
            <w:r>
              <w:rPr>
                <w:bCs/>
              </w:rPr>
              <w:t>99265m²</w:t>
            </w:r>
            <w:r>
              <w:rPr>
                <w:rFonts w:hint="eastAsia"/>
                <w:bCs/>
              </w:rPr>
              <w:t>，</w:t>
            </w:r>
            <w:r>
              <w:rPr>
                <w:bCs/>
              </w:rPr>
              <w:t>则进入事故应急池的雨水量为10×</w:t>
            </w:r>
            <w:r>
              <w:rPr>
                <w:rFonts w:hint="eastAsia"/>
                <w:bCs/>
              </w:rPr>
              <w:t>9.91</w:t>
            </w:r>
            <w:r>
              <w:rPr>
                <w:bCs/>
              </w:rPr>
              <w:t>×99265</w:t>
            </w:r>
            <w:r>
              <w:rPr>
                <w:rFonts w:hint="eastAsia"/>
                <w:bCs/>
              </w:rPr>
              <w:t>/10000</w:t>
            </w:r>
            <w:r>
              <w:rPr>
                <w:bCs/>
              </w:rPr>
              <w:t>m³=984m³。</w:t>
            </w:r>
          </w:p>
          <w:p w14:paraId="7F7F85FA">
            <w:pPr>
              <w:pStyle w:val="10"/>
              <w:spacing w:before="120" w:line="240" w:lineRule="auto"/>
              <w:jc w:val="center"/>
            </w:pPr>
            <w:r>
              <w:t>表</w:t>
            </w:r>
            <w:r>
              <w:rPr>
                <w:rFonts w:hint="eastAsia"/>
              </w:rPr>
              <w:t>7.4-4 罐区消防固定冷却水</w:t>
            </w:r>
            <w:r>
              <w:t>用水量</w:t>
            </w:r>
          </w:p>
          <w:p w14:paraId="0909F7CB">
            <w:pPr>
              <w:ind w:firstLine="482"/>
              <w:jc w:val="center"/>
            </w:pPr>
            <w:r>
              <w:rPr>
                <w:rFonts w:hint="eastAsia"/>
                <w:b/>
              </w:rPr>
              <w:t>***（略，涉及商业秘密）</w:t>
            </w:r>
          </w:p>
          <w:p w14:paraId="175D727C">
            <w:pPr>
              <w:pStyle w:val="10"/>
              <w:spacing w:before="120" w:line="240" w:lineRule="auto"/>
              <w:jc w:val="center"/>
            </w:pPr>
            <w:bookmarkStart w:id="62" w:name="_Ref106818734"/>
            <w:r>
              <w:t>表</w:t>
            </w:r>
            <w:r>
              <w:rPr>
                <w:rFonts w:hint="eastAsia"/>
              </w:rPr>
              <w:t>7.4-5 罐区泡沫混合液用量</w:t>
            </w:r>
          </w:p>
          <w:p w14:paraId="09E8C183">
            <w:pPr>
              <w:ind w:firstLine="482"/>
              <w:jc w:val="center"/>
            </w:pPr>
            <w:r>
              <w:rPr>
                <w:rFonts w:hint="eastAsia"/>
                <w:b/>
              </w:rPr>
              <w:t>***（略，涉及商业秘密）</w:t>
            </w:r>
          </w:p>
          <w:p w14:paraId="272C0C54">
            <w:pPr>
              <w:pStyle w:val="10"/>
              <w:spacing w:before="120" w:line="240" w:lineRule="auto"/>
              <w:jc w:val="center"/>
            </w:pPr>
            <w:r>
              <w:t>表</w:t>
            </w:r>
            <w:r>
              <w:rPr>
                <w:rFonts w:hint="eastAsia"/>
              </w:rPr>
              <w:t>7.4-6 码头罐区室外消火栓用水量</w:t>
            </w:r>
          </w:p>
          <w:p w14:paraId="65D5B7F3">
            <w:pPr>
              <w:ind w:firstLine="482"/>
              <w:jc w:val="center"/>
            </w:pPr>
            <w:r>
              <w:rPr>
                <w:rFonts w:hint="eastAsia"/>
                <w:b/>
              </w:rPr>
              <w:t>***（略，涉及商业秘密）</w:t>
            </w:r>
          </w:p>
          <w:p w14:paraId="0730E036">
            <w:pPr>
              <w:pStyle w:val="10"/>
              <w:spacing w:before="120" w:line="240" w:lineRule="auto"/>
              <w:jc w:val="center"/>
            </w:pPr>
            <w:r>
              <w:t>表</w:t>
            </w:r>
            <w:r>
              <w:rPr>
                <w:rFonts w:hint="eastAsia"/>
              </w:rPr>
              <w:t>7.4-7 码头罐区附属室外消火栓用水量</w:t>
            </w:r>
          </w:p>
          <w:p w14:paraId="677B45B7">
            <w:pPr>
              <w:ind w:firstLine="482"/>
              <w:jc w:val="center"/>
            </w:pPr>
            <w:r>
              <w:rPr>
                <w:rFonts w:hint="eastAsia"/>
                <w:b/>
              </w:rPr>
              <w:t>***（略，涉及商业秘密）</w:t>
            </w:r>
          </w:p>
          <w:p w14:paraId="3A349416">
            <w:pPr>
              <w:pStyle w:val="10"/>
              <w:spacing w:before="120" w:line="240" w:lineRule="auto"/>
              <w:jc w:val="center"/>
            </w:pPr>
            <w:r>
              <w:t>表</w:t>
            </w:r>
            <w:r>
              <w:rPr>
                <w:rFonts w:hint="eastAsia"/>
              </w:rPr>
              <w:t>7.4-8 码头罐区</w:t>
            </w:r>
            <w:r>
              <w:t>泄漏物料、消防废水量、转移物料表</w:t>
            </w:r>
            <w:bookmarkEnd w:id="62"/>
          </w:p>
          <w:p w14:paraId="0A1529DE">
            <w:pPr>
              <w:ind w:firstLine="482"/>
              <w:jc w:val="center"/>
            </w:pPr>
            <w:r>
              <w:rPr>
                <w:rFonts w:hint="eastAsia"/>
                <w:b/>
              </w:rPr>
              <w:t>***（略，涉及商业秘密）</w:t>
            </w:r>
          </w:p>
          <w:p w14:paraId="25D3EDB2">
            <w:pPr>
              <w:pStyle w:val="8"/>
              <w:adjustRightInd w:val="0"/>
              <w:snapToGrid w:val="0"/>
              <w:spacing w:before="120"/>
              <w:rPr>
                <w:lang w:val="en-US" w:eastAsia="zh-CN"/>
              </w:rPr>
            </w:pPr>
          </w:p>
          <w:p w14:paraId="359ED1B4">
            <w:pPr>
              <w:pStyle w:val="8"/>
              <w:adjustRightInd w:val="0"/>
              <w:snapToGrid w:val="0"/>
              <w:spacing w:before="120"/>
              <w:rPr>
                <w:lang w:val="en-US" w:eastAsia="zh-CN"/>
              </w:rPr>
            </w:pPr>
            <w:r>
              <w:rPr>
                <w:lang w:val="en-US" w:eastAsia="zh-CN"/>
              </w:rPr>
              <w:t>7.</w:t>
            </w:r>
            <w:r>
              <w:rPr>
                <w:rFonts w:hint="eastAsia"/>
                <w:lang w:val="en-US" w:eastAsia="zh-CN"/>
              </w:rPr>
              <w:t>4.3</w:t>
            </w:r>
            <w:r>
              <w:rPr>
                <w:lang w:val="en-US" w:eastAsia="zh-CN"/>
              </w:rPr>
              <w:t>区域应急疏散通道</w:t>
            </w:r>
          </w:p>
          <w:p w14:paraId="709B0B34">
            <w:pPr>
              <w:pStyle w:val="117"/>
              <w:ind w:firstLine="480"/>
            </w:pPr>
            <w:r>
              <w:rPr>
                <w:lang w:val="en-US" w:eastAsia="zh-CN"/>
              </w:rPr>
              <w:t>当厂区发生环境风险事故，可能影响周边居住区时，周边企业及居民疏散路线详见</w:t>
            </w:r>
            <w:r>
              <w:rPr>
                <w:lang w:val="en-US" w:eastAsia="zh-CN"/>
              </w:rPr>
              <w:fldChar w:fldCharType="begin"/>
            </w:r>
            <w:r>
              <w:rPr>
                <w:lang w:val="en-US" w:eastAsia="zh-CN"/>
              </w:rPr>
              <w:instrText xml:space="preserve"> REF _Ref2108629 \h  \* MERGEFORMAT </w:instrText>
            </w:r>
            <w:r>
              <w:rPr>
                <w:lang w:val="en-US" w:eastAsia="zh-CN"/>
              </w:rPr>
              <w:fldChar w:fldCharType="separate"/>
            </w:r>
            <w:r>
              <w:rPr>
                <w:rFonts w:hint="eastAsia"/>
                <w:lang w:val="en-US" w:eastAsia="zh-CN"/>
              </w:rPr>
              <w:t>*</w:t>
            </w:r>
            <w:r>
              <w:rPr>
                <w:rFonts w:hint="eastAsia"/>
                <w:b/>
              </w:rPr>
              <w:t>**（略，涉及商业秘密）</w:t>
            </w:r>
          </w:p>
          <w:p w14:paraId="04164814">
            <w:pPr>
              <w:pStyle w:val="117"/>
              <w:ind w:firstLine="482"/>
              <w:rPr>
                <w:lang w:val="en-US" w:eastAsia="zh-CN"/>
              </w:rPr>
            </w:pPr>
            <w:r>
              <w:rPr>
                <w:b/>
                <w:kern w:val="0"/>
                <w:lang w:val="en-US" w:eastAsia="zh-CN"/>
              </w:rPr>
              <w:t>图</w:t>
            </w:r>
            <w:r>
              <w:rPr>
                <w:rFonts w:hint="eastAsia"/>
                <w:b/>
                <w:kern w:val="0"/>
                <w:lang w:val="en-US" w:eastAsia="zh-CN"/>
              </w:rPr>
              <w:t>7.4-</w:t>
            </w:r>
            <w:r>
              <w:rPr>
                <w:lang w:val="en-US" w:eastAsia="zh-CN"/>
              </w:rPr>
              <w:fldChar w:fldCharType="end"/>
            </w:r>
            <w:r>
              <w:rPr>
                <w:lang w:val="en-US" w:eastAsia="zh-CN"/>
              </w:rPr>
              <w:t>。建设单位及应急指挥部应根据事故发生时的气象条件，应引导周边企业工作人员及附近居民，往上风向进行疏散撤离。</w:t>
            </w:r>
          </w:p>
          <w:p w14:paraId="07B414A4">
            <w:pPr>
              <w:ind w:firstLine="482"/>
              <w:jc w:val="center"/>
            </w:pPr>
            <w:bookmarkStart w:id="63" w:name="_Ref2108629"/>
            <w:r>
              <w:rPr>
                <w:rFonts w:hint="eastAsia"/>
                <w:b/>
              </w:rPr>
              <w:t>***（略，涉及商业秘密）</w:t>
            </w:r>
          </w:p>
          <w:p w14:paraId="193ED1CC">
            <w:pPr>
              <w:pStyle w:val="117"/>
              <w:ind w:firstLine="482"/>
              <w:jc w:val="center"/>
              <w:rPr>
                <w:b/>
                <w:kern w:val="0"/>
                <w:lang w:val="en-US" w:eastAsia="zh-CN"/>
              </w:rPr>
            </w:pPr>
            <w:r>
              <w:rPr>
                <w:b/>
                <w:kern w:val="0"/>
                <w:lang w:val="en-US" w:eastAsia="zh-CN"/>
              </w:rPr>
              <w:t>图</w:t>
            </w:r>
            <w:r>
              <w:rPr>
                <w:rFonts w:hint="eastAsia"/>
                <w:b/>
                <w:kern w:val="0"/>
                <w:lang w:val="en-US" w:eastAsia="zh-CN"/>
              </w:rPr>
              <w:t>7.4-</w:t>
            </w:r>
            <w:bookmarkEnd w:id="63"/>
            <w:r>
              <w:rPr>
                <w:rFonts w:hint="eastAsia"/>
                <w:b/>
                <w:kern w:val="0"/>
                <w:lang w:val="en-US" w:eastAsia="zh-CN"/>
              </w:rPr>
              <w:t>3</w:t>
            </w:r>
            <w:r>
              <w:rPr>
                <w:b/>
                <w:kern w:val="0"/>
                <w:lang w:val="en-US" w:eastAsia="zh-CN"/>
              </w:rPr>
              <w:t>区域应急疏散通道图</w:t>
            </w:r>
          </w:p>
          <w:p w14:paraId="068A547B">
            <w:pPr>
              <w:pStyle w:val="7"/>
              <w:numPr>
                <w:ilvl w:val="1"/>
                <w:numId w:val="0"/>
              </w:numPr>
              <w:adjustRightInd w:val="0"/>
              <w:snapToGrid w:val="0"/>
              <w:spacing w:before="120" w:beforeLines="0"/>
              <w:jc w:val="left"/>
            </w:pPr>
            <w:bookmarkStart w:id="64" w:name="_Toc82623884"/>
            <w:bookmarkStart w:id="65" w:name="_Toc2110239"/>
            <w:bookmarkStart w:id="66" w:name="_Toc52177677"/>
            <w:r>
              <w:t>7.</w:t>
            </w:r>
            <w:r>
              <w:rPr>
                <w:rFonts w:hint="eastAsia"/>
              </w:rPr>
              <w:t>5</w:t>
            </w:r>
            <w:r>
              <w:t>环境风险应急措施</w:t>
            </w:r>
            <w:bookmarkEnd w:id="64"/>
            <w:bookmarkEnd w:id="65"/>
            <w:bookmarkEnd w:id="66"/>
          </w:p>
          <w:p w14:paraId="65F4E242">
            <w:pPr>
              <w:pStyle w:val="8"/>
              <w:adjustRightInd w:val="0"/>
              <w:snapToGrid w:val="0"/>
              <w:spacing w:before="120"/>
              <w:rPr>
                <w:lang w:val="en-US" w:eastAsia="zh-CN"/>
              </w:rPr>
            </w:pPr>
            <w:r>
              <w:rPr>
                <w:lang w:val="en-US" w:eastAsia="zh-CN"/>
              </w:rPr>
              <w:t>7.</w:t>
            </w:r>
            <w:r>
              <w:rPr>
                <w:rFonts w:hint="eastAsia"/>
                <w:lang w:val="en-US" w:eastAsia="zh-CN"/>
              </w:rPr>
              <w:t>5</w:t>
            </w:r>
            <w:r>
              <w:rPr>
                <w:lang w:val="en-US" w:eastAsia="zh-CN"/>
              </w:rPr>
              <w:t>.1管理措施</w:t>
            </w:r>
          </w:p>
          <w:p w14:paraId="6E48216A">
            <w:pPr>
              <w:pStyle w:val="117"/>
              <w:ind w:firstLine="480"/>
              <w:rPr>
                <w:lang w:val="en-US" w:eastAsia="zh-CN"/>
              </w:rPr>
            </w:pPr>
            <w:r>
              <w:rPr>
                <w:lang w:val="en-US" w:eastAsia="zh-CN"/>
              </w:rPr>
              <w:t>（1）建立严格的日常的检查制度，加强环保宣传教育，提高全体人员的环保意识，尤其是提高现场人员安全生产的高度责任感和责任心，增强对液化品泄漏事故危害和污染损害严重性的认识。提高实际操作应变能力，避免人为因素。</w:t>
            </w:r>
          </w:p>
          <w:p w14:paraId="4CCFBDA8">
            <w:pPr>
              <w:pStyle w:val="117"/>
              <w:ind w:firstLine="480"/>
              <w:rPr>
                <w:lang w:val="en-US" w:eastAsia="zh-CN"/>
              </w:rPr>
            </w:pPr>
            <w:r>
              <w:rPr>
                <w:lang w:val="en-US" w:eastAsia="zh-CN"/>
              </w:rPr>
              <w:t>（2）制定一整套严格的安全生产操作规章制度，包括货安全生产责任制度、安全检查与隐患整改管理制度、倒罐作业操作流程、管道通球及卸压作业操作规程、储罐清空作业操作规程。如发现较大的污染事故，应报告管委会，组织力量，及时采取措施，消除污染。</w:t>
            </w:r>
          </w:p>
          <w:p w14:paraId="3F14F70A">
            <w:pPr>
              <w:pStyle w:val="117"/>
              <w:ind w:firstLine="480"/>
              <w:rPr>
                <w:lang w:val="en-US" w:eastAsia="zh-CN"/>
              </w:rPr>
            </w:pPr>
            <w:r>
              <w:rPr>
                <w:lang w:val="en-US" w:eastAsia="zh-CN"/>
              </w:rPr>
              <w:t>（3）加强巡查和监控。如发现水体异常（如变色、异味等）或地下水水质监测数据异常，应加强监控。如发现较大的污染事故，应及时报告，组织力量，及时采取措施，消除污染。</w:t>
            </w:r>
          </w:p>
          <w:p w14:paraId="0076BE8D">
            <w:pPr>
              <w:pStyle w:val="117"/>
              <w:ind w:firstLine="480"/>
              <w:rPr>
                <w:lang w:val="en-US" w:eastAsia="zh-CN"/>
              </w:rPr>
            </w:pPr>
            <w:r>
              <w:rPr>
                <w:lang w:val="en-US" w:eastAsia="zh-CN"/>
              </w:rPr>
              <w:t>（4）建立货品泄漏应急体系和制订防治计划，建立《应急准备和响应程序》。《应急程序》应组织演练，并被证明有效。项目港区应与当地海事局相协调，联合组成联动应急系统，成立应急指挥中心。应急计划中须对应急人员、设施及器材的配备作因地制宜的和详细的规定。</w:t>
            </w:r>
          </w:p>
          <w:p w14:paraId="73B0255E">
            <w:pPr>
              <w:pStyle w:val="117"/>
              <w:ind w:firstLine="480"/>
              <w:rPr>
                <w:lang w:val="en-US" w:eastAsia="zh-CN"/>
              </w:rPr>
            </w:pPr>
            <w:r>
              <w:rPr>
                <w:lang w:val="en-US" w:eastAsia="zh-CN"/>
              </w:rPr>
              <w:t>（5）项目应与周边企业建立污染事故应急处理联动机制，设立专门的联动机构，统一调配使用防污设备、应急物资、船舶等。</w:t>
            </w:r>
          </w:p>
          <w:p w14:paraId="16245F11">
            <w:pPr>
              <w:ind w:firstLine="480"/>
            </w:pPr>
            <w:r>
              <w:t>（6）污染事故发生后，应及时采取措施，尽量减少损失。事后应对事故进行深入调查、分析，找出原因，提出处理意见和整改措施，并形成书面报告。报告应归档。</w:t>
            </w:r>
          </w:p>
          <w:p w14:paraId="038E4A22">
            <w:pPr>
              <w:pStyle w:val="8"/>
              <w:adjustRightInd w:val="0"/>
              <w:snapToGrid w:val="0"/>
              <w:spacing w:before="120"/>
              <w:rPr>
                <w:lang w:val="en-US" w:eastAsia="zh-CN"/>
              </w:rPr>
            </w:pPr>
            <w:r>
              <w:rPr>
                <w:lang w:val="en-US" w:eastAsia="zh-CN"/>
              </w:rPr>
              <w:t>7.</w:t>
            </w:r>
            <w:r>
              <w:rPr>
                <w:rFonts w:hint="eastAsia"/>
                <w:lang w:val="en-US" w:eastAsia="zh-CN"/>
              </w:rPr>
              <w:t>5</w:t>
            </w:r>
            <w:r>
              <w:rPr>
                <w:lang w:val="en-US" w:eastAsia="zh-CN"/>
              </w:rPr>
              <w:t>.2管道泄漏应急措施</w:t>
            </w:r>
          </w:p>
          <w:p w14:paraId="5D8C9A03">
            <w:pPr>
              <w:pStyle w:val="117"/>
              <w:ind w:firstLine="480"/>
              <w:rPr>
                <w:lang w:val="en-US" w:eastAsia="zh-CN"/>
              </w:rPr>
            </w:pPr>
            <w:r>
              <w:rPr>
                <w:lang w:val="en-US" w:eastAsia="zh-CN"/>
              </w:rPr>
              <w:t>（1）切断污染的有效措施</w:t>
            </w:r>
          </w:p>
          <w:p w14:paraId="14BBE74E">
            <w:pPr>
              <w:pStyle w:val="117"/>
              <w:ind w:firstLine="480"/>
              <w:rPr>
                <w:lang w:val="en-US" w:eastAsia="zh-CN"/>
              </w:rPr>
            </w:pPr>
            <w:r>
              <w:rPr>
                <w:lang w:val="en-US" w:eastAsia="zh-CN"/>
              </w:rPr>
              <w:t>针对管线不同泄漏事故，处置有：关阀断源、应急堵漏、冷却防爆、注水排险、喷雾稀释、引火点燃、回收。</w:t>
            </w:r>
          </w:p>
          <w:p w14:paraId="64C75B70">
            <w:pPr>
              <w:pStyle w:val="117"/>
              <w:ind w:firstLine="480"/>
              <w:rPr>
                <w:lang w:val="en-US" w:eastAsia="zh-CN"/>
              </w:rPr>
            </w:pPr>
            <w:r>
              <w:rPr>
                <w:lang w:val="en-US" w:eastAsia="zh-CN"/>
              </w:rPr>
              <w:t>1）关阀断源</w:t>
            </w:r>
          </w:p>
          <w:p w14:paraId="11A5BB06">
            <w:pPr>
              <w:ind w:firstLine="480"/>
            </w:pPr>
            <w:r>
              <w:t>当管线发生泄漏时，关闭上、下游阀门，将泄漏至管线下收集沟的物料输送至厂内危险废物贮存单元。</w:t>
            </w:r>
          </w:p>
          <w:p w14:paraId="2A95472A">
            <w:pPr>
              <w:pStyle w:val="117"/>
              <w:ind w:firstLine="480"/>
              <w:rPr>
                <w:lang w:val="en-US" w:eastAsia="zh-CN"/>
              </w:rPr>
            </w:pPr>
            <w:r>
              <w:rPr>
                <w:lang w:val="en-US" w:eastAsia="zh-CN"/>
              </w:rPr>
              <w:t>2）管线封堵</w:t>
            </w:r>
          </w:p>
          <w:p w14:paraId="7B41ED50">
            <w:pPr>
              <w:ind w:firstLine="480"/>
            </w:pPr>
            <w:r>
              <w:t>管线发生泄漏事故，关闭上下游阀门，切断泄漏处物料，吹扫、置换合格后，进行封堵。若易燃气体泄漏，所有堵漏行动必须采取防爆措施，确保安全。</w:t>
            </w:r>
          </w:p>
          <w:p w14:paraId="12129548">
            <w:pPr>
              <w:ind w:firstLine="480"/>
            </w:pPr>
            <w:r>
              <w:t>（2）现场隔离</w:t>
            </w:r>
          </w:p>
          <w:p w14:paraId="3B1CA3AE">
            <w:pPr>
              <w:ind w:firstLine="480"/>
            </w:pPr>
            <w:r>
              <w:t>进行气体浓度检测，根据有害气体的实际浓度，调整隔离、疏散距离，疏散与抢修无关人员。</w:t>
            </w:r>
          </w:p>
          <w:p w14:paraId="133A6889">
            <w:pPr>
              <w:ind w:firstLine="480"/>
            </w:pPr>
            <w:r>
              <w:t>（3）危险区的隔离</w:t>
            </w:r>
          </w:p>
          <w:p w14:paraId="23A4CEE2">
            <w:pPr>
              <w:ind w:firstLine="480"/>
            </w:pPr>
            <w:r>
              <w:t>1）设定危险区、疏散区、警戒区：</w:t>
            </w:r>
          </w:p>
          <w:p w14:paraId="683F9C45">
            <w:pPr>
              <w:ind w:firstLine="480"/>
            </w:pPr>
            <w:r>
              <w:t>事故发生后，应根据泄漏物质的扩散情况或火焰辐射热所涉及到的范围建立危险区、警戒区和疏散区。</w:t>
            </w:r>
          </w:p>
          <w:p w14:paraId="74001E9C">
            <w:pPr>
              <w:ind w:firstLine="480"/>
            </w:pPr>
            <w:r>
              <w:t>2）隔离方法及措施；</w:t>
            </w:r>
          </w:p>
          <w:p w14:paraId="3BA672D1">
            <w:pPr>
              <w:ind w:firstLine="480"/>
            </w:pPr>
            <w:r>
              <w:rPr>
                <w:rFonts w:hint="eastAsia" w:ascii="宋体" w:hAnsi="宋体" w:cs="宋体"/>
              </w:rPr>
              <w:t>①</w:t>
            </w:r>
            <w:r>
              <w:t>危险区边界用护栏带作警戒线，警戒人员佩戴袖章；</w:t>
            </w:r>
          </w:p>
          <w:p w14:paraId="4751284C">
            <w:pPr>
              <w:ind w:firstLine="480"/>
            </w:pPr>
            <w:r>
              <w:rPr>
                <w:rFonts w:hint="eastAsia" w:ascii="宋体" w:hAnsi="宋体" w:cs="宋体"/>
              </w:rPr>
              <w:t>②</w:t>
            </w:r>
            <w:r>
              <w:t>事故应急阶段，除应急指挥救援人员以及必须坚守岗位人员外，禁止无关人员进入警戒线内，直到应急命令解除；</w:t>
            </w:r>
          </w:p>
          <w:p w14:paraId="2866D9F3">
            <w:pPr>
              <w:ind w:firstLine="480"/>
            </w:pPr>
            <w:r>
              <w:rPr>
                <w:rFonts w:hint="eastAsia" w:ascii="宋体" w:hAnsi="宋体" w:cs="宋体"/>
              </w:rPr>
              <w:t>③</w:t>
            </w:r>
            <w:r>
              <w:t>区域内应严禁火种；</w:t>
            </w:r>
          </w:p>
          <w:p w14:paraId="4B668661">
            <w:pPr>
              <w:ind w:firstLine="480"/>
            </w:pPr>
            <w:r>
              <w:rPr>
                <w:rFonts w:hint="eastAsia" w:ascii="宋体" w:hAnsi="宋体" w:cs="宋体"/>
              </w:rPr>
              <w:t>④</w:t>
            </w:r>
            <w:r>
              <w:t>应急恢复阶段，除事故调查人员外，禁止无关人员进入警戒线内，直到事故原因查明为止；</w:t>
            </w:r>
          </w:p>
          <w:p w14:paraId="39641D88">
            <w:pPr>
              <w:ind w:firstLine="480"/>
            </w:pPr>
            <w:r>
              <w:rPr>
                <w:rFonts w:hint="eastAsia" w:ascii="宋体" w:hAnsi="宋体" w:cs="宋体"/>
              </w:rPr>
              <w:t>⑤</w:t>
            </w:r>
            <w:r>
              <w:t>保安人员未到达之前，现场警戒任务由岗位人员全权负责；</w:t>
            </w:r>
          </w:p>
          <w:p w14:paraId="3545C9C8">
            <w:pPr>
              <w:ind w:firstLine="480"/>
            </w:pPr>
            <w:r>
              <w:rPr>
                <w:rFonts w:hint="eastAsia" w:ascii="宋体" w:hAnsi="宋体" w:cs="宋体"/>
              </w:rPr>
              <w:t>⑥</w:t>
            </w:r>
            <w:r>
              <w:t>保安人员到达现场后，按职责立即与岗位人员充分沟通，接管警戒任务；</w:t>
            </w:r>
          </w:p>
          <w:p w14:paraId="0DA57BA6">
            <w:pPr>
              <w:ind w:firstLine="480"/>
            </w:pPr>
            <w:r>
              <w:rPr>
                <w:rFonts w:hint="eastAsia" w:ascii="宋体" w:hAnsi="宋体" w:cs="宋体"/>
              </w:rPr>
              <w:t>⑦</w:t>
            </w:r>
            <w:r>
              <w:t>保安人员及就应急监测人员到达现场后，应马上用便携式检测仪对现场进行连续监测，根据监测结果变化情况，划定、调整警戒区域，将最新警戒范围通知其他救援小组，组织其他救援小组的车辆和没有防护措施的人员及时撤离警戒区域（包括消防、气防、救护以及指挥车辆）；</w:t>
            </w:r>
          </w:p>
          <w:p w14:paraId="175FC7C0">
            <w:pPr>
              <w:ind w:firstLine="480"/>
            </w:pPr>
            <w:r>
              <w:rPr>
                <w:rFonts w:hint="eastAsia" w:ascii="宋体" w:hAnsi="宋体" w:cs="宋体"/>
              </w:rPr>
              <w:t>⑧</w:t>
            </w:r>
            <w:r>
              <w:t>进入警戒区的人员，必须戴好防护面具，两人及两人以上同行，禁止一人单独进入；</w:t>
            </w:r>
          </w:p>
          <w:p w14:paraId="394740DD">
            <w:pPr>
              <w:pStyle w:val="2"/>
              <w:ind w:firstLine="480"/>
              <w:rPr>
                <w:lang w:val="en-US" w:eastAsia="zh-CN"/>
              </w:rPr>
            </w:pPr>
            <w:r>
              <w:rPr>
                <w:rFonts w:hint="eastAsia" w:ascii="宋体" w:hAnsi="宋体" w:cs="宋体"/>
                <w:lang w:val="en-US" w:eastAsia="zh-CN"/>
              </w:rPr>
              <w:t>⑨</w:t>
            </w:r>
            <w:r>
              <w:rPr>
                <w:lang w:val="en-US" w:eastAsia="zh-CN"/>
              </w:rPr>
              <w:t>禁止携带各种对讲机、手机、非防爆设备等易产生电火花的工具进入防爆区。</w:t>
            </w:r>
          </w:p>
          <w:p w14:paraId="076DD5E1">
            <w:pPr>
              <w:pStyle w:val="8"/>
              <w:adjustRightInd w:val="0"/>
              <w:snapToGrid w:val="0"/>
              <w:spacing w:before="120"/>
              <w:rPr>
                <w:lang w:val="en-US" w:eastAsia="zh-CN"/>
              </w:rPr>
            </w:pPr>
            <w:r>
              <w:rPr>
                <w:lang w:val="en-US" w:eastAsia="zh-CN"/>
              </w:rPr>
              <w:t>7.</w:t>
            </w:r>
            <w:r>
              <w:rPr>
                <w:rFonts w:hint="eastAsia"/>
                <w:lang w:val="en-US" w:eastAsia="zh-CN"/>
              </w:rPr>
              <w:t>5</w:t>
            </w:r>
            <w:r>
              <w:rPr>
                <w:lang w:val="en-US" w:eastAsia="zh-CN"/>
              </w:rPr>
              <w:t>.3应急风险物资配备要求</w:t>
            </w:r>
          </w:p>
          <w:p w14:paraId="68C6BF4C">
            <w:pPr>
              <w:ind w:firstLine="480"/>
              <w:jc w:val="left"/>
            </w:pPr>
            <w:r>
              <w:rPr>
                <w:rFonts w:hint="eastAsia" w:ascii="宋体" w:hAnsi="宋体" w:cs="宋体"/>
              </w:rPr>
              <w:t>①</w:t>
            </w:r>
            <w:r>
              <w:t>在全厂设置视频监控；</w:t>
            </w:r>
          </w:p>
          <w:p w14:paraId="3AF9FC4E">
            <w:pPr>
              <w:ind w:firstLine="480"/>
              <w:jc w:val="left"/>
            </w:pPr>
            <w:r>
              <w:rPr>
                <w:rFonts w:hint="eastAsia" w:ascii="宋体" w:hAnsi="宋体" w:cs="宋体"/>
              </w:rPr>
              <w:t>②</w:t>
            </w:r>
            <w:r>
              <w:t>厂区购置足够种类和数量的应急物资。按要求配置消防器材，生产现场、各环境风险单元配备足量的使用设备、维修工具、救援工具、照明装置、个人防护装备、急救药品等；</w:t>
            </w:r>
          </w:p>
          <w:p w14:paraId="436706BE">
            <w:pPr>
              <w:pStyle w:val="3"/>
              <w:ind w:firstLine="480"/>
            </w:pPr>
            <w:r>
              <w:rPr>
                <w:rFonts w:hint="eastAsia" w:ascii="宋体" w:hAnsi="宋体" w:cs="宋体"/>
                <w:szCs w:val="22"/>
              </w:rPr>
              <w:t>③</w:t>
            </w:r>
            <w:r>
              <w:t>应急办公室配置应急电话作为应急联络点，事故现场以防爆对讲机作为通讯联络设备。</w:t>
            </w:r>
          </w:p>
          <w:p w14:paraId="79FF1195">
            <w:pPr>
              <w:pStyle w:val="7"/>
              <w:numPr>
                <w:ilvl w:val="1"/>
                <w:numId w:val="0"/>
              </w:numPr>
              <w:adjustRightInd w:val="0"/>
              <w:snapToGrid w:val="0"/>
              <w:spacing w:before="120" w:beforeLines="0"/>
              <w:jc w:val="left"/>
            </w:pPr>
            <w:r>
              <w:t>7.</w:t>
            </w:r>
            <w:r>
              <w:rPr>
                <w:rFonts w:hint="eastAsia"/>
              </w:rPr>
              <w:t>6</w:t>
            </w:r>
            <w:r>
              <w:t>风险应急预案</w:t>
            </w:r>
          </w:p>
          <w:p w14:paraId="7B94334B">
            <w:pPr>
              <w:pStyle w:val="8"/>
              <w:adjustRightInd w:val="0"/>
              <w:snapToGrid w:val="0"/>
              <w:spacing w:before="120"/>
              <w:rPr>
                <w:lang w:val="en-US" w:eastAsia="zh-CN"/>
              </w:rPr>
            </w:pPr>
            <w:r>
              <w:rPr>
                <w:lang w:val="en-US" w:eastAsia="zh-CN"/>
              </w:rPr>
              <w:t>7.</w:t>
            </w:r>
            <w:r>
              <w:rPr>
                <w:rFonts w:hint="eastAsia"/>
                <w:lang w:val="en-US" w:eastAsia="zh-CN"/>
              </w:rPr>
              <w:t>6</w:t>
            </w:r>
            <w:r>
              <w:rPr>
                <w:lang w:val="en-US" w:eastAsia="zh-CN"/>
              </w:rPr>
              <w:t>.1</w:t>
            </w:r>
            <w:r>
              <w:rPr>
                <w:rFonts w:hint="eastAsia"/>
                <w:snapToGrid w:val="0"/>
                <w:lang w:val="en-US" w:eastAsia="zh-CN"/>
              </w:rPr>
              <w:t>现有应急预案编制情况</w:t>
            </w:r>
          </w:p>
          <w:p w14:paraId="0016CF49">
            <w:pPr>
              <w:pStyle w:val="139"/>
              <w:ind w:firstLine="480"/>
              <w:rPr>
                <w:lang w:eastAsia="zh-CN"/>
              </w:rPr>
            </w:pPr>
            <w:r>
              <w:rPr>
                <w:rFonts w:hint="eastAsia"/>
                <w:lang w:eastAsia="zh-CN"/>
              </w:rPr>
              <w:t>建设单位针对现有工程可能发生的突发环境风险状况，目前已经按照《建设项目环境风险评价技术导则》、《国家突发环境事件应急预案》、《企业事业单位突发环境应急预案备案管理办法（试行）》（环发[2015]4号）、福建省人民政府“关于印发福建省突发环境事件应急预案的通知”（闽政办〔2015〕102号）等文件中规定的“环境风险事故应急预案编制原则”要求，编制了《福州中江化工码头有限公司突发环境事件风险评估报告》，并与港区联动衔接，应急预案已在福州市福清生态环境局备案（备案编号：350181-2025-003-M）。</w:t>
            </w:r>
          </w:p>
          <w:p w14:paraId="6DAAEFE5">
            <w:pPr>
              <w:pStyle w:val="139"/>
              <w:ind w:firstLine="480"/>
              <w:rPr>
                <w:lang w:eastAsia="zh-CN"/>
              </w:rPr>
            </w:pPr>
            <w:r>
              <w:rPr>
                <w:rFonts w:hint="eastAsia"/>
                <w:lang w:eastAsia="zh-CN"/>
              </w:rPr>
              <w:t>建设单位应结合本次扩建内容以及涉及的危险化学品等，按照福建省环保厅转发生态环境部关于印发《企业事业单位突发环境事件应急预案备案管理办法（试行）》（闽环保应急〔2015〕2号）的通知，对应急预案进行修编，并报福州市福清生态环境局再次备案。</w:t>
            </w:r>
          </w:p>
          <w:p w14:paraId="4E1F56E0">
            <w:pPr>
              <w:pStyle w:val="8"/>
              <w:adjustRightInd w:val="0"/>
              <w:snapToGrid w:val="0"/>
              <w:spacing w:before="120"/>
              <w:rPr>
                <w:lang w:val="en-US" w:eastAsia="zh-CN"/>
              </w:rPr>
            </w:pPr>
            <w:r>
              <w:rPr>
                <w:lang w:val="en-US" w:eastAsia="zh-CN"/>
              </w:rPr>
              <w:t>7.</w:t>
            </w:r>
            <w:r>
              <w:rPr>
                <w:rFonts w:hint="eastAsia"/>
                <w:lang w:val="en-US" w:eastAsia="zh-CN"/>
              </w:rPr>
              <w:t>6</w:t>
            </w:r>
            <w:r>
              <w:rPr>
                <w:lang w:val="en-US" w:eastAsia="zh-CN"/>
              </w:rPr>
              <w:t>.</w:t>
            </w:r>
            <w:r>
              <w:rPr>
                <w:rFonts w:hint="eastAsia"/>
                <w:lang w:val="en-US" w:eastAsia="zh-CN"/>
              </w:rPr>
              <w:t>2</w:t>
            </w:r>
            <w:r>
              <w:rPr>
                <w:lang w:val="en-US" w:eastAsia="zh-CN"/>
              </w:rPr>
              <w:t>突发环境事件应急预案编制要求</w:t>
            </w:r>
          </w:p>
          <w:p w14:paraId="69958B9C">
            <w:pPr>
              <w:pStyle w:val="117"/>
              <w:adjustRightInd w:val="0"/>
              <w:snapToGrid w:val="0"/>
              <w:ind w:firstLine="480"/>
              <w:rPr>
                <w:lang w:val="en-US" w:eastAsia="zh-CN"/>
              </w:rPr>
            </w:pPr>
            <w:r>
              <w:rPr>
                <w:lang w:val="en-US" w:eastAsia="zh-CN"/>
              </w:rPr>
              <w:t>建设单位应按照《企业事业单位突发环境事件应急预案备案管理办法（试行）》（环发[2015]4号）要求，开展企业突发环境事件应急预案的编制，并报送生态环境主管部门备案。应急预案编制内容包括但不限于预案适用范围、预案适用范围、环境事件分类与分级、组织机构与职责、监控和预警、应急响应、应急保障、善后处置、预案管理与演练等内容。</w:t>
            </w:r>
          </w:p>
          <w:p w14:paraId="75924B10">
            <w:pPr>
              <w:pStyle w:val="117"/>
              <w:adjustRightInd w:val="0"/>
              <w:snapToGrid w:val="0"/>
              <w:ind w:firstLine="480"/>
              <w:rPr>
                <w:lang w:val="en-US" w:eastAsia="zh-CN"/>
              </w:rPr>
            </w:pPr>
            <w:r>
              <w:rPr>
                <w:lang w:val="en-US" w:eastAsia="zh-CN"/>
              </w:rPr>
              <w:t>企业结合环境应急预案实施情况，至少每三年对环境应急预案进行一次回顾性评估。有下列情形之一的，及时修订：</w:t>
            </w:r>
          </w:p>
          <w:p w14:paraId="4609E79B">
            <w:pPr>
              <w:pStyle w:val="117"/>
              <w:adjustRightInd w:val="0"/>
              <w:snapToGrid w:val="0"/>
              <w:ind w:firstLine="480"/>
              <w:rPr>
                <w:lang w:val="en-US" w:eastAsia="zh-CN"/>
              </w:rPr>
            </w:pPr>
            <w:r>
              <w:rPr>
                <w:lang w:val="en-US" w:eastAsia="zh-CN"/>
              </w:rPr>
              <w:t>（1）面临的环境风险发生重大变化，需要重新进行环境风险评估的；</w:t>
            </w:r>
          </w:p>
          <w:p w14:paraId="00F32CFF">
            <w:pPr>
              <w:pStyle w:val="117"/>
              <w:adjustRightInd w:val="0"/>
              <w:snapToGrid w:val="0"/>
              <w:ind w:firstLine="480"/>
              <w:rPr>
                <w:lang w:val="en-US" w:eastAsia="zh-CN"/>
              </w:rPr>
            </w:pPr>
            <w:r>
              <w:rPr>
                <w:lang w:val="en-US" w:eastAsia="zh-CN"/>
              </w:rPr>
              <w:t>（2）应急管理组织指挥体系与职责发生重大变化的；</w:t>
            </w:r>
          </w:p>
          <w:p w14:paraId="56B278FC">
            <w:pPr>
              <w:pStyle w:val="117"/>
              <w:adjustRightInd w:val="0"/>
              <w:snapToGrid w:val="0"/>
              <w:ind w:firstLine="480"/>
              <w:rPr>
                <w:lang w:val="en-US" w:eastAsia="zh-CN"/>
              </w:rPr>
            </w:pPr>
            <w:r>
              <w:rPr>
                <w:lang w:val="en-US" w:eastAsia="zh-CN"/>
              </w:rPr>
              <w:t>（3）环境应急监测预警及报告机制、应对流程和措施、应急保障措施发生重大变化的；</w:t>
            </w:r>
          </w:p>
          <w:p w14:paraId="5ED3D7ED">
            <w:pPr>
              <w:pStyle w:val="117"/>
              <w:adjustRightInd w:val="0"/>
              <w:snapToGrid w:val="0"/>
              <w:ind w:firstLine="480"/>
              <w:rPr>
                <w:lang w:val="en-US" w:eastAsia="zh-CN"/>
              </w:rPr>
            </w:pPr>
            <w:r>
              <w:rPr>
                <w:lang w:val="en-US" w:eastAsia="zh-CN"/>
              </w:rPr>
              <w:t>（4）重要应急资源发生重大变化的；</w:t>
            </w:r>
          </w:p>
          <w:p w14:paraId="4D5432E9">
            <w:pPr>
              <w:pStyle w:val="117"/>
              <w:adjustRightInd w:val="0"/>
              <w:snapToGrid w:val="0"/>
              <w:ind w:firstLine="480"/>
              <w:rPr>
                <w:lang w:val="en-US" w:eastAsia="zh-CN"/>
              </w:rPr>
            </w:pPr>
            <w:r>
              <w:rPr>
                <w:lang w:val="en-US" w:eastAsia="zh-CN"/>
              </w:rPr>
              <w:t>（5）在突发事件实际应对和应急演练中发现问题，需要对环境应急预案作出重大调整的；</w:t>
            </w:r>
          </w:p>
          <w:p w14:paraId="06A73874">
            <w:pPr>
              <w:ind w:firstLine="480"/>
            </w:pPr>
            <w:r>
              <w:t>（6）其他需要修订的情况。对环境应急预案进行重大修订的，修订工作参照环境应急预案制定步骤进行。对环境应急预案个别内容进行调整的，修订工作可适当简化。</w:t>
            </w:r>
          </w:p>
          <w:p w14:paraId="486B309D">
            <w:pPr>
              <w:pStyle w:val="8"/>
              <w:adjustRightInd w:val="0"/>
              <w:snapToGrid w:val="0"/>
              <w:spacing w:before="120"/>
              <w:rPr>
                <w:lang w:val="en-US" w:eastAsia="zh-CN"/>
              </w:rPr>
            </w:pPr>
            <w:r>
              <w:rPr>
                <w:lang w:val="en-US" w:eastAsia="zh-CN"/>
              </w:rPr>
              <w:t>7.</w:t>
            </w:r>
            <w:r>
              <w:rPr>
                <w:rFonts w:hint="eastAsia"/>
                <w:lang w:val="en-US" w:eastAsia="zh-CN"/>
              </w:rPr>
              <w:t>6</w:t>
            </w:r>
            <w:r>
              <w:rPr>
                <w:lang w:val="en-US" w:eastAsia="zh-CN"/>
              </w:rPr>
              <w:t>.</w:t>
            </w:r>
            <w:r>
              <w:rPr>
                <w:rFonts w:hint="eastAsia"/>
                <w:lang w:val="en-US" w:eastAsia="zh-CN"/>
              </w:rPr>
              <w:t>3</w:t>
            </w:r>
            <w:r>
              <w:rPr>
                <w:lang w:val="en-US" w:eastAsia="zh-CN"/>
              </w:rPr>
              <w:t>应急预案分级响应及区域联动要求</w:t>
            </w:r>
          </w:p>
          <w:p w14:paraId="6B71D3BE">
            <w:pPr>
              <w:adjustRightInd w:val="0"/>
              <w:snapToGrid w:val="0"/>
              <w:ind w:firstLine="480"/>
            </w:pPr>
            <w:r>
              <w:t>（1）应急事件的分级</w:t>
            </w:r>
          </w:p>
          <w:p w14:paraId="10FCC9A8">
            <w:pPr>
              <w:adjustRightInd w:val="0"/>
              <w:snapToGrid w:val="0"/>
              <w:ind w:firstLine="480"/>
            </w:pPr>
            <w:r>
              <w:t>参照《福建省突发环境事件应急预案》（</w:t>
            </w:r>
            <w:r>
              <w:rPr>
                <w:rFonts w:hint="eastAsia"/>
              </w:rPr>
              <w:t>最新版本</w:t>
            </w:r>
            <w:r>
              <w:t>），根据事故发生的规模以及对环境造成的污染程度可将风险事故分为特别重大环境事件（I级）、重大环境事件（II级）、较大环境事件（III级）和一般事故（IV级）。</w:t>
            </w:r>
          </w:p>
          <w:p w14:paraId="5AFC30D9">
            <w:pPr>
              <w:ind w:firstLine="480"/>
            </w:pPr>
            <w:r>
              <w:t>（2）应急响应和联动</w:t>
            </w:r>
          </w:p>
          <w:p w14:paraId="058CFFAD">
            <w:pPr>
              <w:adjustRightInd w:val="0"/>
              <w:snapToGrid w:val="0"/>
              <w:ind w:firstLine="480"/>
            </w:pPr>
            <w:r>
              <w:rPr>
                <w:rFonts w:hint="eastAsia"/>
              </w:rPr>
              <w:t>福州市江阴工业集中区管理委员会已完成制定《福州市江阴工业集中区突发环境事件应急预案》。项目环境应急预案应纳入江阴工业集中区环境突发公共事件应急预案内。</w:t>
            </w:r>
          </w:p>
          <w:p w14:paraId="58C92D0B">
            <w:pPr>
              <w:ind w:firstLine="480"/>
            </w:pPr>
            <w:r>
              <w:t>应急预案共分为项目应急预案、</w:t>
            </w:r>
            <w:r>
              <w:rPr>
                <w:rFonts w:hint="eastAsia"/>
              </w:rPr>
              <w:t>园区应急预案、</w:t>
            </w:r>
            <w:r>
              <w:t>市级应急预案（福州）、省</w:t>
            </w:r>
            <w:r>
              <w:rPr>
                <w:rStyle w:val="118"/>
              </w:rPr>
              <w:t>级应急预案（福建省），事故发生后根据事故的级分别启动相应的应急预案联动方案，具体见</w:t>
            </w:r>
            <w:r>
              <w:rPr>
                <w:rStyle w:val="118"/>
                <w:rFonts w:hint="eastAsia"/>
              </w:rPr>
              <w:t>图7.6-1</w:t>
            </w:r>
            <w:r>
              <w:rPr>
                <w:rStyle w:val="118"/>
              </w:rPr>
              <w:t>。</w:t>
            </w:r>
          </w:p>
          <w:p w14:paraId="370E8E34">
            <w:pPr>
              <w:ind w:firstLine="480"/>
            </w:pPr>
            <w:r>
              <w:t>项目设立紧急应变联络流程，各级人员及主管应熟知该作业流程，以能随时应对。主要分员工伤害处理和火灾等紧急应急处理。</w:t>
            </w:r>
          </w:p>
          <w:p w14:paraId="334C0010">
            <w:pPr>
              <w:ind w:firstLine="482"/>
              <w:jc w:val="center"/>
              <w:rPr>
                <w:bCs/>
              </w:rPr>
            </w:pPr>
            <w:r>
              <w:rPr>
                <w:rFonts w:hint="eastAsia"/>
                <w:b/>
              </w:rPr>
              <w:t>***（略，涉及商业秘密）</w:t>
            </w:r>
          </w:p>
          <w:p w14:paraId="438E7633">
            <w:pPr>
              <w:pStyle w:val="91"/>
              <w:widowControl w:val="0"/>
              <w:numPr>
                <w:ilvl w:val="0"/>
                <w:numId w:val="0"/>
              </w:numPr>
              <w:tabs>
                <w:tab w:val="left" w:pos="-2127"/>
                <w:tab w:val="left" w:pos="0"/>
                <w:tab w:val="left" w:pos="3687"/>
                <w:tab w:val="left" w:pos="6380"/>
              </w:tabs>
              <w:autoSpaceDE w:val="0"/>
              <w:autoSpaceDN w:val="0"/>
              <w:spacing w:before="120" w:after="120" w:afterLines="50"/>
              <w:outlineLvl w:val="4"/>
            </w:pPr>
            <w:bookmarkStart w:id="67" w:name="_Ref528867362"/>
            <w:r>
              <w:t>图</w:t>
            </w:r>
            <w:r>
              <w:rPr>
                <w:rFonts w:hint="eastAsia"/>
              </w:rPr>
              <w:t>7.6</w:t>
            </w:r>
            <w:r>
              <w:noBreakHyphen/>
            </w:r>
            <w:r>
              <w:fldChar w:fldCharType="begin"/>
            </w:r>
            <w:r>
              <w:instrText xml:space="preserve"> SEQ 图 \* ARABIC \s 2 </w:instrText>
            </w:r>
            <w:r>
              <w:fldChar w:fldCharType="separate"/>
            </w:r>
            <w:r>
              <w:t>1</w:t>
            </w:r>
            <w:r>
              <w:fldChar w:fldCharType="end"/>
            </w:r>
            <w:bookmarkEnd w:id="67"/>
            <w:r>
              <w:rPr>
                <w:rFonts w:hint="eastAsia"/>
              </w:rPr>
              <w:t xml:space="preserve"> </w:t>
            </w:r>
            <w:r>
              <w:t>应急预案响应联动方案</w:t>
            </w:r>
          </w:p>
          <w:p w14:paraId="6BA84759">
            <w:pPr>
              <w:ind w:firstLine="480"/>
            </w:pPr>
            <w:r>
              <w:rPr>
                <w:rFonts w:hint="eastAsia"/>
              </w:rPr>
              <w:t>根据企业风险事故分级及防控要求，必要时启动园区环境风险防范措施，实现厂内与园区风险防控设施及管理的有限联动，有效防控环境风险。</w:t>
            </w:r>
          </w:p>
          <w:p w14:paraId="79664A1A">
            <w:pPr>
              <w:adjustRightInd w:val="0"/>
              <w:snapToGrid w:val="0"/>
              <w:ind w:firstLine="480"/>
            </w:pPr>
            <w:r>
              <w:rPr>
                <w:rFonts w:hint="eastAsia"/>
              </w:rPr>
              <w:t>（3）区域联动机制</w:t>
            </w:r>
          </w:p>
          <w:p w14:paraId="5778EA04">
            <w:pPr>
              <w:adjustRightInd w:val="0"/>
              <w:snapToGrid w:val="0"/>
              <w:ind w:firstLine="480"/>
            </w:pPr>
            <w:r>
              <w:rPr>
                <w:rFonts w:hint="eastAsia"/>
              </w:rPr>
              <w:t>制定环境风险事故应急预案，并与港区和当地政府应急管理体系相衔接。同时加强与兴化湾区域各溢油应急设备库的沟通联系，做好联动工作。一旦发生化学品泄漏，应发挥区域联动机制，第一时间向福建海事局兴化湾港应急设备库寻求支援，实现应急设备资源的统一调配使用。</w:t>
            </w:r>
          </w:p>
          <w:p w14:paraId="3F076550">
            <w:pPr>
              <w:adjustRightInd w:val="0"/>
              <w:snapToGrid w:val="0"/>
              <w:ind w:firstLine="480"/>
            </w:pPr>
            <w:r>
              <w:rPr>
                <w:rFonts w:hint="eastAsia"/>
              </w:rPr>
              <w:t>公司已与临近的福建闽海能源有限公司、福建中远海运化工码头有限公司、福州中民新能源有限公司、万华化学（福建）码头有限公司签订应急联动协议，联动的队伍、装备、物资等应急资源实行合作共享，在消防力量和设施、环保船等方面双方将全面合作，互相支持。</w:t>
            </w:r>
          </w:p>
          <w:p w14:paraId="1FDD4845">
            <w:pPr>
              <w:pStyle w:val="2"/>
              <w:ind w:firstLine="480"/>
              <w:rPr>
                <w:lang w:val="en-US" w:eastAsia="zh-CN"/>
              </w:rPr>
            </w:pPr>
          </w:p>
          <w:p w14:paraId="192B2E1D">
            <w:pPr>
              <w:pStyle w:val="7"/>
              <w:adjustRightInd w:val="0"/>
              <w:snapToGrid w:val="0"/>
              <w:spacing w:before="120"/>
            </w:pPr>
            <w:r>
              <w:t>7.</w:t>
            </w:r>
            <w:bookmarkStart w:id="68" w:name="_Toc2110241"/>
            <w:bookmarkStart w:id="69" w:name="_Toc52177679"/>
            <w:bookmarkStart w:id="70" w:name="_Toc82623886"/>
            <w:r>
              <w:rPr>
                <w:rFonts w:hint="eastAsia"/>
              </w:rPr>
              <w:t>7</w:t>
            </w:r>
            <w:r>
              <w:t>评价结论与建议</w:t>
            </w:r>
            <w:bookmarkEnd w:id="68"/>
            <w:bookmarkEnd w:id="69"/>
            <w:bookmarkEnd w:id="70"/>
          </w:p>
          <w:p w14:paraId="52EE0D8F">
            <w:pPr>
              <w:pStyle w:val="117"/>
              <w:adjustRightInd w:val="0"/>
              <w:snapToGrid w:val="0"/>
              <w:ind w:firstLine="480"/>
              <w:rPr>
                <w:lang w:val="en-US" w:eastAsia="zh-CN"/>
              </w:rPr>
            </w:pPr>
            <w:r>
              <w:rPr>
                <w:lang w:val="en-US" w:eastAsia="zh-CN"/>
              </w:rPr>
              <w:t>本评价从企业环境风险管理体系建设要求、罐区风险事故防范措施以及防止事故废水泄漏至外环境的风险防范措施等几个方面，提出了企业应落实的环境风险防范措施；同时提出企业应落实的环境风险应急措施，配备相应的应急风险物资。</w:t>
            </w:r>
          </w:p>
          <w:p w14:paraId="3D04E8B4">
            <w:pPr>
              <w:pStyle w:val="117"/>
              <w:adjustRightInd w:val="0"/>
              <w:snapToGrid w:val="0"/>
              <w:ind w:firstLine="480"/>
              <w:rPr>
                <w:lang w:val="en-US" w:eastAsia="zh-CN"/>
              </w:rPr>
            </w:pPr>
            <w:r>
              <w:rPr>
                <w:lang w:val="en-US" w:eastAsia="zh-CN"/>
              </w:rPr>
              <w:t>此外，建设单位应按照《企业事业单位突发环境事件应急预案备案管理办法（试行）》（环发[2015]4号）要求，开展企业突发环境事件应急预案的编制，并报送生态环境主管部门备案。</w:t>
            </w:r>
          </w:p>
          <w:p w14:paraId="0171D36E">
            <w:pPr>
              <w:pStyle w:val="2"/>
              <w:ind w:firstLine="480"/>
              <w:rPr>
                <w:lang w:val="en-US" w:eastAsia="zh-CN"/>
              </w:rPr>
            </w:pPr>
            <w:r>
              <w:rPr>
                <w:lang w:val="en-US" w:eastAsia="zh-CN"/>
              </w:rPr>
              <w:t>综上所述，</w:t>
            </w:r>
            <w:r>
              <w:rPr>
                <w:rFonts w:hint="eastAsia"/>
                <w:lang w:val="en-US" w:eastAsia="zh-CN"/>
              </w:rPr>
              <w:t>扩建项目</w:t>
            </w:r>
            <w:r>
              <w:rPr>
                <w:lang w:val="en-US" w:eastAsia="zh-CN"/>
              </w:rPr>
              <w:t>在确保安全生产、避免因安全生产事故引发的环境污染事件，切实落实环评提出的环境风险防范措施、应急措施，并加强环境管理的前提下，建设项目环境风险是可防控的。</w:t>
            </w:r>
          </w:p>
        </w:tc>
      </w:tr>
    </w:tbl>
    <w:p w14:paraId="0F6BA211">
      <w:pPr>
        <w:pStyle w:val="73"/>
        <w:spacing w:before="120"/>
        <w:sectPr>
          <w:footerReference r:id="rId48" w:type="default"/>
          <w:pgSz w:w="11907" w:h="16839"/>
          <w:pgMar w:top="1417" w:right="1417" w:bottom="1417" w:left="1417" w:header="851" w:footer="850" w:gutter="0"/>
          <w:cols w:space="720" w:num="1"/>
          <w:docGrid w:linePitch="326" w:charSpace="0"/>
        </w:sectPr>
      </w:pPr>
    </w:p>
    <w:p w14:paraId="4090335A">
      <w:pPr>
        <w:pStyle w:val="73"/>
        <w:spacing w:before="120"/>
        <w:rPr>
          <w:rFonts w:hAnsi="宋体" w:eastAsia="宋体"/>
          <w:b/>
        </w:rPr>
      </w:pPr>
      <w:r>
        <w:rPr>
          <w:rFonts w:hint="eastAsia" w:hAnsi="宋体" w:eastAsia="宋体"/>
          <w:b/>
        </w:rPr>
        <w:t>附件</w:t>
      </w:r>
    </w:p>
    <w:p w14:paraId="586E3595">
      <w:pPr>
        <w:pStyle w:val="73"/>
        <w:spacing w:before="120"/>
        <w:rPr>
          <w:rFonts w:hAnsi="宋体" w:eastAsia="宋体"/>
          <w:b/>
        </w:rPr>
      </w:pPr>
      <w:r>
        <w:drawing>
          <wp:anchor distT="0" distB="0" distL="114300" distR="114300" simplePos="0" relativeHeight="251660288" behindDoc="0" locked="0" layoutInCell="1" allowOverlap="1">
            <wp:simplePos x="0" y="0"/>
            <wp:positionH relativeFrom="margin">
              <wp:posOffset>793750</wp:posOffset>
            </wp:positionH>
            <wp:positionV relativeFrom="margin">
              <wp:posOffset>1241425</wp:posOffset>
            </wp:positionV>
            <wp:extent cx="5486400" cy="775652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486400" cy="7756525"/>
                    </a:xfrm>
                    <a:prstGeom prst="rect">
                      <a:avLst/>
                    </a:prstGeom>
                  </pic:spPr>
                </pic:pic>
              </a:graphicData>
            </a:graphic>
          </wp:anchor>
        </w:drawing>
      </w:r>
      <w:r>
        <w:rPr>
          <w:rFonts w:hint="eastAsia" w:hAnsi="宋体" w:eastAsia="宋体"/>
          <w:b/>
        </w:rPr>
        <w:t>附件18关于环评文件公开文本删除的涉及国家秘密、商业秘密等内容的删除依据和理由说明</w:t>
      </w:r>
    </w:p>
    <w:p w14:paraId="1CF06488">
      <w:pPr>
        <w:ind w:firstLine="480"/>
        <w:sectPr>
          <w:footerReference r:id="rId49" w:type="default"/>
          <w:pgSz w:w="14175" w:h="16839"/>
          <w:pgMar w:top="1418" w:right="1418" w:bottom="1418" w:left="1418" w:header="851" w:footer="850" w:gutter="0"/>
          <w:cols w:space="720" w:num="1"/>
          <w:docGrid w:linePitch="326" w:charSpace="0"/>
        </w:sectPr>
      </w:pPr>
    </w:p>
    <w:p w14:paraId="2D5F0D82">
      <w:pPr>
        <w:ind w:firstLine="480"/>
      </w:pPr>
      <w: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86400" cy="7748905"/>
            <wp:effectExtent l="0" t="0" r="0" b="4445"/>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486400" cy="7748905"/>
                    </a:xfrm>
                    <a:prstGeom prst="rect">
                      <a:avLst/>
                    </a:prstGeom>
                  </pic:spPr>
                </pic:pic>
              </a:graphicData>
            </a:graphic>
          </wp:anchor>
        </w:drawing>
      </w:r>
    </w:p>
    <w:sectPr>
      <w:pgSz w:w="14175" w:h="16839"/>
      <w:pgMar w:top="1418" w:right="1418" w:bottom="1418" w:left="1418" w:header="851" w:footer="850"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0495B">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w:t>
    </w:r>
    <w:r>
      <w:rPr>
        <w:sz w:val="26"/>
        <w:szCs w:val="26"/>
      </w:rPr>
      <w:fldChar w:fldCharType="end"/>
    </w:r>
    <w:r>
      <w:rPr>
        <w:rStyle w:val="35"/>
        <w:rFonts w:hint="eastAsia"/>
        <w:sz w:val="28"/>
        <w:szCs w:val="28"/>
      </w:rPr>
      <w:t>—</w:t>
    </w:r>
  </w:p>
  <w:p w14:paraId="67F5D7BD">
    <w:pPr>
      <w:pStyle w:val="21"/>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C125">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20</w:t>
    </w:r>
    <w:r>
      <w:rPr>
        <w:sz w:val="26"/>
        <w:szCs w:val="26"/>
      </w:rPr>
      <w:fldChar w:fldCharType="end"/>
    </w:r>
    <w:r>
      <w:rPr>
        <w:rStyle w:val="35"/>
        <w:rFonts w:hint="eastAsia"/>
        <w:sz w:val="28"/>
        <w:szCs w:val="28"/>
      </w:rPr>
      <w:t>—</w:t>
    </w:r>
  </w:p>
  <w:p w14:paraId="14F209C0">
    <w:pPr>
      <w:pStyle w:val="21"/>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A34E2">
    <w:pPr>
      <w:pStyle w:val="21"/>
      <w:framePr w:wrap="around" w:vAnchor="text" w:hAnchor="page" w:x="8070" w:y="-25"/>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24</w:t>
    </w:r>
    <w:r>
      <w:rPr>
        <w:sz w:val="26"/>
        <w:szCs w:val="26"/>
      </w:rPr>
      <w:fldChar w:fldCharType="end"/>
    </w:r>
    <w:r>
      <w:rPr>
        <w:rStyle w:val="35"/>
        <w:rFonts w:hint="eastAsia"/>
        <w:sz w:val="28"/>
        <w:szCs w:val="28"/>
      </w:rPr>
      <w:t>—</w:t>
    </w:r>
  </w:p>
  <w:p w14:paraId="4E03F110">
    <w:pPr>
      <w:pStyle w:val="21"/>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FB210">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26</w:t>
    </w:r>
    <w:r>
      <w:rPr>
        <w:sz w:val="26"/>
        <w:szCs w:val="26"/>
      </w:rPr>
      <w:fldChar w:fldCharType="end"/>
    </w:r>
    <w:r>
      <w:rPr>
        <w:rStyle w:val="35"/>
        <w:rFonts w:hint="eastAsia"/>
        <w:sz w:val="28"/>
        <w:szCs w:val="28"/>
      </w:rPr>
      <w:t>—</w:t>
    </w:r>
  </w:p>
  <w:p w14:paraId="6D3C51C5">
    <w:pPr>
      <w:pStyle w:val="21"/>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47BB2">
    <w:pPr>
      <w:pStyle w:val="21"/>
      <w:framePr w:wrap="around" w:vAnchor="text" w:hAnchor="page" w:x="7995" w:y="9"/>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29</w:t>
    </w:r>
    <w:r>
      <w:rPr>
        <w:sz w:val="26"/>
        <w:szCs w:val="26"/>
      </w:rPr>
      <w:fldChar w:fldCharType="end"/>
    </w:r>
    <w:r>
      <w:rPr>
        <w:rStyle w:val="35"/>
        <w:rFonts w:hint="eastAsia"/>
        <w:sz w:val="28"/>
        <w:szCs w:val="28"/>
      </w:rPr>
      <w:t>—</w:t>
    </w:r>
  </w:p>
  <w:p w14:paraId="2B256C49">
    <w:pPr>
      <w:pStyle w:val="21"/>
      <w:ind w:right="360"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B9C5B">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32</w:t>
    </w:r>
    <w:r>
      <w:rPr>
        <w:sz w:val="26"/>
        <w:szCs w:val="26"/>
      </w:rPr>
      <w:fldChar w:fldCharType="end"/>
    </w:r>
    <w:r>
      <w:rPr>
        <w:rStyle w:val="35"/>
        <w:rFonts w:hint="eastAsia"/>
        <w:sz w:val="28"/>
        <w:szCs w:val="28"/>
      </w:rPr>
      <w:t>—</w:t>
    </w:r>
  </w:p>
  <w:p w14:paraId="7A8818B9">
    <w:pPr>
      <w:pStyle w:val="21"/>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F66CF">
    <w:pPr>
      <w:pStyle w:val="21"/>
      <w:framePr w:wrap="around" w:vAnchor="text" w:hAnchor="page" w:x="7639" w:y="10"/>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34</w:t>
    </w:r>
    <w:r>
      <w:rPr>
        <w:sz w:val="26"/>
        <w:szCs w:val="26"/>
      </w:rPr>
      <w:fldChar w:fldCharType="end"/>
    </w:r>
    <w:r>
      <w:rPr>
        <w:rStyle w:val="35"/>
        <w:rFonts w:hint="eastAsia"/>
        <w:sz w:val="28"/>
        <w:szCs w:val="28"/>
      </w:rPr>
      <w:t>—</w:t>
    </w:r>
  </w:p>
  <w:p w14:paraId="2AFF4724">
    <w:pPr>
      <w:pStyle w:val="21"/>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0FFD0">
    <w:pPr>
      <w:pStyle w:val="21"/>
      <w:framePr w:wrap="around" w:vAnchor="text" w:hAnchor="page" w:x="9022" w:y="7"/>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49</w:t>
    </w:r>
    <w:r>
      <w:rPr>
        <w:sz w:val="26"/>
        <w:szCs w:val="26"/>
      </w:rPr>
      <w:fldChar w:fldCharType="end"/>
    </w:r>
    <w:r>
      <w:rPr>
        <w:rStyle w:val="35"/>
        <w:rFonts w:hint="eastAsia"/>
        <w:sz w:val="28"/>
        <w:szCs w:val="28"/>
      </w:rPr>
      <w:t>—</w:t>
    </w:r>
  </w:p>
  <w:p w14:paraId="232724E0">
    <w:pPr>
      <w:pStyle w:val="21"/>
      <w:ind w:right="360"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F60D2">
    <w:pPr>
      <w:pStyle w:val="21"/>
      <w:framePr w:wrap="around" w:vAnchor="text" w:hAnchor="page" w:x="11264" w:y="45"/>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50</w:t>
    </w:r>
    <w:r>
      <w:rPr>
        <w:sz w:val="26"/>
        <w:szCs w:val="26"/>
      </w:rPr>
      <w:fldChar w:fldCharType="end"/>
    </w:r>
    <w:r>
      <w:rPr>
        <w:rStyle w:val="35"/>
        <w:rFonts w:hint="eastAsia"/>
        <w:sz w:val="28"/>
        <w:szCs w:val="28"/>
      </w:rPr>
      <w:t>—</w:t>
    </w:r>
  </w:p>
  <w:p w14:paraId="32BCC966">
    <w:pPr>
      <w:pStyle w:val="21"/>
      <w:ind w:right="360"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14BBA">
    <w:pPr>
      <w:pStyle w:val="21"/>
      <w:framePr w:wrap="around" w:vAnchor="text" w:hAnchor="page" w:x="9022" w:y="7"/>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58</w:t>
    </w:r>
    <w:r>
      <w:rPr>
        <w:sz w:val="26"/>
        <w:szCs w:val="26"/>
      </w:rPr>
      <w:fldChar w:fldCharType="end"/>
    </w:r>
    <w:r>
      <w:rPr>
        <w:rStyle w:val="35"/>
        <w:rFonts w:hint="eastAsia"/>
        <w:sz w:val="28"/>
        <w:szCs w:val="28"/>
      </w:rPr>
      <w:t>—</w:t>
    </w:r>
  </w:p>
  <w:p w14:paraId="53C6ED80">
    <w:pPr>
      <w:pStyle w:val="21"/>
      <w:ind w:right="360"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91C9">
    <w:pPr>
      <w:pStyle w:val="21"/>
      <w:framePr w:wrap="around" w:vAnchor="text" w:hAnchor="page" w:x="9096" w:y="-85"/>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74</w:t>
    </w:r>
    <w:r>
      <w:rPr>
        <w:sz w:val="26"/>
        <w:szCs w:val="26"/>
      </w:rPr>
      <w:fldChar w:fldCharType="end"/>
    </w:r>
    <w:r>
      <w:rPr>
        <w:rStyle w:val="35"/>
        <w:rFonts w:hint="eastAsia"/>
        <w:sz w:val="28"/>
        <w:szCs w:val="28"/>
      </w:rPr>
      <w:t>—</w:t>
    </w:r>
  </w:p>
  <w:p w14:paraId="06512C1B">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9ED7F">
    <w:pPr>
      <w:pStyle w:val="21"/>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00D5B">
    <w:pPr>
      <w:pStyle w:val="21"/>
      <w:framePr w:wrap="around" w:vAnchor="text" w:hAnchor="page" w:x="11492" w:y="-97"/>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75</w:t>
    </w:r>
    <w:r>
      <w:rPr>
        <w:sz w:val="26"/>
        <w:szCs w:val="26"/>
      </w:rPr>
      <w:fldChar w:fldCharType="end"/>
    </w:r>
    <w:r>
      <w:rPr>
        <w:rStyle w:val="35"/>
        <w:rFonts w:hint="eastAsia"/>
        <w:sz w:val="28"/>
        <w:szCs w:val="28"/>
      </w:rPr>
      <w:t>—</w:t>
    </w:r>
  </w:p>
  <w:p w14:paraId="7117A1EE">
    <w:pPr>
      <w:pStyle w:val="21"/>
      <w:ind w:right="360"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BFD1">
    <w:pPr>
      <w:pStyle w:val="21"/>
      <w:framePr w:wrap="around" w:vAnchor="text" w:hAnchor="page" w:x="9159" w:yAlign="center"/>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81</w:t>
    </w:r>
    <w:r>
      <w:rPr>
        <w:sz w:val="26"/>
        <w:szCs w:val="26"/>
      </w:rPr>
      <w:fldChar w:fldCharType="end"/>
    </w:r>
    <w:r>
      <w:rPr>
        <w:rStyle w:val="35"/>
        <w:rFonts w:hint="eastAsia"/>
        <w:sz w:val="28"/>
        <w:szCs w:val="28"/>
      </w:rPr>
      <w:t>—</w:t>
    </w:r>
  </w:p>
  <w:p w14:paraId="6FA2DB95">
    <w:pPr>
      <w:pStyle w:val="21"/>
      <w:ind w:right="360"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C713D">
    <w:pPr>
      <w:pStyle w:val="21"/>
      <w:framePr w:wrap="around" w:vAnchor="text" w:hAnchor="page" w:x="11107" w:y="-99"/>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83</w:t>
    </w:r>
    <w:r>
      <w:rPr>
        <w:sz w:val="26"/>
        <w:szCs w:val="26"/>
      </w:rPr>
      <w:fldChar w:fldCharType="end"/>
    </w:r>
    <w:r>
      <w:rPr>
        <w:rStyle w:val="35"/>
        <w:rFonts w:hint="eastAsia"/>
        <w:sz w:val="28"/>
        <w:szCs w:val="28"/>
      </w:rPr>
      <w:t>—</w:t>
    </w:r>
  </w:p>
  <w:p w14:paraId="46FC5927">
    <w:pPr>
      <w:pStyle w:val="21"/>
      <w:ind w:right="360"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C908B">
    <w:pPr>
      <w:pStyle w:val="21"/>
      <w:framePr w:wrap="around" w:vAnchor="text" w:hAnchor="page" w:x="9028" w:y="-152"/>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84</w:t>
    </w:r>
    <w:r>
      <w:rPr>
        <w:sz w:val="26"/>
        <w:szCs w:val="26"/>
      </w:rPr>
      <w:fldChar w:fldCharType="end"/>
    </w:r>
    <w:r>
      <w:rPr>
        <w:rStyle w:val="35"/>
        <w:rFonts w:hint="eastAsia"/>
        <w:sz w:val="28"/>
        <w:szCs w:val="28"/>
      </w:rPr>
      <w:t>—</w:t>
    </w:r>
  </w:p>
  <w:p w14:paraId="3F491E12">
    <w:pPr>
      <w:pStyle w:val="21"/>
      <w:ind w:right="360" w:firstLine="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83B01">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93</w:t>
    </w:r>
    <w:r>
      <w:rPr>
        <w:sz w:val="26"/>
        <w:szCs w:val="26"/>
      </w:rPr>
      <w:fldChar w:fldCharType="end"/>
    </w:r>
    <w:r>
      <w:rPr>
        <w:rStyle w:val="35"/>
        <w:rFonts w:hint="eastAsia"/>
        <w:sz w:val="28"/>
        <w:szCs w:val="28"/>
      </w:rPr>
      <w:t>—</w:t>
    </w:r>
  </w:p>
  <w:p w14:paraId="729C0D79">
    <w:pPr>
      <w:pStyle w:val="21"/>
      <w:ind w:right="360" w:firstLine="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890F">
    <w:pPr>
      <w:pStyle w:val="21"/>
      <w:framePr w:wrap="around" w:vAnchor="text" w:hAnchor="page" w:x="11084" w:y="12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94</w:t>
    </w:r>
    <w:r>
      <w:rPr>
        <w:sz w:val="26"/>
        <w:szCs w:val="26"/>
      </w:rPr>
      <w:fldChar w:fldCharType="end"/>
    </w:r>
    <w:r>
      <w:rPr>
        <w:rStyle w:val="35"/>
        <w:rFonts w:hint="eastAsia"/>
        <w:sz w:val="28"/>
        <w:szCs w:val="28"/>
      </w:rPr>
      <w:t>—</w:t>
    </w:r>
  </w:p>
  <w:p w14:paraId="30DDFDF8">
    <w:pPr>
      <w:pStyle w:val="21"/>
      <w:ind w:right="360" w:firstLine="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4A18">
    <w:pPr>
      <w:pStyle w:val="21"/>
      <w:framePr w:wrap="around" w:vAnchor="text" w:hAnchor="page" w:x="7835" w:y="130"/>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95</w:t>
    </w:r>
    <w:r>
      <w:rPr>
        <w:sz w:val="26"/>
        <w:szCs w:val="26"/>
      </w:rPr>
      <w:fldChar w:fldCharType="end"/>
    </w:r>
    <w:r>
      <w:rPr>
        <w:rStyle w:val="35"/>
        <w:rFonts w:hint="eastAsia"/>
        <w:sz w:val="28"/>
        <w:szCs w:val="28"/>
      </w:rPr>
      <w:t>—</w:t>
    </w:r>
  </w:p>
  <w:p w14:paraId="1B792D3C">
    <w:pPr>
      <w:pStyle w:val="21"/>
      <w:ind w:right="360" w:firstLine="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3827B">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99</w:t>
    </w:r>
    <w:r>
      <w:rPr>
        <w:sz w:val="26"/>
        <w:szCs w:val="26"/>
      </w:rPr>
      <w:fldChar w:fldCharType="end"/>
    </w:r>
    <w:r>
      <w:rPr>
        <w:rStyle w:val="35"/>
        <w:rFonts w:hint="eastAsia"/>
        <w:sz w:val="28"/>
        <w:szCs w:val="28"/>
      </w:rPr>
      <w:t>—</w:t>
    </w:r>
  </w:p>
  <w:p w14:paraId="5D36D0C4">
    <w:pPr>
      <w:pStyle w:val="21"/>
      <w:ind w:right="360" w:firstLine="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EC70C">
    <w:pPr>
      <w:pStyle w:val="21"/>
      <w:framePr w:wrap="around" w:vAnchor="text" w:hAnchor="page" w:x="11264" w:y="-68"/>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100</w:t>
    </w:r>
    <w:r>
      <w:rPr>
        <w:sz w:val="26"/>
        <w:szCs w:val="26"/>
      </w:rPr>
      <w:fldChar w:fldCharType="end"/>
    </w:r>
    <w:r>
      <w:rPr>
        <w:rStyle w:val="35"/>
        <w:rFonts w:hint="eastAsia"/>
        <w:sz w:val="28"/>
        <w:szCs w:val="28"/>
      </w:rPr>
      <w:t>—</w:t>
    </w:r>
  </w:p>
  <w:p w14:paraId="3AA5D835">
    <w:pPr>
      <w:pStyle w:val="21"/>
      <w:ind w:right="360" w:firstLine="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51F87">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108</w:t>
    </w:r>
    <w:r>
      <w:rPr>
        <w:sz w:val="26"/>
        <w:szCs w:val="26"/>
      </w:rPr>
      <w:fldChar w:fldCharType="end"/>
    </w:r>
    <w:r>
      <w:rPr>
        <w:rStyle w:val="35"/>
        <w:rFonts w:hint="eastAsia"/>
        <w:sz w:val="28"/>
        <w:szCs w:val="28"/>
      </w:rPr>
      <w:t>—</w:t>
    </w:r>
  </w:p>
  <w:p w14:paraId="1A2396E5">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72E36">
    <w:pPr>
      <w:pStyle w:val="21"/>
      <w:ind w:firstLine="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BC5A1">
    <w:pPr>
      <w:pStyle w:val="21"/>
      <w:framePr w:wrap="around" w:vAnchor="text" w:hAnchor="page" w:x="7785" w:y="-27"/>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109</w:t>
    </w:r>
    <w:r>
      <w:rPr>
        <w:sz w:val="26"/>
        <w:szCs w:val="26"/>
      </w:rPr>
      <w:fldChar w:fldCharType="end"/>
    </w:r>
    <w:r>
      <w:rPr>
        <w:rStyle w:val="35"/>
        <w:rFonts w:hint="eastAsia"/>
        <w:sz w:val="28"/>
        <w:szCs w:val="28"/>
      </w:rPr>
      <w:t>—</w:t>
    </w:r>
  </w:p>
  <w:p w14:paraId="38E08A18">
    <w:pPr>
      <w:pStyle w:val="21"/>
      <w:ind w:right="360" w:firstLine="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B5824">
    <w:pPr>
      <w:pStyle w:val="21"/>
      <w:framePr w:wrap="around" w:vAnchor="text" w:hAnchor="page" w:x="8929" w:y="92"/>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112</w:t>
    </w:r>
    <w:r>
      <w:rPr>
        <w:sz w:val="26"/>
        <w:szCs w:val="26"/>
      </w:rPr>
      <w:fldChar w:fldCharType="end"/>
    </w:r>
    <w:r>
      <w:rPr>
        <w:rStyle w:val="35"/>
        <w:rFonts w:hint="eastAsia"/>
        <w:sz w:val="28"/>
        <w:szCs w:val="28"/>
      </w:rPr>
      <w:t>—</w:t>
    </w:r>
  </w:p>
  <w:p w14:paraId="1BE1DE6C">
    <w:pPr>
      <w:pStyle w:val="21"/>
      <w:ind w:right="360" w:firstLine="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27E3F">
    <w:pPr>
      <w:pStyle w:val="21"/>
      <w:framePr w:wrap="around" w:vAnchor="text" w:hAnchor="page" w:x="7877" w:y="18"/>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114</w:t>
    </w:r>
    <w:r>
      <w:rPr>
        <w:sz w:val="26"/>
        <w:szCs w:val="26"/>
      </w:rPr>
      <w:fldChar w:fldCharType="end"/>
    </w:r>
    <w:r>
      <w:rPr>
        <w:rStyle w:val="35"/>
        <w:rFonts w:hint="eastAsia"/>
        <w:sz w:val="28"/>
        <w:szCs w:val="28"/>
      </w:rPr>
      <w:t>—</w:t>
    </w:r>
  </w:p>
  <w:p w14:paraId="6204AA29">
    <w:pPr>
      <w:pStyle w:val="21"/>
      <w:ind w:right="360" w:firstLine="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50866">
    <w:pPr>
      <w:pStyle w:val="21"/>
      <w:framePr w:wrap="around" w:vAnchor="text" w:hAnchor="page" w:x="8929" w:y="92"/>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116</w:t>
    </w:r>
    <w:r>
      <w:rPr>
        <w:sz w:val="26"/>
        <w:szCs w:val="26"/>
      </w:rPr>
      <w:fldChar w:fldCharType="end"/>
    </w:r>
    <w:r>
      <w:rPr>
        <w:rStyle w:val="35"/>
        <w:rFonts w:hint="eastAsia"/>
        <w:sz w:val="28"/>
        <w:szCs w:val="28"/>
      </w:rPr>
      <w:t>—</w:t>
    </w:r>
  </w:p>
  <w:p w14:paraId="56DD3B7C">
    <w:pPr>
      <w:pStyle w:val="21"/>
      <w:ind w:right="360" w:firstLine="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AC28">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126</w:t>
    </w:r>
    <w:r>
      <w:rPr>
        <w:sz w:val="26"/>
        <w:szCs w:val="26"/>
      </w:rPr>
      <w:fldChar w:fldCharType="end"/>
    </w:r>
    <w:r>
      <w:rPr>
        <w:rStyle w:val="35"/>
        <w:rFonts w:hint="eastAsia"/>
        <w:sz w:val="28"/>
        <w:szCs w:val="28"/>
      </w:rPr>
      <w:t>—</w:t>
    </w:r>
  </w:p>
  <w:p w14:paraId="55F72A42">
    <w:pPr>
      <w:pStyle w:val="21"/>
      <w:ind w:right="360" w:firstLine="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44347">
    <w:pPr>
      <w:pStyle w:val="2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3F15">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2</w:t>
    </w:r>
    <w:r>
      <w:rPr>
        <w:sz w:val="26"/>
        <w:szCs w:val="26"/>
      </w:rPr>
      <w:fldChar w:fldCharType="end"/>
    </w:r>
    <w:r>
      <w:rPr>
        <w:rStyle w:val="35"/>
        <w:rFonts w:hint="eastAsia"/>
        <w:sz w:val="28"/>
        <w:szCs w:val="28"/>
      </w:rPr>
      <w:t>—</w:t>
    </w:r>
  </w:p>
  <w:p w14:paraId="1C25574D">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AF11E">
    <w:pPr>
      <w:pStyle w:val="2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B7225">
    <w:pPr>
      <w:pStyle w:val="2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45322">
    <w:pPr>
      <w:pStyle w:val="21"/>
      <w:framePr w:wrap="around" w:vAnchor="text" w:hAnchor="page" w:x="8170" w:y="-18"/>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13</w:t>
    </w:r>
    <w:r>
      <w:rPr>
        <w:sz w:val="26"/>
        <w:szCs w:val="26"/>
      </w:rPr>
      <w:fldChar w:fldCharType="end"/>
    </w:r>
    <w:r>
      <w:rPr>
        <w:rStyle w:val="35"/>
        <w:rFonts w:hint="eastAsia"/>
        <w:sz w:val="28"/>
        <w:szCs w:val="28"/>
      </w:rPr>
      <w:t>—</w:t>
    </w:r>
  </w:p>
  <w:p w14:paraId="4BCE38C6">
    <w:pPr>
      <w:pStyle w:val="21"/>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85E4">
    <w:pPr>
      <w:pStyle w:val="21"/>
      <w:framePr w:wrap="around" w:vAnchor="text" w:hAnchor="page" w:x="9376" w:y="1"/>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18</w:t>
    </w:r>
    <w:r>
      <w:rPr>
        <w:sz w:val="26"/>
        <w:szCs w:val="26"/>
      </w:rPr>
      <w:fldChar w:fldCharType="end"/>
    </w:r>
    <w:r>
      <w:rPr>
        <w:rStyle w:val="35"/>
        <w:rFonts w:hint="eastAsia"/>
        <w:sz w:val="28"/>
        <w:szCs w:val="28"/>
      </w:rPr>
      <w:t>—</w:t>
    </w:r>
  </w:p>
  <w:p w14:paraId="11AEA460">
    <w:pPr>
      <w:pStyle w:val="21"/>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9D4F0">
    <w:pPr>
      <w:pStyle w:val="21"/>
      <w:framePr w:wrap="around" w:vAnchor="text" w:hAnchor="page" w:x="7756" w:y="-24"/>
      <w:ind w:firstLine="0" w:firstLineChars="0"/>
      <w:rPr>
        <w:rStyle w:val="35"/>
        <w:sz w:val="28"/>
        <w:szCs w:val="28"/>
      </w:rPr>
    </w:pPr>
    <w:r>
      <w:rPr>
        <w:rStyle w:val="35"/>
        <w:rFonts w:hint="eastAsia"/>
        <w:sz w:val="28"/>
        <w:szCs w:val="28"/>
      </w:rPr>
      <w:t>—</w:t>
    </w:r>
    <w:r>
      <w:rPr>
        <w:sz w:val="26"/>
        <w:szCs w:val="26"/>
      </w:rPr>
      <w:fldChar w:fldCharType="begin"/>
    </w:r>
    <w:r>
      <w:rPr>
        <w:rStyle w:val="35"/>
        <w:sz w:val="26"/>
        <w:szCs w:val="26"/>
      </w:rPr>
      <w:instrText xml:space="preserve">PAGE  </w:instrText>
    </w:r>
    <w:r>
      <w:rPr>
        <w:sz w:val="26"/>
        <w:szCs w:val="26"/>
      </w:rPr>
      <w:fldChar w:fldCharType="separate"/>
    </w:r>
    <w:r>
      <w:rPr>
        <w:rStyle w:val="35"/>
        <w:sz w:val="26"/>
        <w:szCs w:val="26"/>
      </w:rPr>
      <w:t>19</w:t>
    </w:r>
    <w:r>
      <w:rPr>
        <w:sz w:val="26"/>
        <w:szCs w:val="26"/>
      </w:rPr>
      <w:fldChar w:fldCharType="end"/>
    </w:r>
    <w:r>
      <w:rPr>
        <w:rStyle w:val="35"/>
        <w:rFonts w:hint="eastAsia"/>
        <w:sz w:val="28"/>
        <w:szCs w:val="28"/>
      </w:rPr>
      <w:t>—</w:t>
    </w:r>
  </w:p>
  <w:p w14:paraId="759EDF1B">
    <w:pPr>
      <w:pStyle w:val="21"/>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1277D">
    <w:pPr>
      <w:pStyle w:val="23"/>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5EC2B">
    <w:pPr>
      <w:pStyle w:val="2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97A2C">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E39C9">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9072D">
    <w:pPr>
      <w:pStyle w:val="2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F9805">
    <w:pPr>
      <w:pStyle w:val="2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45308">
    <w:pPr>
      <w:pStyle w:val="23"/>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D2270">
    <w:pPr>
      <w:pStyle w:val="23"/>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F94E6">
    <w:pPr>
      <w:pStyle w:val="23"/>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93469">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4282A"/>
    <w:multiLevelType w:val="multilevel"/>
    <w:tmpl w:val="76B4282A"/>
    <w:lvl w:ilvl="0" w:tentative="0">
      <w:start w:val="1"/>
      <w:numFmt w:val="chineseCountingThousand"/>
      <w:pStyle w:val="90"/>
      <w:suff w:val="space"/>
      <w:lvlText w:val="%1、"/>
      <w:lvlJc w:val="left"/>
      <w:pPr>
        <w:ind w:left="0" w:firstLine="0"/>
      </w:pPr>
      <w:rPr>
        <w:rFonts w:ascii="Times New Roman" w:hAnsi="Times New Roman" w:cs="Times New Roman"/>
        <w:b/>
        <w:bCs w:val="0"/>
        <w:i w:val="0"/>
        <w:iCs w:val="0"/>
        <w:caps w:val="0"/>
        <w:smallCaps w:val="0"/>
        <w:strike w:val="0"/>
        <w:dstrike w:val="0"/>
        <w:vanish w:val="0"/>
        <w:spacing w:val="0"/>
        <w:position w:val="0"/>
        <w:u w:val="none"/>
        <w:vertAlign w:val="baseline"/>
      </w:rPr>
    </w:lvl>
    <w:lvl w:ilvl="1" w:tentative="0">
      <w:start w:val="1"/>
      <w:numFmt w:val="decimal"/>
      <w:pStyle w:val="95"/>
      <w:isLgl/>
      <w:suff w:val="space"/>
      <w:lvlText w:val="%1.%2 "/>
      <w:lvlJc w:val="left"/>
      <w:pPr>
        <w:ind w:left="0" w:firstLine="0"/>
      </w:pPr>
      <w:rPr>
        <w:rFonts w:hint="eastAsia"/>
        <w:b/>
        <w:bCs w:val="0"/>
        <w:i w:val="0"/>
        <w:iCs w:val="0"/>
        <w:caps w:val="0"/>
        <w:smallCaps w:val="0"/>
        <w:strike w:val="0"/>
        <w:dstrike w:val="0"/>
        <w:vanish w:val="0"/>
        <w:spacing w:val="0"/>
        <w:position w:val="0"/>
        <w:u w:val="none"/>
        <w:vertAlign w:val="baseline"/>
      </w:rPr>
    </w:lvl>
    <w:lvl w:ilvl="2" w:tentative="0">
      <w:start w:val="1"/>
      <w:numFmt w:val="decimal"/>
      <w:pStyle w:val="93"/>
      <w:isLgl/>
      <w:suff w:val="space"/>
      <w:lvlText w:val="%1.%2.%3 "/>
      <w:lvlJc w:val="left"/>
      <w:pPr>
        <w:ind w:left="0" w:firstLine="0"/>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94"/>
      <w:isLgl/>
      <w:suff w:val="space"/>
      <w:lvlText w:val="%1.%2.%3.%4 "/>
      <w:lvlJc w:val="left"/>
      <w:pPr>
        <w:ind w:left="0" w:firstLine="0"/>
      </w:pPr>
      <w:rPr>
        <w:rFonts w:hint="eastAsia"/>
      </w:rPr>
    </w:lvl>
    <w:lvl w:ilvl="4" w:tentative="0">
      <w:start w:val="1"/>
      <w:numFmt w:val="decimal"/>
      <w:lvlRestart w:val="2"/>
      <w:pStyle w:val="91"/>
      <w:isLgl/>
      <w:suff w:val="space"/>
      <w:lvlText w:val="表%1.%2-%5"/>
      <w:lvlJc w:val="left"/>
      <w:pPr>
        <w:ind w:left="3544" w:firstLine="0"/>
      </w:pPr>
      <w:rPr>
        <w:b/>
        <w:bCs w:val="0"/>
        <w:i w:val="0"/>
        <w:iCs w:val="0"/>
        <w:caps w:val="0"/>
        <w:smallCaps w:val="0"/>
        <w:strike w:val="0"/>
        <w:dstrike w:val="0"/>
        <w:vanish w:val="0"/>
        <w:spacing w:val="0"/>
        <w:position w:val="0"/>
        <w:u w:val="none"/>
        <w:vertAlign w:val="baseline"/>
        <w:lang w:val="en-US"/>
      </w:rPr>
    </w:lvl>
    <w:lvl w:ilvl="5" w:tentative="0">
      <w:start w:val="1"/>
      <w:numFmt w:val="decimal"/>
      <w:lvlRestart w:val="2"/>
      <w:pStyle w:val="96"/>
      <w:isLgl/>
      <w:suff w:val="space"/>
      <w:lvlText w:val="图%1.%2-%6"/>
      <w:lvlJc w:val="left"/>
      <w:pPr>
        <w:ind w:left="0" w:firstLine="0"/>
      </w:pPr>
      <w:rPr>
        <w:rFonts w:hint="eastAsia"/>
      </w:rPr>
    </w:lvl>
    <w:lvl w:ilvl="6" w:tentative="0">
      <w:start w:val="1"/>
      <w:numFmt w:val="decimal"/>
      <w:lvlText w:val="%1.%2.%3.%4.%5.%6.%7"/>
      <w:lvlJc w:val="left"/>
      <w:pPr>
        <w:tabs>
          <w:tab w:val="left" w:pos="1566"/>
        </w:tabs>
        <w:ind w:left="0" w:firstLine="0"/>
      </w:pPr>
      <w:rPr>
        <w:rFonts w:hint="eastAsia"/>
      </w:rPr>
    </w:lvl>
    <w:lvl w:ilvl="7" w:tentative="0">
      <w:start w:val="1"/>
      <w:numFmt w:val="decimal"/>
      <w:lvlText w:val="%1.%2.%3.%4.%5.%6.%7.%8"/>
      <w:lvlJc w:val="left"/>
      <w:pPr>
        <w:tabs>
          <w:tab w:val="left" w:pos="1566"/>
        </w:tabs>
        <w:ind w:left="0" w:firstLine="0"/>
      </w:pPr>
      <w:rPr>
        <w:rFonts w:hint="eastAsia"/>
      </w:rPr>
    </w:lvl>
    <w:lvl w:ilvl="8" w:tentative="0">
      <w:start w:val="1"/>
      <w:numFmt w:val="decimal"/>
      <w:lvlText w:val="%1.%2.%3.%4.%5.%6.%7.%8.%9"/>
      <w:lvlJc w:val="left"/>
      <w:pPr>
        <w:tabs>
          <w:tab w:val="left" w:pos="1566"/>
        </w:tabs>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YWFiODY0ZWJkNjZjMzJiNDZhOThmMzExMmIyYWUifQ=="/>
  </w:docVars>
  <w:rsids>
    <w:rsidRoot w:val="6B1219DD"/>
    <w:rsid w:val="00000F39"/>
    <w:rsid w:val="00000F47"/>
    <w:rsid w:val="0000127F"/>
    <w:rsid w:val="00001800"/>
    <w:rsid w:val="00001BF3"/>
    <w:rsid w:val="0000204E"/>
    <w:rsid w:val="000025F3"/>
    <w:rsid w:val="00002C22"/>
    <w:rsid w:val="00002D5D"/>
    <w:rsid w:val="00002FE7"/>
    <w:rsid w:val="0000377B"/>
    <w:rsid w:val="0000460C"/>
    <w:rsid w:val="000051BA"/>
    <w:rsid w:val="00006EC4"/>
    <w:rsid w:val="0000706D"/>
    <w:rsid w:val="0000743D"/>
    <w:rsid w:val="0000786B"/>
    <w:rsid w:val="000100B6"/>
    <w:rsid w:val="0001033E"/>
    <w:rsid w:val="000107D5"/>
    <w:rsid w:val="00010CA3"/>
    <w:rsid w:val="00010F2D"/>
    <w:rsid w:val="00010F8F"/>
    <w:rsid w:val="00011AE8"/>
    <w:rsid w:val="00011DC5"/>
    <w:rsid w:val="00011DF9"/>
    <w:rsid w:val="0001218B"/>
    <w:rsid w:val="00012341"/>
    <w:rsid w:val="0001348A"/>
    <w:rsid w:val="000136FD"/>
    <w:rsid w:val="000138E4"/>
    <w:rsid w:val="00014539"/>
    <w:rsid w:val="0001478A"/>
    <w:rsid w:val="00014D4F"/>
    <w:rsid w:val="0001596D"/>
    <w:rsid w:val="00015EC1"/>
    <w:rsid w:val="00016068"/>
    <w:rsid w:val="0001623B"/>
    <w:rsid w:val="00016783"/>
    <w:rsid w:val="00016BC3"/>
    <w:rsid w:val="00016C72"/>
    <w:rsid w:val="00016C7A"/>
    <w:rsid w:val="00017D6A"/>
    <w:rsid w:val="00017F76"/>
    <w:rsid w:val="000216B0"/>
    <w:rsid w:val="00021FB1"/>
    <w:rsid w:val="0002217F"/>
    <w:rsid w:val="00022187"/>
    <w:rsid w:val="00023AC8"/>
    <w:rsid w:val="00023CED"/>
    <w:rsid w:val="00024366"/>
    <w:rsid w:val="00024B66"/>
    <w:rsid w:val="0002544B"/>
    <w:rsid w:val="0002551E"/>
    <w:rsid w:val="000262B9"/>
    <w:rsid w:val="0002730C"/>
    <w:rsid w:val="00027310"/>
    <w:rsid w:val="00030612"/>
    <w:rsid w:val="00030626"/>
    <w:rsid w:val="00030627"/>
    <w:rsid w:val="0003068D"/>
    <w:rsid w:val="00030762"/>
    <w:rsid w:val="0003150F"/>
    <w:rsid w:val="000317C8"/>
    <w:rsid w:val="00031B89"/>
    <w:rsid w:val="00032329"/>
    <w:rsid w:val="00032C3F"/>
    <w:rsid w:val="00032F0B"/>
    <w:rsid w:val="0003523B"/>
    <w:rsid w:val="0003540A"/>
    <w:rsid w:val="00035A23"/>
    <w:rsid w:val="00035B39"/>
    <w:rsid w:val="00040942"/>
    <w:rsid w:val="00042241"/>
    <w:rsid w:val="00042653"/>
    <w:rsid w:val="00042CBC"/>
    <w:rsid w:val="0004329B"/>
    <w:rsid w:val="00044B57"/>
    <w:rsid w:val="000451A1"/>
    <w:rsid w:val="00045AC3"/>
    <w:rsid w:val="00047906"/>
    <w:rsid w:val="00050B3E"/>
    <w:rsid w:val="00051084"/>
    <w:rsid w:val="000511A5"/>
    <w:rsid w:val="000517A4"/>
    <w:rsid w:val="00051C37"/>
    <w:rsid w:val="00053406"/>
    <w:rsid w:val="000539C5"/>
    <w:rsid w:val="00054A5F"/>
    <w:rsid w:val="00056B25"/>
    <w:rsid w:val="00056E41"/>
    <w:rsid w:val="00056F67"/>
    <w:rsid w:val="000575CE"/>
    <w:rsid w:val="000616F8"/>
    <w:rsid w:val="00062A6C"/>
    <w:rsid w:val="0006353D"/>
    <w:rsid w:val="000638E1"/>
    <w:rsid w:val="00064CF2"/>
    <w:rsid w:val="00064F00"/>
    <w:rsid w:val="000655B2"/>
    <w:rsid w:val="00065837"/>
    <w:rsid w:val="00066574"/>
    <w:rsid w:val="00067028"/>
    <w:rsid w:val="00067EF8"/>
    <w:rsid w:val="00071638"/>
    <w:rsid w:val="00071DD2"/>
    <w:rsid w:val="000722FA"/>
    <w:rsid w:val="00072386"/>
    <w:rsid w:val="00072391"/>
    <w:rsid w:val="00073CE7"/>
    <w:rsid w:val="000745B8"/>
    <w:rsid w:val="00074D01"/>
    <w:rsid w:val="00075089"/>
    <w:rsid w:val="00075522"/>
    <w:rsid w:val="00075BB1"/>
    <w:rsid w:val="00075E5E"/>
    <w:rsid w:val="00076580"/>
    <w:rsid w:val="00076658"/>
    <w:rsid w:val="000769B3"/>
    <w:rsid w:val="00076A7D"/>
    <w:rsid w:val="00077500"/>
    <w:rsid w:val="00080C9F"/>
    <w:rsid w:val="0008112A"/>
    <w:rsid w:val="000820A3"/>
    <w:rsid w:val="00083170"/>
    <w:rsid w:val="00083918"/>
    <w:rsid w:val="00083A08"/>
    <w:rsid w:val="000847DF"/>
    <w:rsid w:val="00084B90"/>
    <w:rsid w:val="00084DF3"/>
    <w:rsid w:val="000857CD"/>
    <w:rsid w:val="00086756"/>
    <w:rsid w:val="00086EE9"/>
    <w:rsid w:val="00087118"/>
    <w:rsid w:val="000871BC"/>
    <w:rsid w:val="00087684"/>
    <w:rsid w:val="000876A5"/>
    <w:rsid w:val="00087EB2"/>
    <w:rsid w:val="00090061"/>
    <w:rsid w:val="00091C2D"/>
    <w:rsid w:val="000922A1"/>
    <w:rsid w:val="00093386"/>
    <w:rsid w:val="000946E0"/>
    <w:rsid w:val="00094FC1"/>
    <w:rsid w:val="0009534B"/>
    <w:rsid w:val="000957EB"/>
    <w:rsid w:val="00095850"/>
    <w:rsid w:val="00096347"/>
    <w:rsid w:val="000A07D8"/>
    <w:rsid w:val="000A13BF"/>
    <w:rsid w:val="000A14C3"/>
    <w:rsid w:val="000A26F6"/>
    <w:rsid w:val="000A2A8E"/>
    <w:rsid w:val="000A3860"/>
    <w:rsid w:val="000A4037"/>
    <w:rsid w:val="000A465D"/>
    <w:rsid w:val="000A53BB"/>
    <w:rsid w:val="000A59E1"/>
    <w:rsid w:val="000A5A2C"/>
    <w:rsid w:val="000A66A1"/>
    <w:rsid w:val="000B0E78"/>
    <w:rsid w:val="000B0EAD"/>
    <w:rsid w:val="000B1D13"/>
    <w:rsid w:val="000B1D5F"/>
    <w:rsid w:val="000B2B69"/>
    <w:rsid w:val="000B2D9E"/>
    <w:rsid w:val="000B307C"/>
    <w:rsid w:val="000B3156"/>
    <w:rsid w:val="000B317B"/>
    <w:rsid w:val="000B398E"/>
    <w:rsid w:val="000B4234"/>
    <w:rsid w:val="000B4F29"/>
    <w:rsid w:val="000B4F3F"/>
    <w:rsid w:val="000B6459"/>
    <w:rsid w:val="000B7272"/>
    <w:rsid w:val="000B7FFE"/>
    <w:rsid w:val="000C02FC"/>
    <w:rsid w:val="000C03A8"/>
    <w:rsid w:val="000C098E"/>
    <w:rsid w:val="000C13C6"/>
    <w:rsid w:val="000C2D26"/>
    <w:rsid w:val="000C39B4"/>
    <w:rsid w:val="000C3BDA"/>
    <w:rsid w:val="000C3C1C"/>
    <w:rsid w:val="000C410F"/>
    <w:rsid w:val="000C480C"/>
    <w:rsid w:val="000C4A79"/>
    <w:rsid w:val="000C4B29"/>
    <w:rsid w:val="000C53BF"/>
    <w:rsid w:val="000C56F2"/>
    <w:rsid w:val="000C5E18"/>
    <w:rsid w:val="000C6447"/>
    <w:rsid w:val="000C6B16"/>
    <w:rsid w:val="000C6F9F"/>
    <w:rsid w:val="000C72E3"/>
    <w:rsid w:val="000D0A58"/>
    <w:rsid w:val="000D0E44"/>
    <w:rsid w:val="000D264B"/>
    <w:rsid w:val="000D2C65"/>
    <w:rsid w:val="000D2E6B"/>
    <w:rsid w:val="000D3675"/>
    <w:rsid w:val="000D3F39"/>
    <w:rsid w:val="000D4E46"/>
    <w:rsid w:val="000D4ED2"/>
    <w:rsid w:val="000D505D"/>
    <w:rsid w:val="000D5258"/>
    <w:rsid w:val="000D5468"/>
    <w:rsid w:val="000D5613"/>
    <w:rsid w:val="000D65E9"/>
    <w:rsid w:val="000D6C64"/>
    <w:rsid w:val="000D6C7C"/>
    <w:rsid w:val="000D7067"/>
    <w:rsid w:val="000E04A1"/>
    <w:rsid w:val="000E093B"/>
    <w:rsid w:val="000E12ED"/>
    <w:rsid w:val="000E1EC3"/>
    <w:rsid w:val="000E26C4"/>
    <w:rsid w:val="000E2D6A"/>
    <w:rsid w:val="000E4403"/>
    <w:rsid w:val="000E4F2D"/>
    <w:rsid w:val="000E54AF"/>
    <w:rsid w:val="000E5572"/>
    <w:rsid w:val="000E5EF2"/>
    <w:rsid w:val="000E64CF"/>
    <w:rsid w:val="000E6BBC"/>
    <w:rsid w:val="000E7306"/>
    <w:rsid w:val="000F0095"/>
    <w:rsid w:val="000F07B7"/>
    <w:rsid w:val="000F08D8"/>
    <w:rsid w:val="000F0985"/>
    <w:rsid w:val="000F0D90"/>
    <w:rsid w:val="000F2808"/>
    <w:rsid w:val="000F29FB"/>
    <w:rsid w:val="000F2B05"/>
    <w:rsid w:val="000F2C4F"/>
    <w:rsid w:val="000F3732"/>
    <w:rsid w:val="000F4BF6"/>
    <w:rsid w:val="000F57A1"/>
    <w:rsid w:val="000F6413"/>
    <w:rsid w:val="000F65ED"/>
    <w:rsid w:val="000F6B61"/>
    <w:rsid w:val="000F6C7E"/>
    <w:rsid w:val="000F70FB"/>
    <w:rsid w:val="000F7864"/>
    <w:rsid w:val="000F7EB5"/>
    <w:rsid w:val="00100FBB"/>
    <w:rsid w:val="00101122"/>
    <w:rsid w:val="00101368"/>
    <w:rsid w:val="001019A5"/>
    <w:rsid w:val="00101E0F"/>
    <w:rsid w:val="00102539"/>
    <w:rsid w:val="0010361D"/>
    <w:rsid w:val="00104F23"/>
    <w:rsid w:val="0010510E"/>
    <w:rsid w:val="0010538D"/>
    <w:rsid w:val="00105833"/>
    <w:rsid w:val="00105A84"/>
    <w:rsid w:val="001065DF"/>
    <w:rsid w:val="001072F6"/>
    <w:rsid w:val="0010743F"/>
    <w:rsid w:val="00110ECE"/>
    <w:rsid w:val="001114CA"/>
    <w:rsid w:val="00111B0D"/>
    <w:rsid w:val="00111BB3"/>
    <w:rsid w:val="00111E51"/>
    <w:rsid w:val="00111FDF"/>
    <w:rsid w:val="001128A1"/>
    <w:rsid w:val="00112D32"/>
    <w:rsid w:val="00113487"/>
    <w:rsid w:val="001137A8"/>
    <w:rsid w:val="00114266"/>
    <w:rsid w:val="00114C7F"/>
    <w:rsid w:val="00114F16"/>
    <w:rsid w:val="001151B1"/>
    <w:rsid w:val="00115EF9"/>
    <w:rsid w:val="00116758"/>
    <w:rsid w:val="001168E9"/>
    <w:rsid w:val="00116C32"/>
    <w:rsid w:val="001202D3"/>
    <w:rsid w:val="001209EB"/>
    <w:rsid w:val="00120BFF"/>
    <w:rsid w:val="0012122D"/>
    <w:rsid w:val="00121753"/>
    <w:rsid w:val="0012269C"/>
    <w:rsid w:val="00122A2A"/>
    <w:rsid w:val="00122A89"/>
    <w:rsid w:val="0012508D"/>
    <w:rsid w:val="00125242"/>
    <w:rsid w:val="00125338"/>
    <w:rsid w:val="001256F0"/>
    <w:rsid w:val="00125DEF"/>
    <w:rsid w:val="00126D62"/>
    <w:rsid w:val="00127070"/>
    <w:rsid w:val="00127F44"/>
    <w:rsid w:val="00131AD1"/>
    <w:rsid w:val="00133D8A"/>
    <w:rsid w:val="00134040"/>
    <w:rsid w:val="001349F0"/>
    <w:rsid w:val="0013519C"/>
    <w:rsid w:val="00135596"/>
    <w:rsid w:val="00135648"/>
    <w:rsid w:val="00135728"/>
    <w:rsid w:val="00135F94"/>
    <w:rsid w:val="00136C65"/>
    <w:rsid w:val="0014003C"/>
    <w:rsid w:val="00140E63"/>
    <w:rsid w:val="001413A4"/>
    <w:rsid w:val="001413AC"/>
    <w:rsid w:val="001416BD"/>
    <w:rsid w:val="00141AD8"/>
    <w:rsid w:val="0014285F"/>
    <w:rsid w:val="00142EBE"/>
    <w:rsid w:val="00143F99"/>
    <w:rsid w:val="001449B0"/>
    <w:rsid w:val="00146795"/>
    <w:rsid w:val="00146E9D"/>
    <w:rsid w:val="00147B4E"/>
    <w:rsid w:val="0015056D"/>
    <w:rsid w:val="00151391"/>
    <w:rsid w:val="00151948"/>
    <w:rsid w:val="00152CFB"/>
    <w:rsid w:val="00152E4D"/>
    <w:rsid w:val="00153244"/>
    <w:rsid w:val="001533C3"/>
    <w:rsid w:val="00153FCF"/>
    <w:rsid w:val="0015417E"/>
    <w:rsid w:val="00154CAE"/>
    <w:rsid w:val="0015575C"/>
    <w:rsid w:val="00155832"/>
    <w:rsid w:val="00156097"/>
    <w:rsid w:val="0015660F"/>
    <w:rsid w:val="00157743"/>
    <w:rsid w:val="00160241"/>
    <w:rsid w:val="00160465"/>
    <w:rsid w:val="00160466"/>
    <w:rsid w:val="001606F3"/>
    <w:rsid w:val="00161E3D"/>
    <w:rsid w:val="00163CF9"/>
    <w:rsid w:val="0016404F"/>
    <w:rsid w:val="00164CF5"/>
    <w:rsid w:val="001651A2"/>
    <w:rsid w:val="00166BBE"/>
    <w:rsid w:val="00167278"/>
    <w:rsid w:val="00167335"/>
    <w:rsid w:val="0016757D"/>
    <w:rsid w:val="001679E7"/>
    <w:rsid w:val="00170077"/>
    <w:rsid w:val="0017059B"/>
    <w:rsid w:val="0017106F"/>
    <w:rsid w:val="001717A2"/>
    <w:rsid w:val="00171931"/>
    <w:rsid w:val="00171C26"/>
    <w:rsid w:val="0017525E"/>
    <w:rsid w:val="00176943"/>
    <w:rsid w:val="00176BD8"/>
    <w:rsid w:val="00177DE1"/>
    <w:rsid w:val="00177FCC"/>
    <w:rsid w:val="0018022F"/>
    <w:rsid w:val="0018113F"/>
    <w:rsid w:val="00181C70"/>
    <w:rsid w:val="001828AC"/>
    <w:rsid w:val="00182A9F"/>
    <w:rsid w:val="00182DAE"/>
    <w:rsid w:val="00183942"/>
    <w:rsid w:val="00183B2C"/>
    <w:rsid w:val="001844D0"/>
    <w:rsid w:val="00185904"/>
    <w:rsid w:val="00186FB6"/>
    <w:rsid w:val="001873FD"/>
    <w:rsid w:val="001879AB"/>
    <w:rsid w:val="0019050F"/>
    <w:rsid w:val="00191041"/>
    <w:rsid w:val="0019272A"/>
    <w:rsid w:val="001930E4"/>
    <w:rsid w:val="0019346F"/>
    <w:rsid w:val="00193B07"/>
    <w:rsid w:val="0019424C"/>
    <w:rsid w:val="00195222"/>
    <w:rsid w:val="00195EF9"/>
    <w:rsid w:val="0019608A"/>
    <w:rsid w:val="00196197"/>
    <w:rsid w:val="00196C6C"/>
    <w:rsid w:val="00197CB9"/>
    <w:rsid w:val="001A0784"/>
    <w:rsid w:val="001A118B"/>
    <w:rsid w:val="001A1E45"/>
    <w:rsid w:val="001A1F1D"/>
    <w:rsid w:val="001A230B"/>
    <w:rsid w:val="001A23CA"/>
    <w:rsid w:val="001A2E54"/>
    <w:rsid w:val="001A2E84"/>
    <w:rsid w:val="001A3DED"/>
    <w:rsid w:val="001A5364"/>
    <w:rsid w:val="001A56F1"/>
    <w:rsid w:val="001A5FF8"/>
    <w:rsid w:val="001A65C6"/>
    <w:rsid w:val="001A6AFA"/>
    <w:rsid w:val="001A6F93"/>
    <w:rsid w:val="001A732E"/>
    <w:rsid w:val="001A7494"/>
    <w:rsid w:val="001B011B"/>
    <w:rsid w:val="001B07A0"/>
    <w:rsid w:val="001B0E84"/>
    <w:rsid w:val="001B10AA"/>
    <w:rsid w:val="001B1B3A"/>
    <w:rsid w:val="001B2591"/>
    <w:rsid w:val="001B2E95"/>
    <w:rsid w:val="001B2EE4"/>
    <w:rsid w:val="001B34FC"/>
    <w:rsid w:val="001B351A"/>
    <w:rsid w:val="001B3DDC"/>
    <w:rsid w:val="001B3DE6"/>
    <w:rsid w:val="001B401E"/>
    <w:rsid w:val="001B4AC4"/>
    <w:rsid w:val="001B54A6"/>
    <w:rsid w:val="001B5C3D"/>
    <w:rsid w:val="001B5CBE"/>
    <w:rsid w:val="001B5D8B"/>
    <w:rsid w:val="001B63FA"/>
    <w:rsid w:val="001B6816"/>
    <w:rsid w:val="001B6A8C"/>
    <w:rsid w:val="001B7515"/>
    <w:rsid w:val="001C07A4"/>
    <w:rsid w:val="001C0985"/>
    <w:rsid w:val="001C0B12"/>
    <w:rsid w:val="001C1537"/>
    <w:rsid w:val="001C156A"/>
    <w:rsid w:val="001C1D44"/>
    <w:rsid w:val="001C2690"/>
    <w:rsid w:val="001C279B"/>
    <w:rsid w:val="001C3CA9"/>
    <w:rsid w:val="001C40AA"/>
    <w:rsid w:val="001C4527"/>
    <w:rsid w:val="001C4D49"/>
    <w:rsid w:val="001C540B"/>
    <w:rsid w:val="001C5B13"/>
    <w:rsid w:val="001C5B19"/>
    <w:rsid w:val="001C5F8C"/>
    <w:rsid w:val="001C6117"/>
    <w:rsid w:val="001C61A8"/>
    <w:rsid w:val="001C61F4"/>
    <w:rsid w:val="001C6756"/>
    <w:rsid w:val="001C73C0"/>
    <w:rsid w:val="001C7700"/>
    <w:rsid w:val="001C78E6"/>
    <w:rsid w:val="001C7A09"/>
    <w:rsid w:val="001D0864"/>
    <w:rsid w:val="001D0E87"/>
    <w:rsid w:val="001D2596"/>
    <w:rsid w:val="001D290B"/>
    <w:rsid w:val="001D2938"/>
    <w:rsid w:val="001D2ACE"/>
    <w:rsid w:val="001D2D44"/>
    <w:rsid w:val="001D3A86"/>
    <w:rsid w:val="001D4049"/>
    <w:rsid w:val="001D4703"/>
    <w:rsid w:val="001D4C03"/>
    <w:rsid w:val="001D4D3F"/>
    <w:rsid w:val="001D6017"/>
    <w:rsid w:val="001D6B63"/>
    <w:rsid w:val="001D6C40"/>
    <w:rsid w:val="001D708C"/>
    <w:rsid w:val="001D743F"/>
    <w:rsid w:val="001D7C1C"/>
    <w:rsid w:val="001D7F13"/>
    <w:rsid w:val="001E0480"/>
    <w:rsid w:val="001E0FA1"/>
    <w:rsid w:val="001E1408"/>
    <w:rsid w:val="001E2A68"/>
    <w:rsid w:val="001E361B"/>
    <w:rsid w:val="001E3A15"/>
    <w:rsid w:val="001E43F0"/>
    <w:rsid w:val="001E4467"/>
    <w:rsid w:val="001E4886"/>
    <w:rsid w:val="001E48A7"/>
    <w:rsid w:val="001E4D56"/>
    <w:rsid w:val="001E5B26"/>
    <w:rsid w:val="001E5FAD"/>
    <w:rsid w:val="001E64AC"/>
    <w:rsid w:val="001E7336"/>
    <w:rsid w:val="001E78C7"/>
    <w:rsid w:val="001F16A0"/>
    <w:rsid w:val="001F2397"/>
    <w:rsid w:val="001F24DC"/>
    <w:rsid w:val="001F2D11"/>
    <w:rsid w:val="001F2E9E"/>
    <w:rsid w:val="001F373C"/>
    <w:rsid w:val="001F3C0C"/>
    <w:rsid w:val="001F3C1E"/>
    <w:rsid w:val="001F4579"/>
    <w:rsid w:val="001F482A"/>
    <w:rsid w:val="001F4AEE"/>
    <w:rsid w:val="001F4C5F"/>
    <w:rsid w:val="001F5CE7"/>
    <w:rsid w:val="001F620A"/>
    <w:rsid w:val="001F669D"/>
    <w:rsid w:val="001F72B1"/>
    <w:rsid w:val="001F73B5"/>
    <w:rsid w:val="002006B8"/>
    <w:rsid w:val="0020094D"/>
    <w:rsid w:val="00201C8F"/>
    <w:rsid w:val="00204256"/>
    <w:rsid w:val="002043C4"/>
    <w:rsid w:val="002044C8"/>
    <w:rsid w:val="002048F0"/>
    <w:rsid w:val="00204ACE"/>
    <w:rsid w:val="0020621A"/>
    <w:rsid w:val="002073A9"/>
    <w:rsid w:val="00207A04"/>
    <w:rsid w:val="002110C2"/>
    <w:rsid w:val="0021130A"/>
    <w:rsid w:val="002113A1"/>
    <w:rsid w:val="00211D22"/>
    <w:rsid w:val="00211E27"/>
    <w:rsid w:val="00212CAD"/>
    <w:rsid w:val="00213185"/>
    <w:rsid w:val="00213D1E"/>
    <w:rsid w:val="00213F6A"/>
    <w:rsid w:val="00214867"/>
    <w:rsid w:val="00214D21"/>
    <w:rsid w:val="00215A36"/>
    <w:rsid w:val="00216C6E"/>
    <w:rsid w:val="00216DF1"/>
    <w:rsid w:val="002172F6"/>
    <w:rsid w:val="0022064E"/>
    <w:rsid w:val="002210E0"/>
    <w:rsid w:val="002233A9"/>
    <w:rsid w:val="00223A3A"/>
    <w:rsid w:val="00223B1F"/>
    <w:rsid w:val="0022442C"/>
    <w:rsid w:val="00224C74"/>
    <w:rsid w:val="00224EAD"/>
    <w:rsid w:val="002252CE"/>
    <w:rsid w:val="00225597"/>
    <w:rsid w:val="002258E4"/>
    <w:rsid w:val="0022659D"/>
    <w:rsid w:val="0022670D"/>
    <w:rsid w:val="0022748C"/>
    <w:rsid w:val="00227A72"/>
    <w:rsid w:val="00227E3F"/>
    <w:rsid w:val="00230654"/>
    <w:rsid w:val="0023068E"/>
    <w:rsid w:val="00230A48"/>
    <w:rsid w:val="0023139B"/>
    <w:rsid w:val="00231763"/>
    <w:rsid w:val="002324E2"/>
    <w:rsid w:val="002325A5"/>
    <w:rsid w:val="00232C40"/>
    <w:rsid w:val="00233608"/>
    <w:rsid w:val="0023424A"/>
    <w:rsid w:val="002356CB"/>
    <w:rsid w:val="00235AC8"/>
    <w:rsid w:val="00235C4C"/>
    <w:rsid w:val="002360A8"/>
    <w:rsid w:val="002367F5"/>
    <w:rsid w:val="002368D9"/>
    <w:rsid w:val="00236FCA"/>
    <w:rsid w:val="00237D21"/>
    <w:rsid w:val="00237E72"/>
    <w:rsid w:val="00241A39"/>
    <w:rsid w:val="00241DBA"/>
    <w:rsid w:val="0024303F"/>
    <w:rsid w:val="0024333D"/>
    <w:rsid w:val="0024354D"/>
    <w:rsid w:val="00243624"/>
    <w:rsid w:val="00244302"/>
    <w:rsid w:val="00244793"/>
    <w:rsid w:val="0024483F"/>
    <w:rsid w:val="00244D0F"/>
    <w:rsid w:val="00245C37"/>
    <w:rsid w:val="00245DB8"/>
    <w:rsid w:val="00245E1C"/>
    <w:rsid w:val="00246966"/>
    <w:rsid w:val="00246A92"/>
    <w:rsid w:val="00246B03"/>
    <w:rsid w:val="002472A7"/>
    <w:rsid w:val="00247B81"/>
    <w:rsid w:val="00250F96"/>
    <w:rsid w:val="002510C5"/>
    <w:rsid w:val="00252611"/>
    <w:rsid w:val="00252C43"/>
    <w:rsid w:val="00253A42"/>
    <w:rsid w:val="00254693"/>
    <w:rsid w:val="00255216"/>
    <w:rsid w:val="0025557F"/>
    <w:rsid w:val="00255B69"/>
    <w:rsid w:val="0025614B"/>
    <w:rsid w:val="00256894"/>
    <w:rsid w:val="00256FF3"/>
    <w:rsid w:val="002573A5"/>
    <w:rsid w:val="002602BA"/>
    <w:rsid w:val="0026037B"/>
    <w:rsid w:val="00260BB9"/>
    <w:rsid w:val="00260DEE"/>
    <w:rsid w:val="002613EE"/>
    <w:rsid w:val="00261554"/>
    <w:rsid w:val="00261A18"/>
    <w:rsid w:val="00261BCC"/>
    <w:rsid w:val="002630BB"/>
    <w:rsid w:val="00263FDB"/>
    <w:rsid w:val="00264757"/>
    <w:rsid w:val="0026485C"/>
    <w:rsid w:val="002652A6"/>
    <w:rsid w:val="002664A3"/>
    <w:rsid w:val="00267035"/>
    <w:rsid w:val="002673B2"/>
    <w:rsid w:val="002703CB"/>
    <w:rsid w:val="002716FB"/>
    <w:rsid w:val="002720DE"/>
    <w:rsid w:val="00272568"/>
    <w:rsid w:val="00272AC6"/>
    <w:rsid w:val="00273D02"/>
    <w:rsid w:val="0027456A"/>
    <w:rsid w:val="0027578F"/>
    <w:rsid w:val="00275E22"/>
    <w:rsid w:val="002760AD"/>
    <w:rsid w:val="00276E06"/>
    <w:rsid w:val="00277567"/>
    <w:rsid w:val="00277722"/>
    <w:rsid w:val="002806C3"/>
    <w:rsid w:val="00280ACD"/>
    <w:rsid w:val="0028135C"/>
    <w:rsid w:val="00281B70"/>
    <w:rsid w:val="00282FEF"/>
    <w:rsid w:val="002832E1"/>
    <w:rsid w:val="00283835"/>
    <w:rsid w:val="00283A35"/>
    <w:rsid w:val="00283BD3"/>
    <w:rsid w:val="00285AF2"/>
    <w:rsid w:val="00285E4F"/>
    <w:rsid w:val="00286C4A"/>
    <w:rsid w:val="00287578"/>
    <w:rsid w:val="002876EA"/>
    <w:rsid w:val="00287CF8"/>
    <w:rsid w:val="00290840"/>
    <w:rsid w:val="00290C52"/>
    <w:rsid w:val="002911BE"/>
    <w:rsid w:val="002920E2"/>
    <w:rsid w:val="00292CD1"/>
    <w:rsid w:val="00293DF5"/>
    <w:rsid w:val="00295A35"/>
    <w:rsid w:val="00296930"/>
    <w:rsid w:val="00296933"/>
    <w:rsid w:val="00296974"/>
    <w:rsid w:val="00297C6B"/>
    <w:rsid w:val="002A0C72"/>
    <w:rsid w:val="002A2506"/>
    <w:rsid w:val="002A2E11"/>
    <w:rsid w:val="002A31C4"/>
    <w:rsid w:val="002A398D"/>
    <w:rsid w:val="002A4A62"/>
    <w:rsid w:val="002A579A"/>
    <w:rsid w:val="002A6974"/>
    <w:rsid w:val="002A7842"/>
    <w:rsid w:val="002A7A06"/>
    <w:rsid w:val="002A7A1D"/>
    <w:rsid w:val="002A7D11"/>
    <w:rsid w:val="002A7E60"/>
    <w:rsid w:val="002B07BF"/>
    <w:rsid w:val="002B088D"/>
    <w:rsid w:val="002B14AE"/>
    <w:rsid w:val="002B1F40"/>
    <w:rsid w:val="002B2334"/>
    <w:rsid w:val="002B23D4"/>
    <w:rsid w:val="002B3163"/>
    <w:rsid w:val="002B3387"/>
    <w:rsid w:val="002B4C28"/>
    <w:rsid w:val="002B5574"/>
    <w:rsid w:val="002B5C56"/>
    <w:rsid w:val="002B6276"/>
    <w:rsid w:val="002B6481"/>
    <w:rsid w:val="002B6CAA"/>
    <w:rsid w:val="002B6D79"/>
    <w:rsid w:val="002B6E29"/>
    <w:rsid w:val="002C0140"/>
    <w:rsid w:val="002C0E27"/>
    <w:rsid w:val="002C16E9"/>
    <w:rsid w:val="002C1B37"/>
    <w:rsid w:val="002C356D"/>
    <w:rsid w:val="002C3DC0"/>
    <w:rsid w:val="002C3F49"/>
    <w:rsid w:val="002C405B"/>
    <w:rsid w:val="002C4234"/>
    <w:rsid w:val="002C627A"/>
    <w:rsid w:val="002C7384"/>
    <w:rsid w:val="002C789E"/>
    <w:rsid w:val="002D008F"/>
    <w:rsid w:val="002D0A55"/>
    <w:rsid w:val="002D0BF2"/>
    <w:rsid w:val="002D0FE9"/>
    <w:rsid w:val="002D1420"/>
    <w:rsid w:val="002D2A4A"/>
    <w:rsid w:val="002D2B87"/>
    <w:rsid w:val="002D3518"/>
    <w:rsid w:val="002D3A83"/>
    <w:rsid w:val="002D4A04"/>
    <w:rsid w:val="002D568E"/>
    <w:rsid w:val="002D57BF"/>
    <w:rsid w:val="002E05C1"/>
    <w:rsid w:val="002E08FA"/>
    <w:rsid w:val="002E2325"/>
    <w:rsid w:val="002E23AC"/>
    <w:rsid w:val="002E328E"/>
    <w:rsid w:val="002E335D"/>
    <w:rsid w:val="002E33A1"/>
    <w:rsid w:val="002E3459"/>
    <w:rsid w:val="002E34F4"/>
    <w:rsid w:val="002E3AFD"/>
    <w:rsid w:val="002E3ED1"/>
    <w:rsid w:val="002E4C19"/>
    <w:rsid w:val="002E5B4D"/>
    <w:rsid w:val="002E6331"/>
    <w:rsid w:val="002E6738"/>
    <w:rsid w:val="002E7340"/>
    <w:rsid w:val="002F1B8F"/>
    <w:rsid w:val="002F20F3"/>
    <w:rsid w:val="002F28DE"/>
    <w:rsid w:val="002F3412"/>
    <w:rsid w:val="002F3D4E"/>
    <w:rsid w:val="002F3E08"/>
    <w:rsid w:val="002F411D"/>
    <w:rsid w:val="002F4857"/>
    <w:rsid w:val="002F4D1E"/>
    <w:rsid w:val="002F57F6"/>
    <w:rsid w:val="002F5DFB"/>
    <w:rsid w:val="002F6F1D"/>
    <w:rsid w:val="002F76D7"/>
    <w:rsid w:val="00300F86"/>
    <w:rsid w:val="00301278"/>
    <w:rsid w:val="00301887"/>
    <w:rsid w:val="00302D0D"/>
    <w:rsid w:val="00302D99"/>
    <w:rsid w:val="0030379C"/>
    <w:rsid w:val="00303E5D"/>
    <w:rsid w:val="00304588"/>
    <w:rsid w:val="0030531B"/>
    <w:rsid w:val="003054B3"/>
    <w:rsid w:val="00306A70"/>
    <w:rsid w:val="00306DD4"/>
    <w:rsid w:val="00307338"/>
    <w:rsid w:val="003078DF"/>
    <w:rsid w:val="0030793D"/>
    <w:rsid w:val="0031097D"/>
    <w:rsid w:val="00310BC5"/>
    <w:rsid w:val="00310DAE"/>
    <w:rsid w:val="00312254"/>
    <w:rsid w:val="00312A9A"/>
    <w:rsid w:val="00312DD6"/>
    <w:rsid w:val="00312F77"/>
    <w:rsid w:val="00313B1B"/>
    <w:rsid w:val="00314F25"/>
    <w:rsid w:val="00315317"/>
    <w:rsid w:val="0031556A"/>
    <w:rsid w:val="003162A1"/>
    <w:rsid w:val="003167D0"/>
    <w:rsid w:val="003174CC"/>
    <w:rsid w:val="003178CC"/>
    <w:rsid w:val="003202E4"/>
    <w:rsid w:val="0032111E"/>
    <w:rsid w:val="00321C6D"/>
    <w:rsid w:val="00322AA4"/>
    <w:rsid w:val="00323B26"/>
    <w:rsid w:val="00324C44"/>
    <w:rsid w:val="00325402"/>
    <w:rsid w:val="00325B65"/>
    <w:rsid w:val="0032721B"/>
    <w:rsid w:val="00327667"/>
    <w:rsid w:val="0033046C"/>
    <w:rsid w:val="003315D3"/>
    <w:rsid w:val="0033217D"/>
    <w:rsid w:val="00332CFC"/>
    <w:rsid w:val="00333241"/>
    <w:rsid w:val="003341DA"/>
    <w:rsid w:val="003342A7"/>
    <w:rsid w:val="00334477"/>
    <w:rsid w:val="00334754"/>
    <w:rsid w:val="00334B14"/>
    <w:rsid w:val="00334EA8"/>
    <w:rsid w:val="003356D9"/>
    <w:rsid w:val="00335846"/>
    <w:rsid w:val="00335EEA"/>
    <w:rsid w:val="003360D7"/>
    <w:rsid w:val="0033639C"/>
    <w:rsid w:val="0033653D"/>
    <w:rsid w:val="00336A7C"/>
    <w:rsid w:val="0034068B"/>
    <w:rsid w:val="0034145A"/>
    <w:rsid w:val="003418F8"/>
    <w:rsid w:val="00341D92"/>
    <w:rsid w:val="00342568"/>
    <w:rsid w:val="00342F86"/>
    <w:rsid w:val="003439EA"/>
    <w:rsid w:val="00343A94"/>
    <w:rsid w:val="00343C31"/>
    <w:rsid w:val="00343F40"/>
    <w:rsid w:val="00344943"/>
    <w:rsid w:val="00344BC4"/>
    <w:rsid w:val="00344E83"/>
    <w:rsid w:val="00345A2E"/>
    <w:rsid w:val="003465DA"/>
    <w:rsid w:val="00346720"/>
    <w:rsid w:val="00346C24"/>
    <w:rsid w:val="00346DFD"/>
    <w:rsid w:val="003476F4"/>
    <w:rsid w:val="00347A33"/>
    <w:rsid w:val="00347E1E"/>
    <w:rsid w:val="003508E4"/>
    <w:rsid w:val="00350DD7"/>
    <w:rsid w:val="00351114"/>
    <w:rsid w:val="00351478"/>
    <w:rsid w:val="00351E0B"/>
    <w:rsid w:val="00352529"/>
    <w:rsid w:val="00352FB4"/>
    <w:rsid w:val="003542DC"/>
    <w:rsid w:val="00354332"/>
    <w:rsid w:val="003544AA"/>
    <w:rsid w:val="00356E43"/>
    <w:rsid w:val="00357FA5"/>
    <w:rsid w:val="00360A23"/>
    <w:rsid w:val="0036116E"/>
    <w:rsid w:val="00361872"/>
    <w:rsid w:val="00361A87"/>
    <w:rsid w:val="00361C6C"/>
    <w:rsid w:val="003624C4"/>
    <w:rsid w:val="003629FB"/>
    <w:rsid w:val="00363038"/>
    <w:rsid w:val="00363114"/>
    <w:rsid w:val="0036324B"/>
    <w:rsid w:val="00363DA5"/>
    <w:rsid w:val="00365516"/>
    <w:rsid w:val="00365585"/>
    <w:rsid w:val="00365D26"/>
    <w:rsid w:val="00366818"/>
    <w:rsid w:val="003677EA"/>
    <w:rsid w:val="00367800"/>
    <w:rsid w:val="0036783A"/>
    <w:rsid w:val="00367B6F"/>
    <w:rsid w:val="00367BE9"/>
    <w:rsid w:val="00370366"/>
    <w:rsid w:val="00371912"/>
    <w:rsid w:val="00371C10"/>
    <w:rsid w:val="00371D32"/>
    <w:rsid w:val="00372164"/>
    <w:rsid w:val="00372EA9"/>
    <w:rsid w:val="003731A9"/>
    <w:rsid w:val="00373703"/>
    <w:rsid w:val="00373C33"/>
    <w:rsid w:val="003746EA"/>
    <w:rsid w:val="003747AF"/>
    <w:rsid w:val="00374F0E"/>
    <w:rsid w:val="003750F6"/>
    <w:rsid w:val="00375A84"/>
    <w:rsid w:val="003771AC"/>
    <w:rsid w:val="0037726B"/>
    <w:rsid w:val="00377371"/>
    <w:rsid w:val="0037745D"/>
    <w:rsid w:val="00377DE7"/>
    <w:rsid w:val="00381C5C"/>
    <w:rsid w:val="00381E60"/>
    <w:rsid w:val="0038212C"/>
    <w:rsid w:val="00382905"/>
    <w:rsid w:val="00383075"/>
    <w:rsid w:val="003833D0"/>
    <w:rsid w:val="00383CD1"/>
    <w:rsid w:val="00383DC9"/>
    <w:rsid w:val="0038442C"/>
    <w:rsid w:val="00384498"/>
    <w:rsid w:val="00384DF8"/>
    <w:rsid w:val="003855FC"/>
    <w:rsid w:val="003857B5"/>
    <w:rsid w:val="00385B5F"/>
    <w:rsid w:val="00385E17"/>
    <w:rsid w:val="003861A6"/>
    <w:rsid w:val="003865F3"/>
    <w:rsid w:val="00386604"/>
    <w:rsid w:val="00386735"/>
    <w:rsid w:val="00387458"/>
    <w:rsid w:val="00387EAD"/>
    <w:rsid w:val="00390AD2"/>
    <w:rsid w:val="00391045"/>
    <w:rsid w:val="00391ABE"/>
    <w:rsid w:val="003940E4"/>
    <w:rsid w:val="00394320"/>
    <w:rsid w:val="0039467F"/>
    <w:rsid w:val="00394D33"/>
    <w:rsid w:val="00394F20"/>
    <w:rsid w:val="003968E7"/>
    <w:rsid w:val="0039708B"/>
    <w:rsid w:val="00397177"/>
    <w:rsid w:val="003A2CB1"/>
    <w:rsid w:val="003A3D55"/>
    <w:rsid w:val="003A50F9"/>
    <w:rsid w:val="003A5632"/>
    <w:rsid w:val="003A5D5C"/>
    <w:rsid w:val="003A6370"/>
    <w:rsid w:val="003A6576"/>
    <w:rsid w:val="003A65C9"/>
    <w:rsid w:val="003A691F"/>
    <w:rsid w:val="003A6B67"/>
    <w:rsid w:val="003A7301"/>
    <w:rsid w:val="003A7A1A"/>
    <w:rsid w:val="003A7B66"/>
    <w:rsid w:val="003B0646"/>
    <w:rsid w:val="003B06D2"/>
    <w:rsid w:val="003B0BEB"/>
    <w:rsid w:val="003B0C83"/>
    <w:rsid w:val="003B0CED"/>
    <w:rsid w:val="003B14CE"/>
    <w:rsid w:val="003B1DD7"/>
    <w:rsid w:val="003B212F"/>
    <w:rsid w:val="003B35DA"/>
    <w:rsid w:val="003B3CF8"/>
    <w:rsid w:val="003B3EF1"/>
    <w:rsid w:val="003B50B1"/>
    <w:rsid w:val="003B51B4"/>
    <w:rsid w:val="003B5CDF"/>
    <w:rsid w:val="003B62DD"/>
    <w:rsid w:val="003B6D73"/>
    <w:rsid w:val="003B6DC0"/>
    <w:rsid w:val="003B6DF8"/>
    <w:rsid w:val="003B6E15"/>
    <w:rsid w:val="003B7DCC"/>
    <w:rsid w:val="003C063B"/>
    <w:rsid w:val="003C0DA9"/>
    <w:rsid w:val="003C0EA9"/>
    <w:rsid w:val="003C166F"/>
    <w:rsid w:val="003C18EB"/>
    <w:rsid w:val="003C1A04"/>
    <w:rsid w:val="003C1BA4"/>
    <w:rsid w:val="003C23D3"/>
    <w:rsid w:val="003C26BE"/>
    <w:rsid w:val="003C3A93"/>
    <w:rsid w:val="003C3DF8"/>
    <w:rsid w:val="003C4BF3"/>
    <w:rsid w:val="003C4FEB"/>
    <w:rsid w:val="003C5776"/>
    <w:rsid w:val="003C684F"/>
    <w:rsid w:val="003C711E"/>
    <w:rsid w:val="003C793C"/>
    <w:rsid w:val="003D018D"/>
    <w:rsid w:val="003D0469"/>
    <w:rsid w:val="003D1268"/>
    <w:rsid w:val="003D22D1"/>
    <w:rsid w:val="003D326E"/>
    <w:rsid w:val="003D337F"/>
    <w:rsid w:val="003D3EBE"/>
    <w:rsid w:val="003D4255"/>
    <w:rsid w:val="003D43DE"/>
    <w:rsid w:val="003D4CC6"/>
    <w:rsid w:val="003D4E0F"/>
    <w:rsid w:val="003D5184"/>
    <w:rsid w:val="003D56AB"/>
    <w:rsid w:val="003E018F"/>
    <w:rsid w:val="003E1055"/>
    <w:rsid w:val="003E1239"/>
    <w:rsid w:val="003E18B0"/>
    <w:rsid w:val="003E39FF"/>
    <w:rsid w:val="003E3E86"/>
    <w:rsid w:val="003E4464"/>
    <w:rsid w:val="003E4802"/>
    <w:rsid w:val="003E5E3A"/>
    <w:rsid w:val="003E5E55"/>
    <w:rsid w:val="003E5EC5"/>
    <w:rsid w:val="003E5FAC"/>
    <w:rsid w:val="003E6342"/>
    <w:rsid w:val="003E670C"/>
    <w:rsid w:val="003E6ABE"/>
    <w:rsid w:val="003E7B68"/>
    <w:rsid w:val="003E7BB6"/>
    <w:rsid w:val="003F0FF1"/>
    <w:rsid w:val="003F114D"/>
    <w:rsid w:val="003F208E"/>
    <w:rsid w:val="003F3948"/>
    <w:rsid w:val="003F3D83"/>
    <w:rsid w:val="003F4EA0"/>
    <w:rsid w:val="003F4F10"/>
    <w:rsid w:val="003F5E7C"/>
    <w:rsid w:val="003F5EE8"/>
    <w:rsid w:val="003F626E"/>
    <w:rsid w:val="003F6EC0"/>
    <w:rsid w:val="003F7447"/>
    <w:rsid w:val="003F774E"/>
    <w:rsid w:val="0040043B"/>
    <w:rsid w:val="0040077E"/>
    <w:rsid w:val="00400B04"/>
    <w:rsid w:val="004015D7"/>
    <w:rsid w:val="00402700"/>
    <w:rsid w:val="004041C6"/>
    <w:rsid w:val="0040421C"/>
    <w:rsid w:val="00404B11"/>
    <w:rsid w:val="00405805"/>
    <w:rsid w:val="0040599F"/>
    <w:rsid w:val="004075D1"/>
    <w:rsid w:val="004116C5"/>
    <w:rsid w:val="00411781"/>
    <w:rsid w:val="00411AE1"/>
    <w:rsid w:val="0041200B"/>
    <w:rsid w:val="00412487"/>
    <w:rsid w:val="00412669"/>
    <w:rsid w:val="00412A0D"/>
    <w:rsid w:val="0041376E"/>
    <w:rsid w:val="00414F8F"/>
    <w:rsid w:val="00415366"/>
    <w:rsid w:val="0041600B"/>
    <w:rsid w:val="00420B30"/>
    <w:rsid w:val="00420E19"/>
    <w:rsid w:val="00421176"/>
    <w:rsid w:val="0042176B"/>
    <w:rsid w:val="004217DC"/>
    <w:rsid w:val="004217E7"/>
    <w:rsid w:val="004229F4"/>
    <w:rsid w:val="00423793"/>
    <w:rsid w:val="00424232"/>
    <w:rsid w:val="004243F6"/>
    <w:rsid w:val="004252B1"/>
    <w:rsid w:val="0042691A"/>
    <w:rsid w:val="00426BE7"/>
    <w:rsid w:val="004270B5"/>
    <w:rsid w:val="00427470"/>
    <w:rsid w:val="0043096C"/>
    <w:rsid w:val="00430E21"/>
    <w:rsid w:val="00432A19"/>
    <w:rsid w:val="0043318F"/>
    <w:rsid w:val="0043496D"/>
    <w:rsid w:val="00436453"/>
    <w:rsid w:val="00436B45"/>
    <w:rsid w:val="00436DFA"/>
    <w:rsid w:val="0043728B"/>
    <w:rsid w:val="004408E7"/>
    <w:rsid w:val="00440CB0"/>
    <w:rsid w:val="00441059"/>
    <w:rsid w:val="0044160F"/>
    <w:rsid w:val="00442490"/>
    <w:rsid w:val="00443A7F"/>
    <w:rsid w:val="004444E0"/>
    <w:rsid w:val="00446840"/>
    <w:rsid w:val="004472B3"/>
    <w:rsid w:val="00447698"/>
    <w:rsid w:val="004478CB"/>
    <w:rsid w:val="004479F6"/>
    <w:rsid w:val="004500A2"/>
    <w:rsid w:val="00450154"/>
    <w:rsid w:val="00450488"/>
    <w:rsid w:val="004520B9"/>
    <w:rsid w:val="00452299"/>
    <w:rsid w:val="00452377"/>
    <w:rsid w:val="004524E0"/>
    <w:rsid w:val="00452531"/>
    <w:rsid w:val="004529CB"/>
    <w:rsid w:val="00452F85"/>
    <w:rsid w:val="00453CD8"/>
    <w:rsid w:val="00454169"/>
    <w:rsid w:val="004542EE"/>
    <w:rsid w:val="00454508"/>
    <w:rsid w:val="004548FD"/>
    <w:rsid w:val="00454CD2"/>
    <w:rsid w:val="00454DB3"/>
    <w:rsid w:val="00455656"/>
    <w:rsid w:val="004559DB"/>
    <w:rsid w:val="00456BF4"/>
    <w:rsid w:val="00456C0A"/>
    <w:rsid w:val="00456E76"/>
    <w:rsid w:val="00457346"/>
    <w:rsid w:val="004600B6"/>
    <w:rsid w:val="0046020B"/>
    <w:rsid w:val="00461133"/>
    <w:rsid w:val="00461144"/>
    <w:rsid w:val="00461323"/>
    <w:rsid w:val="00463CD4"/>
    <w:rsid w:val="0046404C"/>
    <w:rsid w:val="00464BD3"/>
    <w:rsid w:val="004652B8"/>
    <w:rsid w:val="0046549E"/>
    <w:rsid w:val="00465857"/>
    <w:rsid w:val="004658C6"/>
    <w:rsid w:val="0046595C"/>
    <w:rsid w:val="00465CB7"/>
    <w:rsid w:val="00465E54"/>
    <w:rsid w:val="0046619A"/>
    <w:rsid w:val="0046640E"/>
    <w:rsid w:val="00467407"/>
    <w:rsid w:val="0047028E"/>
    <w:rsid w:val="00471D59"/>
    <w:rsid w:val="00472F27"/>
    <w:rsid w:val="00473C4E"/>
    <w:rsid w:val="004742F6"/>
    <w:rsid w:val="00474AE6"/>
    <w:rsid w:val="0047509E"/>
    <w:rsid w:val="00475192"/>
    <w:rsid w:val="004752BD"/>
    <w:rsid w:val="0047628C"/>
    <w:rsid w:val="00476918"/>
    <w:rsid w:val="00477319"/>
    <w:rsid w:val="00477658"/>
    <w:rsid w:val="00480F29"/>
    <w:rsid w:val="004821CC"/>
    <w:rsid w:val="0048272F"/>
    <w:rsid w:val="00482851"/>
    <w:rsid w:val="004829BE"/>
    <w:rsid w:val="00482F91"/>
    <w:rsid w:val="00483BB8"/>
    <w:rsid w:val="004846EA"/>
    <w:rsid w:val="004851E3"/>
    <w:rsid w:val="004857C8"/>
    <w:rsid w:val="00485960"/>
    <w:rsid w:val="00485C03"/>
    <w:rsid w:val="004863CF"/>
    <w:rsid w:val="00486C04"/>
    <w:rsid w:val="00487102"/>
    <w:rsid w:val="004907BD"/>
    <w:rsid w:val="00490F66"/>
    <w:rsid w:val="00491D57"/>
    <w:rsid w:val="004921D6"/>
    <w:rsid w:val="004926E4"/>
    <w:rsid w:val="00492777"/>
    <w:rsid w:val="004936DC"/>
    <w:rsid w:val="00494F1F"/>
    <w:rsid w:val="0049627F"/>
    <w:rsid w:val="0049736D"/>
    <w:rsid w:val="004979F0"/>
    <w:rsid w:val="004A0435"/>
    <w:rsid w:val="004A05CA"/>
    <w:rsid w:val="004A0E64"/>
    <w:rsid w:val="004A0F4B"/>
    <w:rsid w:val="004A0FE9"/>
    <w:rsid w:val="004A1294"/>
    <w:rsid w:val="004A1FD3"/>
    <w:rsid w:val="004A1FF9"/>
    <w:rsid w:val="004A322F"/>
    <w:rsid w:val="004A36F0"/>
    <w:rsid w:val="004A40D3"/>
    <w:rsid w:val="004A434D"/>
    <w:rsid w:val="004A48FE"/>
    <w:rsid w:val="004A4A44"/>
    <w:rsid w:val="004A543B"/>
    <w:rsid w:val="004A5DDE"/>
    <w:rsid w:val="004A6061"/>
    <w:rsid w:val="004A7D73"/>
    <w:rsid w:val="004A7EFB"/>
    <w:rsid w:val="004B038E"/>
    <w:rsid w:val="004B053B"/>
    <w:rsid w:val="004B14E2"/>
    <w:rsid w:val="004B165F"/>
    <w:rsid w:val="004B1B5D"/>
    <w:rsid w:val="004B280B"/>
    <w:rsid w:val="004B2A22"/>
    <w:rsid w:val="004B3385"/>
    <w:rsid w:val="004B3AF6"/>
    <w:rsid w:val="004B3DE1"/>
    <w:rsid w:val="004B3F83"/>
    <w:rsid w:val="004B404F"/>
    <w:rsid w:val="004B40EF"/>
    <w:rsid w:val="004B44F0"/>
    <w:rsid w:val="004B4CCB"/>
    <w:rsid w:val="004B5988"/>
    <w:rsid w:val="004B63DC"/>
    <w:rsid w:val="004B76B4"/>
    <w:rsid w:val="004B7BF9"/>
    <w:rsid w:val="004C0242"/>
    <w:rsid w:val="004C084D"/>
    <w:rsid w:val="004C259F"/>
    <w:rsid w:val="004C311A"/>
    <w:rsid w:val="004C3CE0"/>
    <w:rsid w:val="004C4854"/>
    <w:rsid w:val="004C5935"/>
    <w:rsid w:val="004C6456"/>
    <w:rsid w:val="004C6A68"/>
    <w:rsid w:val="004C7615"/>
    <w:rsid w:val="004C7778"/>
    <w:rsid w:val="004C7BA8"/>
    <w:rsid w:val="004D014C"/>
    <w:rsid w:val="004D0317"/>
    <w:rsid w:val="004D046A"/>
    <w:rsid w:val="004D095B"/>
    <w:rsid w:val="004D11A7"/>
    <w:rsid w:val="004D1705"/>
    <w:rsid w:val="004D47AE"/>
    <w:rsid w:val="004D4D13"/>
    <w:rsid w:val="004D5100"/>
    <w:rsid w:val="004D51ED"/>
    <w:rsid w:val="004D64DB"/>
    <w:rsid w:val="004D6E13"/>
    <w:rsid w:val="004E002B"/>
    <w:rsid w:val="004E0D09"/>
    <w:rsid w:val="004E1ECC"/>
    <w:rsid w:val="004E1F5A"/>
    <w:rsid w:val="004E3182"/>
    <w:rsid w:val="004E352C"/>
    <w:rsid w:val="004E3ED7"/>
    <w:rsid w:val="004E4872"/>
    <w:rsid w:val="004E4FCD"/>
    <w:rsid w:val="004E5821"/>
    <w:rsid w:val="004E6C66"/>
    <w:rsid w:val="004F0AF9"/>
    <w:rsid w:val="004F0FDF"/>
    <w:rsid w:val="004F1983"/>
    <w:rsid w:val="004F1A2B"/>
    <w:rsid w:val="004F1A57"/>
    <w:rsid w:val="004F1DFE"/>
    <w:rsid w:val="004F2805"/>
    <w:rsid w:val="004F2820"/>
    <w:rsid w:val="004F3190"/>
    <w:rsid w:val="004F5205"/>
    <w:rsid w:val="004F70CE"/>
    <w:rsid w:val="004F71C4"/>
    <w:rsid w:val="004F725C"/>
    <w:rsid w:val="004F7FFA"/>
    <w:rsid w:val="00500094"/>
    <w:rsid w:val="00500526"/>
    <w:rsid w:val="00500FE3"/>
    <w:rsid w:val="0050173F"/>
    <w:rsid w:val="00502F53"/>
    <w:rsid w:val="00502F6C"/>
    <w:rsid w:val="00502FE4"/>
    <w:rsid w:val="005037C2"/>
    <w:rsid w:val="0050487D"/>
    <w:rsid w:val="00504931"/>
    <w:rsid w:val="00504A24"/>
    <w:rsid w:val="0050500B"/>
    <w:rsid w:val="005059EC"/>
    <w:rsid w:val="0050600A"/>
    <w:rsid w:val="0050667E"/>
    <w:rsid w:val="00506D2A"/>
    <w:rsid w:val="00507094"/>
    <w:rsid w:val="00510995"/>
    <w:rsid w:val="005109FC"/>
    <w:rsid w:val="00510F2A"/>
    <w:rsid w:val="0051124D"/>
    <w:rsid w:val="0051214B"/>
    <w:rsid w:val="00512622"/>
    <w:rsid w:val="00512807"/>
    <w:rsid w:val="00512C51"/>
    <w:rsid w:val="00514B9B"/>
    <w:rsid w:val="0051531B"/>
    <w:rsid w:val="00515F6A"/>
    <w:rsid w:val="00516428"/>
    <w:rsid w:val="00516770"/>
    <w:rsid w:val="00516792"/>
    <w:rsid w:val="00516AAD"/>
    <w:rsid w:val="00516DF5"/>
    <w:rsid w:val="00517C80"/>
    <w:rsid w:val="00520314"/>
    <w:rsid w:val="005204EB"/>
    <w:rsid w:val="005205FE"/>
    <w:rsid w:val="00520DA6"/>
    <w:rsid w:val="0052113A"/>
    <w:rsid w:val="00521CB7"/>
    <w:rsid w:val="00521CE2"/>
    <w:rsid w:val="0052250C"/>
    <w:rsid w:val="00522625"/>
    <w:rsid w:val="00522659"/>
    <w:rsid w:val="0052293F"/>
    <w:rsid w:val="00523245"/>
    <w:rsid w:val="00523EC5"/>
    <w:rsid w:val="005243EC"/>
    <w:rsid w:val="005249B5"/>
    <w:rsid w:val="005251D1"/>
    <w:rsid w:val="0052570F"/>
    <w:rsid w:val="00526572"/>
    <w:rsid w:val="0052687F"/>
    <w:rsid w:val="00526E4F"/>
    <w:rsid w:val="005278E0"/>
    <w:rsid w:val="00527CA5"/>
    <w:rsid w:val="005312E0"/>
    <w:rsid w:val="005314DA"/>
    <w:rsid w:val="00531DEF"/>
    <w:rsid w:val="00532086"/>
    <w:rsid w:val="00532BBE"/>
    <w:rsid w:val="00532DB9"/>
    <w:rsid w:val="005333B7"/>
    <w:rsid w:val="00533927"/>
    <w:rsid w:val="00533C43"/>
    <w:rsid w:val="00535564"/>
    <w:rsid w:val="00536418"/>
    <w:rsid w:val="005365DC"/>
    <w:rsid w:val="00536AA0"/>
    <w:rsid w:val="00537058"/>
    <w:rsid w:val="00537773"/>
    <w:rsid w:val="00537856"/>
    <w:rsid w:val="005378E2"/>
    <w:rsid w:val="00537A7B"/>
    <w:rsid w:val="005403E3"/>
    <w:rsid w:val="0054053D"/>
    <w:rsid w:val="00541605"/>
    <w:rsid w:val="0054341A"/>
    <w:rsid w:val="00543AF5"/>
    <w:rsid w:val="005446C9"/>
    <w:rsid w:val="00544B0D"/>
    <w:rsid w:val="00545036"/>
    <w:rsid w:val="005460A1"/>
    <w:rsid w:val="00546650"/>
    <w:rsid w:val="00547AAB"/>
    <w:rsid w:val="00547C88"/>
    <w:rsid w:val="005505AB"/>
    <w:rsid w:val="00550653"/>
    <w:rsid w:val="0055084C"/>
    <w:rsid w:val="00551D47"/>
    <w:rsid w:val="00551E1A"/>
    <w:rsid w:val="00552720"/>
    <w:rsid w:val="00552D72"/>
    <w:rsid w:val="005530B1"/>
    <w:rsid w:val="00553174"/>
    <w:rsid w:val="0055384F"/>
    <w:rsid w:val="00553897"/>
    <w:rsid w:val="00553911"/>
    <w:rsid w:val="00554059"/>
    <w:rsid w:val="00554705"/>
    <w:rsid w:val="005568F9"/>
    <w:rsid w:val="00556B8D"/>
    <w:rsid w:val="00556FD4"/>
    <w:rsid w:val="00560104"/>
    <w:rsid w:val="00560BD6"/>
    <w:rsid w:val="00561A11"/>
    <w:rsid w:val="00561CFF"/>
    <w:rsid w:val="00561DF3"/>
    <w:rsid w:val="00561E28"/>
    <w:rsid w:val="00562186"/>
    <w:rsid w:val="005624C3"/>
    <w:rsid w:val="00562824"/>
    <w:rsid w:val="00563B00"/>
    <w:rsid w:val="005644FD"/>
    <w:rsid w:val="0056492C"/>
    <w:rsid w:val="00564BAF"/>
    <w:rsid w:val="005666C8"/>
    <w:rsid w:val="005666D5"/>
    <w:rsid w:val="005673C8"/>
    <w:rsid w:val="005677C1"/>
    <w:rsid w:val="005701C0"/>
    <w:rsid w:val="00570336"/>
    <w:rsid w:val="005705D2"/>
    <w:rsid w:val="0057277D"/>
    <w:rsid w:val="00572A23"/>
    <w:rsid w:val="00572B10"/>
    <w:rsid w:val="0057344B"/>
    <w:rsid w:val="00573F04"/>
    <w:rsid w:val="00574136"/>
    <w:rsid w:val="00574385"/>
    <w:rsid w:val="00575FC5"/>
    <w:rsid w:val="005762AA"/>
    <w:rsid w:val="00576569"/>
    <w:rsid w:val="00576CBB"/>
    <w:rsid w:val="00576E1F"/>
    <w:rsid w:val="00577EB3"/>
    <w:rsid w:val="00580562"/>
    <w:rsid w:val="00580F6F"/>
    <w:rsid w:val="005811B4"/>
    <w:rsid w:val="00581413"/>
    <w:rsid w:val="005815B7"/>
    <w:rsid w:val="00581790"/>
    <w:rsid w:val="00581F1C"/>
    <w:rsid w:val="00582B80"/>
    <w:rsid w:val="00583102"/>
    <w:rsid w:val="00583226"/>
    <w:rsid w:val="005832F5"/>
    <w:rsid w:val="005833A8"/>
    <w:rsid w:val="005833AB"/>
    <w:rsid w:val="005833D2"/>
    <w:rsid w:val="005836EA"/>
    <w:rsid w:val="0058381E"/>
    <w:rsid w:val="00583AE1"/>
    <w:rsid w:val="00585C38"/>
    <w:rsid w:val="00585D13"/>
    <w:rsid w:val="00586AB7"/>
    <w:rsid w:val="00586E1F"/>
    <w:rsid w:val="00590560"/>
    <w:rsid w:val="00590B86"/>
    <w:rsid w:val="005915D3"/>
    <w:rsid w:val="0059215E"/>
    <w:rsid w:val="00592345"/>
    <w:rsid w:val="005923F6"/>
    <w:rsid w:val="00592602"/>
    <w:rsid w:val="0059280D"/>
    <w:rsid w:val="00592C63"/>
    <w:rsid w:val="00592F60"/>
    <w:rsid w:val="0059310C"/>
    <w:rsid w:val="0059420B"/>
    <w:rsid w:val="00595489"/>
    <w:rsid w:val="00595A2D"/>
    <w:rsid w:val="005967EC"/>
    <w:rsid w:val="005969E5"/>
    <w:rsid w:val="00596CBD"/>
    <w:rsid w:val="00596DF0"/>
    <w:rsid w:val="005A05AE"/>
    <w:rsid w:val="005A06D3"/>
    <w:rsid w:val="005A06FE"/>
    <w:rsid w:val="005A1CEF"/>
    <w:rsid w:val="005A2262"/>
    <w:rsid w:val="005A2B37"/>
    <w:rsid w:val="005A2C6E"/>
    <w:rsid w:val="005A2CCC"/>
    <w:rsid w:val="005A49EB"/>
    <w:rsid w:val="005A520C"/>
    <w:rsid w:val="005A5A58"/>
    <w:rsid w:val="005A5F97"/>
    <w:rsid w:val="005A60B1"/>
    <w:rsid w:val="005A63E6"/>
    <w:rsid w:val="005A767E"/>
    <w:rsid w:val="005B0839"/>
    <w:rsid w:val="005B0DA7"/>
    <w:rsid w:val="005B1348"/>
    <w:rsid w:val="005B1A85"/>
    <w:rsid w:val="005B1D21"/>
    <w:rsid w:val="005B1F9A"/>
    <w:rsid w:val="005B3C8A"/>
    <w:rsid w:val="005B4029"/>
    <w:rsid w:val="005B4195"/>
    <w:rsid w:val="005B455B"/>
    <w:rsid w:val="005B55A9"/>
    <w:rsid w:val="005B5679"/>
    <w:rsid w:val="005B5DAD"/>
    <w:rsid w:val="005B6DB8"/>
    <w:rsid w:val="005B6DEA"/>
    <w:rsid w:val="005B7394"/>
    <w:rsid w:val="005B7434"/>
    <w:rsid w:val="005B755F"/>
    <w:rsid w:val="005B7E8F"/>
    <w:rsid w:val="005C0058"/>
    <w:rsid w:val="005C0226"/>
    <w:rsid w:val="005C03DD"/>
    <w:rsid w:val="005C12B2"/>
    <w:rsid w:val="005C15DD"/>
    <w:rsid w:val="005C238F"/>
    <w:rsid w:val="005C2720"/>
    <w:rsid w:val="005C2CA8"/>
    <w:rsid w:val="005C3A8C"/>
    <w:rsid w:val="005C487A"/>
    <w:rsid w:val="005C4AAA"/>
    <w:rsid w:val="005C5056"/>
    <w:rsid w:val="005C50B1"/>
    <w:rsid w:val="005C5597"/>
    <w:rsid w:val="005C63F6"/>
    <w:rsid w:val="005C6A59"/>
    <w:rsid w:val="005C6A85"/>
    <w:rsid w:val="005C6BD1"/>
    <w:rsid w:val="005C6DAD"/>
    <w:rsid w:val="005C726B"/>
    <w:rsid w:val="005C75AB"/>
    <w:rsid w:val="005C76FB"/>
    <w:rsid w:val="005C7D5B"/>
    <w:rsid w:val="005D00CB"/>
    <w:rsid w:val="005D0300"/>
    <w:rsid w:val="005D057F"/>
    <w:rsid w:val="005D079C"/>
    <w:rsid w:val="005D0A0F"/>
    <w:rsid w:val="005D1110"/>
    <w:rsid w:val="005D17BD"/>
    <w:rsid w:val="005D1856"/>
    <w:rsid w:val="005D198C"/>
    <w:rsid w:val="005D19F5"/>
    <w:rsid w:val="005D2857"/>
    <w:rsid w:val="005D29FE"/>
    <w:rsid w:val="005D41B3"/>
    <w:rsid w:val="005D47D5"/>
    <w:rsid w:val="005D5C3B"/>
    <w:rsid w:val="005D5D5E"/>
    <w:rsid w:val="005D6668"/>
    <w:rsid w:val="005D67A8"/>
    <w:rsid w:val="005D6C73"/>
    <w:rsid w:val="005D6CD9"/>
    <w:rsid w:val="005D6EB2"/>
    <w:rsid w:val="005D7611"/>
    <w:rsid w:val="005E0558"/>
    <w:rsid w:val="005E0DB7"/>
    <w:rsid w:val="005E1405"/>
    <w:rsid w:val="005E264A"/>
    <w:rsid w:val="005E30B0"/>
    <w:rsid w:val="005E31F0"/>
    <w:rsid w:val="005E3CB9"/>
    <w:rsid w:val="005E3CCC"/>
    <w:rsid w:val="005E420D"/>
    <w:rsid w:val="005E441A"/>
    <w:rsid w:val="005E7723"/>
    <w:rsid w:val="005E77EA"/>
    <w:rsid w:val="005E79B1"/>
    <w:rsid w:val="005E7F05"/>
    <w:rsid w:val="005F016C"/>
    <w:rsid w:val="005F03BB"/>
    <w:rsid w:val="005F0715"/>
    <w:rsid w:val="005F07FB"/>
    <w:rsid w:val="005F1220"/>
    <w:rsid w:val="005F2C6A"/>
    <w:rsid w:val="005F2E52"/>
    <w:rsid w:val="005F39D6"/>
    <w:rsid w:val="005F459C"/>
    <w:rsid w:val="005F4EDB"/>
    <w:rsid w:val="005F5832"/>
    <w:rsid w:val="005F662A"/>
    <w:rsid w:val="005F6B29"/>
    <w:rsid w:val="005F706A"/>
    <w:rsid w:val="005F721F"/>
    <w:rsid w:val="005F7342"/>
    <w:rsid w:val="00601F7E"/>
    <w:rsid w:val="00601FF1"/>
    <w:rsid w:val="006026FE"/>
    <w:rsid w:val="006038CB"/>
    <w:rsid w:val="00604877"/>
    <w:rsid w:val="006055CC"/>
    <w:rsid w:val="006056FB"/>
    <w:rsid w:val="00605E44"/>
    <w:rsid w:val="00606020"/>
    <w:rsid w:val="00606860"/>
    <w:rsid w:val="00606923"/>
    <w:rsid w:val="00606C90"/>
    <w:rsid w:val="00607179"/>
    <w:rsid w:val="0060768C"/>
    <w:rsid w:val="0060797C"/>
    <w:rsid w:val="00607E73"/>
    <w:rsid w:val="0061051C"/>
    <w:rsid w:val="00610D9F"/>
    <w:rsid w:val="00610FB4"/>
    <w:rsid w:val="00611D0A"/>
    <w:rsid w:val="0061330F"/>
    <w:rsid w:val="0061385A"/>
    <w:rsid w:val="006139FD"/>
    <w:rsid w:val="006146D4"/>
    <w:rsid w:val="00614A7D"/>
    <w:rsid w:val="0061528D"/>
    <w:rsid w:val="00615DB1"/>
    <w:rsid w:val="00615F68"/>
    <w:rsid w:val="006162F3"/>
    <w:rsid w:val="00617688"/>
    <w:rsid w:val="00617737"/>
    <w:rsid w:val="006177F5"/>
    <w:rsid w:val="00617D7B"/>
    <w:rsid w:val="00617F27"/>
    <w:rsid w:val="00620931"/>
    <w:rsid w:val="006209E0"/>
    <w:rsid w:val="00622090"/>
    <w:rsid w:val="006226BB"/>
    <w:rsid w:val="006229D6"/>
    <w:rsid w:val="00622D12"/>
    <w:rsid w:val="00622DBC"/>
    <w:rsid w:val="00623258"/>
    <w:rsid w:val="006234C1"/>
    <w:rsid w:val="006236CF"/>
    <w:rsid w:val="00624688"/>
    <w:rsid w:val="00624B50"/>
    <w:rsid w:val="00624C9A"/>
    <w:rsid w:val="006254F5"/>
    <w:rsid w:val="00625E8B"/>
    <w:rsid w:val="00626423"/>
    <w:rsid w:val="006267A5"/>
    <w:rsid w:val="00626A3F"/>
    <w:rsid w:val="00626BBA"/>
    <w:rsid w:val="00626DE3"/>
    <w:rsid w:val="00626F8C"/>
    <w:rsid w:val="00627424"/>
    <w:rsid w:val="00627817"/>
    <w:rsid w:val="00630375"/>
    <w:rsid w:val="00630857"/>
    <w:rsid w:val="0063088D"/>
    <w:rsid w:val="006309C9"/>
    <w:rsid w:val="00630C05"/>
    <w:rsid w:val="0063172A"/>
    <w:rsid w:val="00631C2C"/>
    <w:rsid w:val="00634BB2"/>
    <w:rsid w:val="006351AA"/>
    <w:rsid w:val="00635748"/>
    <w:rsid w:val="00635961"/>
    <w:rsid w:val="00636314"/>
    <w:rsid w:val="00636742"/>
    <w:rsid w:val="00636E3B"/>
    <w:rsid w:val="00637672"/>
    <w:rsid w:val="00641179"/>
    <w:rsid w:val="00641AD6"/>
    <w:rsid w:val="00642438"/>
    <w:rsid w:val="0064334C"/>
    <w:rsid w:val="00643D07"/>
    <w:rsid w:val="00643FB1"/>
    <w:rsid w:val="006452CF"/>
    <w:rsid w:val="00645AB0"/>
    <w:rsid w:val="00647D72"/>
    <w:rsid w:val="00647D8D"/>
    <w:rsid w:val="006504BF"/>
    <w:rsid w:val="006506B5"/>
    <w:rsid w:val="00650F10"/>
    <w:rsid w:val="006510C4"/>
    <w:rsid w:val="006511E8"/>
    <w:rsid w:val="0065151A"/>
    <w:rsid w:val="00651818"/>
    <w:rsid w:val="0065198F"/>
    <w:rsid w:val="00651D18"/>
    <w:rsid w:val="00651F35"/>
    <w:rsid w:val="00652F95"/>
    <w:rsid w:val="0065334E"/>
    <w:rsid w:val="00653386"/>
    <w:rsid w:val="00654231"/>
    <w:rsid w:val="006545A5"/>
    <w:rsid w:val="00654A7D"/>
    <w:rsid w:val="00654D19"/>
    <w:rsid w:val="006568B8"/>
    <w:rsid w:val="006570BE"/>
    <w:rsid w:val="00657533"/>
    <w:rsid w:val="0065774F"/>
    <w:rsid w:val="00657E54"/>
    <w:rsid w:val="00661A2C"/>
    <w:rsid w:val="00661DDE"/>
    <w:rsid w:val="00663CC7"/>
    <w:rsid w:val="00664AC0"/>
    <w:rsid w:val="006660BD"/>
    <w:rsid w:val="00666635"/>
    <w:rsid w:val="00667A48"/>
    <w:rsid w:val="00667EE8"/>
    <w:rsid w:val="00671E12"/>
    <w:rsid w:val="00673A42"/>
    <w:rsid w:val="00674088"/>
    <w:rsid w:val="00675387"/>
    <w:rsid w:val="006755D7"/>
    <w:rsid w:val="006757CB"/>
    <w:rsid w:val="006764A4"/>
    <w:rsid w:val="00676D15"/>
    <w:rsid w:val="006777C0"/>
    <w:rsid w:val="00677902"/>
    <w:rsid w:val="00680383"/>
    <w:rsid w:val="006813EB"/>
    <w:rsid w:val="00681731"/>
    <w:rsid w:val="00684DB9"/>
    <w:rsid w:val="00687072"/>
    <w:rsid w:val="006874BD"/>
    <w:rsid w:val="006877FD"/>
    <w:rsid w:val="0069005F"/>
    <w:rsid w:val="00690EC2"/>
    <w:rsid w:val="0069126F"/>
    <w:rsid w:val="006918FD"/>
    <w:rsid w:val="00692807"/>
    <w:rsid w:val="006932F0"/>
    <w:rsid w:val="0069402E"/>
    <w:rsid w:val="0069484B"/>
    <w:rsid w:val="00695A92"/>
    <w:rsid w:val="0069663E"/>
    <w:rsid w:val="00697A2C"/>
    <w:rsid w:val="00697ACF"/>
    <w:rsid w:val="00697EB1"/>
    <w:rsid w:val="006A09FC"/>
    <w:rsid w:val="006A0A2D"/>
    <w:rsid w:val="006A1DC7"/>
    <w:rsid w:val="006A2064"/>
    <w:rsid w:val="006A2E89"/>
    <w:rsid w:val="006A2F0B"/>
    <w:rsid w:val="006A4440"/>
    <w:rsid w:val="006A4619"/>
    <w:rsid w:val="006A5205"/>
    <w:rsid w:val="006A54CE"/>
    <w:rsid w:val="006A5C62"/>
    <w:rsid w:val="006A60EB"/>
    <w:rsid w:val="006A61B4"/>
    <w:rsid w:val="006A679F"/>
    <w:rsid w:val="006A7990"/>
    <w:rsid w:val="006B0636"/>
    <w:rsid w:val="006B10B0"/>
    <w:rsid w:val="006B180E"/>
    <w:rsid w:val="006B199A"/>
    <w:rsid w:val="006B30C2"/>
    <w:rsid w:val="006B514E"/>
    <w:rsid w:val="006B5D3E"/>
    <w:rsid w:val="006B6D48"/>
    <w:rsid w:val="006B7D7A"/>
    <w:rsid w:val="006C0512"/>
    <w:rsid w:val="006C0BF7"/>
    <w:rsid w:val="006C1731"/>
    <w:rsid w:val="006C2126"/>
    <w:rsid w:val="006C26CF"/>
    <w:rsid w:val="006C2E98"/>
    <w:rsid w:val="006C3571"/>
    <w:rsid w:val="006C396B"/>
    <w:rsid w:val="006C39E8"/>
    <w:rsid w:val="006C3A7D"/>
    <w:rsid w:val="006C3FAB"/>
    <w:rsid w:val="006C3FC5"/>
    <w:rsid w:val="006C4B84"/>
    <w:rsid w:val="006C50BB"/>
    <w:rsid w:val="006C5E10"/>
    <w:rsid w:val="006C5E97"/>
    <w:rsid w:val="006C67DC"/>
    <w:rsid w:val="006C703E"/>
    <w:rsid w:val="006C7F13"/>
    <w:rsid w:val="006D0D37"/>
    <w:rsid w:val="006D1247"/>
    <w:rsid w:val="006D1876"/>
    <w:rsid w:val="006D2158"/>
    <w:rsid w:val="006D26D7"/>
    <w:rsid w:val="006D2956"/>
    <w:rsid w:val="006D2CEF"/>
    <w:rsid w:val="006D357C"/>
    <w:rsid w:val="006D4A6C"/>
    <w:rsid w:val="006D6B3B"/>
    <w:rsid w:val="006D72DE"/>
    <w:rsid w:val="006D76BB"/>
    <w:rsid w:val="006D771D"/>
    <w:rsid w:val="006D77B1"/>
    <w:rsid w:val="006E0CE9"/>
    <w:rsid w:val="006E0F6D"/>
    <w:rsid w:val="006E10A2"/>
    <w:rsid w:val="006E185A"/>
    <w:rsid w:val="006E1BDA"/>
    <w:rsid w:val="006E1FFD"/>
    <w:rsid w:val="006E2EFC"/>
    <w:rsid w:val="006E313A"/>
    <w:rsid w:val="006E3856"/>
    <w:rsid w:val="006E3B3D"/>
    <w:rsid w:val="006E415F"/>
    <w:rsid w:val="006E4B12"/>
    <w:rsid w:val="006E61B3"/>
    <w:rsid w:val="006E673B"/>
    <w:rsid w:val="006E705C"/>
    <w:rsid w:val="006E70C3"/>
    <w:rsid w:val="006E7363"/>
    <w:rsid w:val="006F0D66"/>
    <w:rsid w:val="006F1F23"/>
    <w:rsid w:val="006F2116"/>
    <w:rsid w:val="006F25B8"/>
    <w:rsid w:val="006F2833"/>
    <w:rsid w:val="006F285D"/>
    <w:rsid w:val="006F3820"/>
    <w:rsid w:val="006F3C57"/>
    <w:rsid w:val="006F45F0"/>
    <w:rsid w:val="006F5158"/>
    <w:rsid w:val="006F5183"/>
    <w:rsid w:val="006F58D0"/>
    <w:rsid w:val="006F6488"/>
    <w:rsid w:val="0070046B"/>
    <w:rsid w:val="0070048E"/>
    <w:rsid w:val="00700745"/>
    <w:rsid w:val="00700E07"/>
    <w:rsid w:val="007017B9"/>
    <w:rsid w:val="007019E7"/>
    <w:rsid w:val="00701A8F"/>
    <w:rsid w:val="00704625"/>
    <w:rsid w:val="0070514A"/>
    <w:rsid w:val="007052EE"/>
    <w:rsid w:val="00705540"/>
    <w:rsid w:val="00705585"/>
    <w:rsid w:val="00705971"/>
    <w:rsid w:val="00706058"/>
    <w:rsid w:val="00706FF5"/>
    <w:rsid w:val="007078D5"/>
    <w:rsid w:val="0071033A"/>
    <w:rsid w:val="007104CC"/>
    <w:rsid w:val="00710F21"/>
    <w:rsid w:val="00711395"/>
    <w:rsid w:val="00711CA1"/>
    <w:rsid w:val="00711D5E"/>
    <w:rsid w:val="00711DF7"/>
    <w:rsid w:val="00712D62"/>
    <w:rsid w:val="00712F16"/>
    <w:rsid w:val="00714D34"/>
    <w:rsid w:val="00714E1A"/>
    <w:rsid w:val="007153D6"/>
    <w:rsid w:val="00715648"/>
    <w:rsid w:val="00715CBB"/>
    <w:rsid w:val="00716EB4"/>
    <w:rsid w:val="0071714F"/>
    <w:rsid w:val="0071745E"/>
    <w:rsid w:val="0072089D"/>
    <w:rsid w:val="007213A0"/>
    <w:rsid w:val="00721D09"/>
    <w:rsid w:val="00721EEE"/>
    <w:rsid w:val="00722034"/>
    <w:rsid w:val="00722519"/>
    <w:rsid w:val="00722987"/>
    <w:rsid w:val="00722CB9"/>
    <w:rsid w:val="007231DB"/>
    <w:rsid w:val="0072406E"/>
    <w:rsid w:val="00725662"/>
    <w:rsid w:val="00725B49"/>
    <w:rsid w:val="007267EC"/>
    <w:rsid w:val="0072680E"/>
    <w:rsid w:val="00727203"/>
    <w:rsid w:val="00727B16"/>
    <w:rsid w:val="00727C80"/>
    <w:rsid w:val="00730B74"/>
    <w:rsid w:val="00731568"/>
    <w:rsid w:val="00731EEF"/>
    <w:rsid w:val="00731FA0"/>
    <w:rsid w:val="0073243B"/>
    <w:rsid w:val="007331B0"/>
    <w:rsid w:val="00733C52"/>
    <w:rsid w:val="007346CB"/>
    <w:rsid w:val="00734FDE"/>
    <w:rsid w:val="0073526B"/>
    <w:rsid w:val="007353E3"/>
    <w:rsid w:val="00735A41"/>
    <w:rsid w:val="00736B07"/>
    <w:rsid w:val="0073707F"/>
    <w:rsid w:val="00740DF7"/>
    <w:rsid w:val="00741136"/>
    <w:rsid w:val="00741843"/>
    <w:rsid w:val="007427D5"/>
    <w:rsid w:val="00742C30"/>
    <w:rsid w:val="00742EE4"/>
    <w:rsid w:val="0074397F"/>
    <w:rsid w:val="00744746"/>
    <w:rsid w:val="00744A4D"/>
    <w:rsid w:val="00744AB0"/>
    <w:rsid w:val="00744BE9"/>
    <w:rsid w:val="00745E58"/>
    <w:rsid w:val="00746674"/>
    <w:rsid w:val="007468FB"/>
    <w:rsid w:val="00746AB7"/>
    <w:rsid w:val="00750427"/>
    <w:rsid w:val="007505E4"/>
    <w:rsid w:val="0075075D"/>
    <w:rsid w:val="00750F93"/>
    <w:rsid w:val="0075132D"/>
    <w:rsid w:val="00751B46"/>
    <w:rsid w:val="00751D4B"/>
    <w:rsid w:val="00751D5C"/>
    <w:rsid w:val="00754168"/>
    <w:rsid w:val="007548A3"/>
    <w:rsid w:val="007548C7"/>
    <w:rsid w:val="007548DE"/>
    <w:rsid w:val="00754FF9"/>
    <w:rsid w:val="00756021"/>
    <w:rsid w:val="0075642A"/>
    <w:rsid w:val="007565CF"/>
    <w:rsid w:val="007569A6"/>
    <w:rsid w:val="00757ED1"/>
    <w:rsid w:val="007604F0"/>
    <w:rsid w:val="00760BCD"/>
    <w:rsid w:val="007616AF"/>
    <w:rsid w:val="00761CC8"/>
    <w:rsid w:val="00761D8F"/>
    <w:rsid w:val="0076209C"/>
    <w:rsid w:val="00762BA2"/>
    <w:rsid w:val="0076359D"/>
    <w:rsid w:val="007643F1"/>
    <w:rsid w:val="00764842"/>
    <w:rsid w:val="00765700"/>
    <w:rsid w:val="00765A09"/>
    <w:rsid w:val="00765FE4"/>
    <w:rsid w:val="007662B3"/>
    <w:rsid w:val="00766BCA"/>
    <w:rsid w:val="00766C7D"/>
    <w:rsid w:val="0076702D"/>
    <w:rsid w:val="00767FD8"/>
    <w:rsid w:val="00770252"/>
    <w:rsid w:val="007731C0"/>
    <w:rsid w:val="00774CC1"/>
    <w:rsid w:val="00775849"/>
    <w:rsid w:val="00775870"/>
    <w:rsid w:val="00776811"/>
    <w:rsid w:val="007773BF"/>
    <w:rsid w:val="00777753"/>
    <w:rsid w:val="0078264E"/>
    <w:rsid w:val="00782929"/>
    <w:rsid w:val="007834C7"/>
    <w:rsid w:val="00783B5A"/>
    <w:rsid w:val="00784C57"/>
    <w:rsid w:val="007854EE"/>
    <w:rsid w:val="00785A9A"/>
    <w:rsid w:val="00785D47"/>
    <w:rsid w:val="00786B6B"/>
    <w:rsid w:val="0078709E"/>
    <w:rsid w:val="00787440"/>
    <w:rsid w:val="007879B9"/>
    <w:rsid w:val="00787D56"/>
    <w:rsid w:val="00790E81"/>
    <w:rsid w:val="00791F40"/>
    <w:rsid w:val="00792486"/>
    <w:rsid w:val="00794390"/>
    <w:rsid w:val="00794976"/>
    <w:rsid w:val="00794C3C"/>
    <w:rsid w:val="00794E1B"/>
    <w:rsid w:val="007953CC"/>
    <w:rsid w:val="007955D1"/>
    <w:rsid w:val="00795BD7"/>
    <w:rsid w:val="00795CC9"/>
    <w:rsid w:val="00795DF2"/>
    <w:rsid w:val="00796288"/>
    <w:rsid w:val="0079776A"/>
    <w:rsid w:val="00797A64"/>
    <w:rsid w:val="007A017A"/>
    <w:rsid w:val="007A0507"/>
    <w:rsid w:val="007A051C"/>
    <w:rsid w:val="007A062D"/>
    <w:rsid w:val="007A112E"/>
    <w:rsid w:val="007A2263"/>
    <w:rsid w:val="007A29B5"/>
    <w:rsid w:val="007A32F9"/>
    <w:rsid w:val="007A4831"/>
    <w:rsid w:val="007A4922"/>
    <w:rsid w:val="007A4942"/>
    <w:rsid w:val="007A4D9B"/>
    <w:rsid w:val="007A6BC4"/>
    <w:rsid w:val="007A6F36"/>
    <w:rsid w:val="007B13A5"/>
    <w:rsid w:val="007B13CF"/>
    <w:rsid w:val="007B1CC8"/>
    <w:rsid w:val="007B2CBC"/>
    <w:rsid w:val="007B2EB8"/>
    <w:rsid w:val="007B3003"/>
    <w:rsid w:val="007B363F"/>
    <w:rsid w:val="007B36C3"/>
    <w:rsid w:val="007B3845"/>
    <w:rsid w:val="007B3B92"/>
    <w:rsid w:val="007B407F"/>
    <w:rsid w:val="007B5AF3"/>
    <w:rsid w:val="007B70A6"/>
    <w:rsid w:val="007B7599"/>
    <w:rsid w:val="007B78C4"/>
    <w:rsid w:val="007B7C79"/>
    <w:rsid w:val="007B7F3D"/>
    <w:rsid w:val="007C0D11"/>
    <w:rsid w:val="007C24DE"/>
    <w:rsid w:val="007C3213"/>
    <w:rsid w:val="007C38C4"/>
    <w:rsid w:val="007C4989"/>
    <w:rsid w:val="007C4DE2"/>
    <w:rsid w:val="007C5227"/>
    <w:rsid w:val="007C5536"/>
    <w:rsid w:val="007C570F"/>
    <w:rsid w:val="007C57B3"/>
    <w:rsid w:val="007C57BD"/>
    <w:rsid w:val="007C5BAA"/>
    <w:rsid w:val="007C5F73"/>
    <w:rsid w:val="007C719E"/>
    <w:rsid w:val="007C7BD0"/>
    <w:rsid w:val="007D03BA"/>
    <w:rsid w:val="007D0C35"/>
    <w:rsid w:val="007D131A"/>
    <w:rsid w:val="007D1BDF"/>
    <w:rsid w:val="007D28B4"/>
    <w:rsid w:val="007D2F61"/>
    <w:rsid w:val="007D358D"/>
    <w:rsid w:val="007D4770"/>
    <w:rsid w:val="007D515F"/>
    <w:rsid w:val="007D55F7"/>
    <w:rsid w:val="007D62A0"/>
    <w:rsid w:val="007D6877"/>
    <w:rsid w:val="007D6D1F"/>
    <w:rsid w:val="007D6F57"/>
    <w:rsid w:val="007D773B"/>
    <w:rsid w:val="007D77DC"/>
    <w:rsid w:val="007D7DEE"/>
    <w:rsid w:val="007E0869"/>
    <w:rsid w:val="007E0AF0"/>
    <w:rsid w:val="007E195D"/>
    <w:rsid w:val="007E1C99"/>
    <w:rsid w:val="007E2A30"/>
    <w:rsid w:val="007E36C4"/>
    <w:rsid w:val="007E3C76"/>
    <w:rsid w:val="007E4F95"/>
    <w:rsid w:val="007E50BA"/>
    <w:rsid w:val="007E51A2"/>
    <w:rsid w:val="007E5B96"/>
    <w:rsid w:val="007E5C72"/>
    <w:rsid w:val="007E7542"/>
    <w:rsid w:val="007E7AD8"/>
    <w:rsid w:val="007E7D3C"/>
    <w:rsid w:val="007F0A51"/>
    <w:rsid w:val="007F0F0C"/>
    <w:rsid w:val="007F11DA"/>
    <w:rsid w:val="007F1818"/>
    <w:rsid w:val="007F1AF9"/>
    <w:rsid w:val="007F1C15"/>
    <w:rsid w:val="007F3101"/>
    <w:rsid w:val="007F364C"/>
    <w:rsid w:val="007F5D78"/>
    <w:rsid w:val="007F5EBE"/>
    <w:rsid w:val="007F6ED0"/>
    <w:rsid w:val="007F7271"/>
    <w:rsid w:val="008002AA"/>
    <w:rsid w:val="008005E8"/>
    <w:rsid w:val="008013B6"/>
    <w:rsid w:val="0080167F"/>
    <w:rsid w:val="00801EE7"/>
    <w:rsid w:val="00802058"/>
    <w:rsid w:val="008025BC"/>
    <w:rsid w:val="00802CAD"/>
    <w:rsid w:val="00802EAA"/>
    <w:rsid w:val="00802EC6"/>
    <w:rsid w:val="008037B8"/>
    <w:rsid w:val="00803D23"/>
    <w:rsid w:val="00803FCF"/>
    <w:rsid w:val="008040E0"/>
    <w:rsid w:val="008046BC"/>
    <w:rsid w:val="0080561C"/>
    <w:rsid w:val="008057E0"/>
    <w:rsid w:val="00805B5D"/>
    <w:rsid w:val="008071FB"/>
    <w:rsid w:val="008072BA"/>
    <w:rsid w:val="008074F6"/>
    <w:rsid w:val="00810B9C"/>
    <w:rsid w:val="00810DC6"/>
    <w:rsid w:val="008122C1"/>
    <w:rsid w:val="008127E4"/>
    <w:rsid w:val="008138B2"/>
    <w:rsid w:val="0081396C"/>
    <w:rsid w:val="00814D00"/>
    <w:rsid w:val="00814EDB"/>
    <w:rsid w:val="0081532B"/>
    <w:rsid w:val="00820A86"/>
    <w:rsid w:val="00820E96"/>
    <w:rsid w:val="008212DF"/>
    <w:rsid w:val="0082140B"/>
    <w:rsid w:val="00821D71"/>
    <w:rsid w:val="00822790"/>
    <w:rsid w:val="00823071"/>
    <w:rsid w:val="0082322D"/>
    <w:rsid w:val="00823BCB"/>
    <w:rsid w:val="0082428B"/>
    <w:rsid w:val="0082474D"/>
    <w:rsid w:val="0082570E"/>
    <w:rsid w:val="0082714D"/>
    <w:rsid w:val="008272A8"/>
    <w:rsid w:val="00827387"/>
    <w:rsid w:val="00827455"/>
    <w:rsid w:val="00827C7D"/>
    <w:rsid w:val="0083031F"/>
    <w:rsid w:val="00830A6F"/>
    <w:rsid w:val="00832157"/>
    <w:rsid w:val="00833460"/>
    <w:rsid w:val="0083476A"/>
    <w:rsid w:val="00834C05"/>
    <w:rsid w:val="0083517F"/>
    <w:rsid w:val="00840EF2"/>
    <w:rsid w:val="00841B73"/>
    <w:rsid w:val="00841E39"/>
    <w:rsid w:val="00842C5C"/>
    <w:rsid w:val="00843432"/>
    <w:rsid w:val="008435D0"/>
    <w:rsid w:val="008435D4"/>
    <w:rsid w:val="00843ABE"/>
    <w:rsid w:val="00843E10"/>
    <w:rsid w:val="00844089"/>
    <w:rsid w:val="00844C61"/>
    <w:rsid w:val="008450DF"/>
    <w:rsid w:val="00845282"/>
    <w:rsid w:val="00845751"/>
    <w:rsid w:val="00845F6D"/>
    <w:rsid w:val="00847DEC"/>
    <w:rsid w:val="008511E7"/>
    <w:rsid w:val="00851E4D"/>
    <w:rsid w:val="008521E6"/>
    <w:rsid w:val="00852FA0"/>
    <w:rsid w:val="00853063"/>
    <w:rsid w:val="00853098"/>
    <w:rsid w:val="00853184"/>
    <w:rsid w:val="0085475B"/>
    <w:rsid w:val="00854946"/>
    <w:rsid w:val="008558B7"/>
    <w:rsid w:val="00856765"/>
    <w:rsid w:val="00857B11"/>
    <w:rsid w:val="00857D74"/>
    <w:rsid w:val="00860208"/>
    <w:rsid w:val="00860746"/>
    <w:rsid w:val="00860A49"/>
    <w:rsid w:val="008620AD"/>
    <w:rsid w:val="0086220E"/>
    <w:rsid w:val="008636CF"/>
    <w:rsid w:val="008637C0"/>
    <w:rsid w:val="00865302"/>
    <w:rsid w:val="00865534"/>
    <w:rsid w:val="008659F7"/>
    <w:rsid w:val="008664BC"/>
    <w:rsid w:val="008705DD"/>
    <w:rsid w:val="0087076D"/>
    <w:rsid w:val="00870FB2"/>
    <w:rsid w:val="0087237B"/>
    <w:rsid w:val="0087254E"/>
    <w:rsid w:val="00872AAC"/>
    <w:rsid w:val="0087402F"/>
    <w:rsid w:val="008741F1"/>
    <w:rsid w:val="008742C9"/>
    <w:rsid w:val="00874B87"/>
    <w:rsid w:val="00874E22"/>
    <w:rsid w:val="008752CC"/>
    <w:rsid w:val="00877520"/>
    <w:rsid w:val="00880632"/>
    <w:rsid w:val="00880835"/>
    <w:rsid w:val="008810E5"/>
    <w:rsid w:val="0088179E"/>
    <w:rsid w:val="0088214B"/>
    <w:rsid w:val="00882306"/>
    <w:rsid w:val="008826B2"/>
    <w:rsid w:val="00882776"/>
    <w:rsid w:val="00882B5E"/>
    <w:rsid w:val="00882E11"/>
    <w:rsid w:val="00883E59"/>
    <w:rsid w:val="008843B4"/>
    <w:rsid w:val="00884463"/>
    <w:rsid w:val="0088458F"/>
    <w:rsid w:val="0088461F"/>
    <w:rsid w:val="00884B7F"/>
    <w:rsid w:val="00886539"/>
    <w:rsid w:val="00886636"/>
    <w:rsid w:val="008866CD"/>
    <w:rsid w:val="008867B0"/>
    <w:rsid w:val="008867B7"/>
    <w:rsid w:val="0088686F"/>
    <w:rsid w:val="008872EF"/>
    <w:rsid w:val="00887B45"/>
    <w:rsid w:val="00887D94"/>
    <w:rsid w:val="008918D9"/>
    <w:rsid w:val="00892079"/>
    <w:rsid w:val="0089219D"/>
    <w:rsid w:val="0089294F"/>
    <w:rsid w:val="0089304A"/>
    <w:rsid w:val="00893304"/>
    <w:rsid w:val="00893485"/>
    <w:rsid w:val="008950EB"/>
    <w:rsid w:val="00895181"/>
    <w:rsid w:val="00895D30"/>
    <w:rsid w:val="00896328"/>
    <w:rsid w:val="008976F4"/>
    <w:rsid w:val="008977F7"/>
    <w:rsid w:val="00897995"/>
    <w:rsid w:val="00897EB1"/>
    <w:rsid w:val="00897F19"/>
    <w:rsid w:val="008A0021"/>
    <w:rsid w:val="008A1DC9"/>
    <w:rsid w:val="008A234F"/>
    <w:rsid w:val="008A2457"/>
    <w:rsid w:val="008A2600"/>
    <w:rsid w:val="008A33D1"/>
    <w:rsid w:val="008A3722"/>
    <w:rsid w:val="008A3E28"/>
    <w:rsid w:val="008A4183"/>
    <w:rsid w:val="008A467F"/>
    <w:rsid w:val="008A4DE8"/>
    <w:rsid w:val="008A54ED"/>
    <w:rsid w:val="008A5512"/>
    <w:rsid w:val="008A5748"/>
    <w:rsid w:val="008A6641"/>
    <w:rsid w:val="008A6D22"/>
    <w:rsid w:val="008A7717"/>
    <w:rsid w:val="008A7C42"/>
    <w:rsid w:val="008A7ECF"/>
    <w:rsid w:val="008B069E"/>
    <w:rsid w:val="008B0A46"/>
    <w:rsid w:val="008B189B"/>
    <w:rsid w:val="008B2A24"/>
    <w:rsid w:val="008B2B76"/>
    <w:rsid w:val="008B2ED3"/>
    <w:rsid w:val="008B2F8A"/>
    <w:rsid w:val="008B3697"/>
    <w:rsid w:val="008B3899"/>
    <w:rsid w:val="008B3A22"/>
    <w:rsid w:val="008B3EE5"/>
    <w:rsid w:val="008B4AF4"/>
    <w:rsid w:val="008B4F23"/>
    <w:rsid w:val="008B55CB"/>
    <w:rsid w:val="008B5969"/>
    <w:rsid w:val="008B5C49"/>
    <w:rsid w:val="008B6E12"/>
    <w:rsid w:val="008B72B0"/>
    <w:rsid w:val="008C002E"/>
    <w:rsid w:val="008C04D7"/>
    <w:rsid w:val="008C0D9F"/>
    <w:rsid w:val="008C119D"/>
    <w:rsid w:val="008C1741"/>
    <w:rsid w:val="008C1AA4"/>
    <w:rsid w:val="008C2004"/>
    <w:rsid w:val="008C2164"/>
    <w:rsid w:val="008C2B6B"/>
    <w:rsid w:val="008C3F10"/>
    <w:rsid w:val="008C427C"/>
    <w:rsid w:val="008C45C7"/>
    <w:rsid w:val="008C47CB"/>
    <w:rsid w:val="008C5C4C"/>
    <w:rsid w:val="008C5E5B"/>
    <w:rsid w:val="008C5F03"/>
    <w:rsid w:val="008C60F4"/>
    <w:rsid w:val="008C65CF"/>
    <w:rsid w:val="008C6F38"/>
    <w:rsid w:val="008C7029"/>
    <w:rsid w:val="008C721D"/>
    <w:rsid w:val="008C7998"/>
    <w:rsid w:val="008D065C"/>
    <w:rsid w:val="008D0A40"/>
    <w:rsid w:val="008D0A98"/>
    <w:rsid w:val="008D22ED"/>
    <w:rsid w:val="008D2816"/>
    <w:rsid w:val="008D2B00"/>
    <w:rsid w:val="008D2B01"/>
    <w:rsid w:val="008D36A3"/>
    <w:rsid w:val="008D3B55"/>
    <w:rsid w:val="008D488C"/>
    <w:rsid w:val="008D692F"/>
    <w:rsid w:val="008D6961"/>
    <w:rsid w:val="008D76AB"/>
    <w:rsid w:val="008E05E9"/>
    <w:rsid w:val="008E083E"/>
    <w:rsid w:val="008E2431"/>
    <w:rsid w:val="008E358B"/>
    <w:rsid w:val="008E3653"/>
    <w:rsid w:val="008E37B6"/>
    <w:rsid w:val="008E4370"/>
    <w:rsid w:val="008E5B5E"/>
    <w:rsid w:val="008E5F09"/>
    <w:rsid w:val="008F0CB6"/>
    <w:rsid w:val="008F0F0C"/>
    <w:rsid w:val="008F2B12"/>
    <w:rsid w:val="008F4246"/>
    <w:rsid w:val="008F53A2"/>
    <w:rsid w:val="008F5CCB"/>
    <w:rsid w:val="008F6A4F"/>
    <w:rsid w:val="008F6E8C"/>
    <w:rsid w:val="008F7D78"/>
    <w:rsid w:val="008F7F89"/>
    <w:rsid w:val="0090061B"/>
    <w:rsid w:val="0090109C"/>
    <w:rsid w:val="00901303"/>
    <w:rsid w:val="00901482"/>
    <w:rsid w:val="00901B36"/>
    <w:rsid w:val="00902171"/>
    <w:rsid w:val="009021AF"/>
    <w:rsid w:val="00902657"/>
    <w:rsid w:val="009032B0"/>
    <w:rsid w:val="009033D3"/>
    <w:rsid w:val="009037C0"/>
    <w:rsid w:val="009038DA"/>
    <w:rsid w:val="00903A8C"/>
    <w:rsid w:val="00903E8F"/>
    <w:rsid w:val="009053AE"/>
    <w:rsid w:val="00905F76"/>
    <w:rsid w:val="009063A8"/>
    <w:rsid w:val="00907666"/>
    <w:rsid w:val="009078BD"/>
    <w:rsid w:val="00911AC8"/>
    <w:rsid w:val="0091334C"/>
    <w:rsid w:val="00915219"/>
    <w:rsid w:val="00915EF6"/>
    <w:rsid w:val="00916396"/>
    <w:rsid w:val="0091645B"/>
    <w:rsid w:val="00916A43"/>
    <w:rsid w:val="00916AE3"/>
    <w:rsid w:val="00916F46"/>
    <w:rsid w:val="009178D5"/>
    <w:rsid w:val="00917AD5"/>
    <w:rsid w:val="00917E0B"/>
    <w:rsid w:val="00921D8D"/>
    <w:rsid w:val="009229B7"/>
    <w:rsid w:val="00923385"/>
    <w:rsid w:val="009234FC"/>
    <w:rsid w:val="00923578"/>
    <w:rsid w:val="00923BF2"/>
    <w:rsid w:val="00924FEF"/>
    <w:rsid w:val="0092516F"/>
    <w:rsid w:val="00925266"/>
    <w:rsid w:val="009260E3"/>
    <w:rsid w:val="00926244"/>
    <w:rsid w:val="00926A86"/>
    <w:rsid w:val="009276EA"/>
    <w:rsid w:val="00927A5F"/>
    <w:rsid w:val="00927C1B"/>
    <w:rsid w:val="00931356"/>
    <w:rsid w:val="009313E5"/>
    <w:rsid w:val="00931B4E"/>
    <w:rsid w:val="009325D8"/>
    <w:rsid w:val="00932F40"/>
    <w:rsid w:val="009331F7"/>
    <w:rsid w:val="0093320F"/>
    <w:rsid w:val="00933356"/>
    <w:rsid w:val="00933DD9"/>
    <w:rsid w:val="00934580"/>
    <w:rsid w:val="00934EFF"/>
    <w:rsid w:val="0093571B"/>
    <w:rsid w:val="00935A75"/>
    <w:rsid w:val="009402DE"/>
    <w:rsid w:val="00942028"/>
    <w:rsid w:val="009427A8"/>
    <w:rsid w:val="00942B1E"/>
    <w:rsid w:val="0094515F"/>
    <w:rsid w:val="0094564B"/>
    <w:rsid w:val="009459EA"/>
    <w:rsid w:val="0094671D"/>
    <w:rsid w:val="00946AE7"/>
    <w:rsid w:val="00946DF6"/>
    <w:rsid w:val="00947795"/>
    <w:rsid w:val="00950470"/>
    <w:rsid w:val="009505E1"/>
    <w:rsid w:val="009506F7"/>
    <w:rsid w:val="00950AED"/>
    <w:rsid w:val="00951274"/>
    <w:rsid w:val="00951471"/>
    <w:rsid w:val="00952553"/>
    <w:rsid w:val="009525D5"/>
    <w:rsid w:val="00952663"/>
    <w:rsid w:val="00952EB9"/>
    <w:rsid w:val="009541E4"/>
    <w:rsid w:val="00954BB1"/>
    <w:rsid w:val="00954C15"/>
    <w:rsid w:val="0095525A"/>
    <w:rsid w:val="00956381"/>
    <w:rsid w:val="00956C86"/>
    <w:rsid w:val="00957113"/>
    <w:rsid w:val="00957467"/>
    <w:rsid w:val="00957904"/>
    <w:rsid w:val="00957937"/>
    <w:rsid w:val="00960665"/>
    <w:rsid w:val="009638DC"/>
    <w:rsid w:val="00963F53"/>
    <w:rsid w:val="00964542"/>
    <w:rsid w:val="009648CF"/>
    <w:rsid w:val="00964CCA"/>
    <w:rsid w:val="0096503E"/>
    <w:rsid w:val="00965152"/>
    <w:rsid w:val="00965401"/>
    <w:rsid w:val="009654E4"/>
    <w:rsid w:val="0096557A"/>
    <w:rsid w:val="00965861"/>
    <w:rsid w:val="009667E1"/>
    <w:rsid w:val="00966890"/>
    <w:rsid w:val="00966C08"/>
    <w:rsid w:val="00966C7B"/>
    <w:rsid w:val="00967A1F"/>
    <w:rsid w:val="00967A92"/>
    <w:rsid w:val="00971002"/>
    <w:rsid w:val="00972016"/>
    <w:rsid w:val="0097246B"/>
    <w:rsid w:val="00972AC8"/>
    <w:rsid w:val="00972F9D"/>
    <w:rsid w:val="00973449"/>
    <w:rsid w:val="00973655"/>
    <w:rsid w:val="00975684"/>
    <w:rsid w:val="00977599"/>
    <w:rsid w:val="00980074"/>
    <w:rsid w:val="0098015A"/>
    <w:rsid w:val="00980E4F"/>
    <w:rsid w:val="00982D5F"/>
    <w:rsid w:val="0098390A"/>
    <w:rsid w:val="00984D60"/>
    <w:rsid w:val="009858B4"/>
    <w:rsid w:val="00986DAD"/>
    <w:rsid w:val="00986F17"/>
    <w:rsid w:val="00987674"/>
    <w:rsid w:val="009879B4"/>
    <w:rsid w:val="00990156"/>
    <w:rsid w:val="00990163"/>
    <w:rsid w:val="00990364"/>
    <w:rsid w:val="00990F75"/>
    <w:rsid w:val="00991030"/>
    <w:rsid w:val="009923EB"/>
    <w:rsid w:val="00995281"/>
    <w:rsid w:val="0099590D"/>
    <w:rsid w:val="00995A23"/>
    <w:rsid w:val="00995EA9"/>
    <w:rsid w:val="00996A2F"/>
    <w:rsid w:val="00997A74"/>
    <w:rsid w:val="00997E2D"/>
    <w:rsid w:val="009A068B"/>
    <w:rsid w:val="009A06F1"/>
    <w:rsid w:val="009A0C3A"/>
    <w:rsid w:val="009A270C"/>
    <w:rsid w:val="009A2B2B"/>
    <w:rsid w:val="009A36E9"/>
    <w:rsid w:val="009A3FAB"/>
    <w:rsid w:val="009A4D0E"/>
    <w:rsid w:val="009A50FA"/>
    <w:rsid w:val="009A524D"/>
    <w:rsid w:val="009A68A7"/>
    <w:rsid w:val="009A6968"/>
    <w:rsid w:val="009A6E16"/>
    <w:rsid w:val="009A7FE3"/>
    <w:rsid w:val="009B0620"/>
    <w:rsid w:val="009B0DA2"/>
    <w:rsid w:val="009B16FF"/>
    <w:rsid w:val="009B1E2F"/>
    <w:rsid w:val="009B364F"/>
    <w:rsid w:val="009B3981"/>
    <w:rsid w:val="009B4BA4"/>
    <w:rsid w:val="009B5E23"/>
    <w:rsid w:val="009B7D8A"/>
    <w:rsid w:val="009B7FBB"/>
    <w:rsid w:val="009C052F"/>
    <w:rsid w:val="009C1975"/>
    <w:rsid w:val="009C2CAC"/>
    <w:rsid w:val="009C2D84"/>
    <w:rsid w:val="009C32AE"/>
    <w:rsid w:val="009C3818"/>
    <w:rsid w:val="009C38A1"/>
    <w:rsid w:val="009C3ABF"/>
    <w:rsid w:val="009C3C1B"/>
    <w:rsid w:val="009C3EA0"/>
    <w:rsid w:val="009C41C1"/>
    <w:rsid w:val="009C6C97"/>
    <w:rsid w:val="009D0110"/>
    <w:rsid w:val="009D1CCC"/>
    <w:rsid w:val="009D2005"/>
    <w:rsid w:val="009D2722"/>
    <w:rsid w:val="009D3216"/>
    <w:rsid w:val="009D333A"/>
    <w:rsid w:val="009D4527"/>
    <w:rsid w:val="009D4E6A"/>
    <w:rsid w:val="009D4F7A"/>
    <w:rsid w:val="009D5D0D"/>
    <w:rsid w:val="009D60B3"/>
    <w:rsid w:val="009D7235"/>
    <w:rsid w:val="009D7A0C"/>
    <w:rsid w:val="009E0111"/>
    <w:rsid w:val="009E1CE2"/>
    <w:rsid w:val="009E211D"/>
    <w:rsid w:val="009E2DA8"/>
    <w:rsid w:val="009E3382"/>
    <w:rsid w:val="009E520A"/>
    <w:rsid w:val="009E5926"/>
    <w:rsid w:val="009E598A"/>
    <w:rsid w:val="009E5AD7"/>
    <w:rsid w:val="009E5AEA"/>
    <w:rsid w:val="009E7822"/>
    <w:rsid w:val="009E7C36"/>
    <w:rsid w:val="009F093E"/>
    <w:rsid w:val="009F1383"/>
    <w:rsid w:val="009F1A64"/>
    <w:rsid w:val="009F2324"/>
    <w:rsid w:val="009F2F97"/>
    <w:rsid w:val="009F3034"/>
    <w:rsid w:val="009F363E"/>
    <w:rsid w:val="009F550D"/>
    <w:rsid w:val="009F5744"/>
    <w:rsid w:val="009F5FA0"/>
    <w:rsid w:val="009F661C"/>
    <w:rsid w:val="009F6641"/>
    <w:rsid w:val="009F7029"/>
    <w:rsid w:val="009F73FC"/>
    <w:rsid w:val="009F778A"/>
    <w:rsid w:val="009F7C84"/>
    <w:rsid w:val="00A003C6"/>
    <w:rsid w:val="00A015C4"/>
    <w:rsid w:val="00A021D7"/>
    <w:rsid w:val="00A0235E"/>
    <w:rsid w:val="00A027AF"/>
    <w:rsid w:val="00A03C2B"/>
    <w:rsid w:val="00A04FB8"/>
    <w:rsid w:val="00A05332"/>
    <w:rsid w:val="00A05DF0"/>
    <w:rsid w:val="00A06273"/>
    <w:rsid w:val="00A07F57"/>
    <w:rsid w:val="00A10CA0"/>
    <w:rsid w:val="00A112B5"/>
    <w:rsid w:val="00A11B00"/>
    <w:rsid w:val="00A11B0C"/>
    <w:rsid w:val="00A11D7F"/>
    <w:rsid w:val="00A12E67"/>
    <w:rsid w:val="00A13653"/>
    <w:rsid w:val="00A13E7C"/>
    <w:rsid w:val="00A14EFE"/>
    <w:rsid w:val="00A1543A"/>
    <w:rsid w:val="00A15540"/>
    <w:rsid w:val="00A15F48"/>
    <w:rsid w:val="00A165F0"/>
    <w:rsid w:val="00A17D98"/>
    <w:rsid w:val="00A20226"/>
    <w:rsid w:val="00A207FC"/>
    <w:rsid w:val="00A21421"/>
    <w:rsid w:val="00A21A85"/>
    <w:rsid w:val="00A21DB9"/>
    <w:rsid w:val="00A2257C"/>
    <w:rsid w:val="00A232BD"/>
    <w:rsid w:val="00A2416D"/>
    <w:rsid w:val="00A2480C"/>
    <w:rsid w:val="00A2542B"/>
    <w:rsid w:val="00A25B23"/>
    <w:rsid w:val="00A272E7"/>
    <w:rsid w:val="00A278A1"/>
    <w:rsid w:val="00A27E68"/>
    <w:rsid w:val="00A303D9"/>
    <w:rsid w:val="00A31C76"/>
    <w:rsid w:val="00A323E9"/>
    <w:rsid w:val="00A32513"/>
    <w:rsid w:val="00A32FD3"/>
    <w:rsid w:val="00A3344B"/>
    <w:rsid w:val="00A33C9F"/>
    <w:rsid w:val="00A36593"/>
    <w:rsid w:val="00A36793"/>
    <w:rsid w:val="00A36933"/>
    <w:rsid w:val="00A37055"/>
    <w:rsid w:val="00A37345"/>
    <w:rsid w:val="00A3776D"/>
    <w:rsid w:val="00A4005E"/>
    <w:rsid w:val="00A42801"/>
    <w:rsid w:val="00A43032"/>
    <w:rsid w:val="00A43153"/>
    <w:rsid w:val="00A432A0"/>
    <w:rsid w:val="00A4368A"/>
    <w:rsid w:val="00A440D6"/>
    <w:rsid w:val="00A443C2"/>
    <w:rsid w:val="00A448D0"/>
    <w:rsid w:val="00A4502C"/>
    <w:rsid w:val="00A45BEF"/>
    <w:rsid w:val="00A45ECC"/>
    <w:rsid w:val="00A46156"/>
    <w:rsid w:val="00A463DC"/>
    <w:rsid w:val="00A46D15"/>
    <w:rsid w:val="00A46D52"/>
    <w:rsid w:val="00A47DBE"/>
    <w:rsid w:val="00A503B7"/>
    <w:rsid w:val="00A5082A"/>
    <w:rsid w:val="00A50C7C"/>
    <w:rsid w:val="00A50C91"/>
    <w:rsid w:val="00A522D0"/>
    <w:rsid w:val="00A523DF"/>
    <w:rsid w:val="00A52550"/>
    <w:rsid w:val="00A5324A"/>
    <w:rsid w:val="00A538B4"/>
    <w:rsid w:val="00A538E1"/>
    <w:rsid w:val="00A53CBA"/>
    <w:rsid w:val="00A54461"/>
    <w:rsid w:val="00A54802"/>
    <w:rsid w:val="00A54BE9"/>
    <w:rsid w:val="00A54D7F"/>
    <w:rsid w:val="00A554DC"/>
    <w:rsid w:val="00A561AE"/>
    <w:rsid w:val="00A56B30"/>
    <w:rsid w:val="00A56D3C"/>
    <w:rsid w:val="00A57690"/>
    <w:rsid w:val="00A57F62"/>
    <w:rsid w:val="00A57FDC"/>
    <w:rsid w:val="00A60459"/>
    <w:rsid w:val="00A60D74"/>
    <w:rsid w:val="00A62190"/>
    <w:rsid w:val="00A63733"/>
    <w:rsid w:val="00A648C2"/>
    <w:rsid w:val="00A6528A"/>
    <w:rsid w:val="00A6582B"/>
    <w:rsid w:val="00A66F69"/>
    <w:rsid w:val="00A67208"/>
    <w:rsid w:val="00A67B10"/>
    <w:rsid w:val="00A67FB6"/>
    <w:rsid w:val="00A70CED"/>
    <w:rsid w:val="00A71C13"/>
    <w:rsid w:val="00A7218C"/>
    <w:rsid w:val="00A7251C"/>
    <w:rsid w:val="00A7264D"/>
    <w:rsid w:val="00A728E1"/>
    <w:rsid w:val="00A72AF3"/>
    <w:rsid w:val="00A732CA"/>
    <w:rsid w:val="00A732FF"/>
    <w:rsid w:val="00A733BF"/>
    <w:rsid w:val="00A73DEC"/>
    <w:rsid w:val="00A74B87"/>
    <w:rsid w:val="00A74CC0"/>
    <w:rsid w:val="00A75D5C"/>
    <w:rsid w:val="00A76497"/>
    <w:rsid w:val="00A764F5"/>
    <w:rsid w:val="00A76ED9"/>
    <w:rsid w:val="00A77059"/>
    <w:rsid w:val="00A80948"/>
    <w:rsid w:val="00A80E2D"/>
    <w:rsid w:val="00A81940"/>
    <w:rsid w:val="00A81ADB"/>
    <w:rsid w:val="00A81DEA"/>
    <w:rsid w:val="00A821CD"/>
    <w:rsid w:val="00A82710"/>
    <w:rsid w:val="00A8292B"/>
    <w:rsid w:val="00A82DB6"/>
    <w:rsid w:val="00A83023"/>
    <w:rsid w:val="00A83D3B"/>
    <w:rsid w:val="00A84169"/>
    <w:rsid w:val="00A85209"/>
    <w:rsid w:val="00A854B2"/>
    <w:rsid w:val="00A85B74"/>
    <w:rsid w:val="00A861C6"/>
    <w:rsid w:val="00A86D4C"/>
    <w:rsid w:val="00A86E4E"/>
    <w:rsid w:val="00A873A9"/>
    <w:rsid w:val="00A873F6"/>
    <w:rsid w:val="00A907AC"/>
    <w:rsid w:val="00A91739"/>
    <w:rsid w:val="00A92BD7"/>
    <w:rsid w:val="00A942CC"/>
    <w:rsid w:val="00A9584E"/>
    <w:rsid w:val="00A964DC"/>
    <w:rsid w:val="00A96962"/>
    <w:rsid w:val="00A96F76"/>
    <w:rsid w:val="00A9768B"/>
    <w:rsid w:val="00A97DE4"/>
    <w:rsid w:val="00AA09B6"/>
    <w:rsid w:val="00AA1D31"/>
    <w:rsid w:val="00AA2AEA"/>
    <w:rsid w:val="00AA2D14"/>
    <w:rsid w:val="00AA2F73"/>
    <w:rsid w:val="00AA3F04"/>
    <w:rsid w:val="00AA44CD"/>
    <w:rsid w:val="00AA537E"/>
    <w:rsid w:val="00AA62B8"/>
    <w:rsid w:val="00AA63CD"/>
    <w:rsid w:val="00AA7782"/>
    <w:rsid w:val="00AA77FF"/>
    <w:rsid w:val="00AA780B"/>
    <w:rsid w:val="00AA7824"/>
    <w:rsid w:val="00AA788D"/>
    <w:rsid w:val="00AA78D0"/>
    <w:rsid w:val="00AB112B"/>
    <w:rsid w:val="00AB3AAF"/>
    <w:rsid w:val="00AB3BBC"/>
    <w:rsid w:val="00AB460F"/>
    <w:rsid w:val="00AB49F7"/>
    <w:rsid w:val="00AB4A0E"/>
    <w:rsid w:val="00AB4B74"/>
    <w:rsid w:val="00AB4D16"/>
    <w:rsid w:val="00AB7AFD"/>
    <w:rsid w:val="00AB7B6A"/>
    <w:rsid w:val="00AC0311"/>
    <w:rsid w:val="00AC036F"/>
    <w:rsid w:val="00AC0CF8"/>
    <w:rsid w:val="00AC1B2F"/>
    <w:rsid w:val="00AC2A2C"/>
    <w:rsid w:val="00AC3035"/>
    <w:rsid w:val="00AC4AE4"/>
    <w:rsid w:val="00AC4C27"/>
    <w:rsid w:val="00AC55DA"/>
    <w:rsid w:val="00AC61CD"/>
    <w:rsid w:val="00AC6D4F"/>
    <w:rsid w:val="00AC6F9D"/>
    <w:rsid w:val="00AD091D"/>
    <w:rsid w:val="00AD0DEA"/>
    <w:rsid w:val="00AD1542"/>
    <w:rsid w:val="00AD1F46"/>
    <w:rsid w:val="00AD1F95"/>
    <w:rsid w:val="00AD20DE"/>
    <w:rsid w:val="00AD3058"/>
    <w:rsid w:val="00AD4C2C"/>
    <w:rsid w:val="00AD4EED"/>
    <w:rsid w:val="00AD5106"/>
    <w:rsid w:val="00AD5B0B"/>
    <w:rsid w:val="00AD60ED"/>
    <w:rsid w:val="00AD65B2"/>
    <w:rsid w:val="00AD751A"/>
    <w:rsid w:val="00AD756B"/>
    <w:rsid w:val="00AD77A8"/>
    <w:rsid w:val="00AD7DE2"/>
    <w:rsid w:val="00AE0138"/>
    <w:rsid w:val="00AE240B"/>
    <w:rsid w:val="00AE3526"/>
    <w:rsid w:val="00AE3A08"/>
    <w:rsid w:val="00AE3B57"/>
    <w:rsid w:val="00AE3DA1"/>
    <w:rsid w:val="00AE40D3"/>
    <w:rsid w:val="00AE413E"/>
    <w:rsid w:val="00AE4719"/>
    <w:rsid w:val="00AE6BA5"/>
    <w:rsid w:val="00AE76F5"/>
    <w:rsid w:val="00AE786B"/>
    <w:rsid w:val="00AE7987"/>
    <w:rsid w:val="00AE7EAC"/>
    <w:rsid w:val="00AF027B"/>
    <w:rsid w:val="00AF11CD"/>
    <w:rsid w:val="00AF1D12"/>
    <w:rsid w:val="00AF1D8E"/>
    <w:rsid w:val="00AF204F"/>
    <w:rsid w:val="00AF22FC"/>
    <w:rsid w:val="00AF4401"/>
    <w:rsid w:val="00AF453F"/>
    <w:rsid w:val="00AF4944"/>
    <w:rsid w:val="00AF4D2C"/>
    <w:rsid w:val="00AF4D95"/>
    <w:rsid w:val="00AF4EC1"/>
    <w:rsid w:val="00AF5B7B"/>
    <w:rsid w:val="00AF5FC3"/>
    <w:rsid w:val="00AF6282"/>
    <w:rsid w:val="00AF6669"/>
    <w:rsid w:val="00AF7C38"/>
    <w:rsid w:val="00AF7FCC"/>
    <w:rsid w:val="00B0071E"/>
    <w:rsid w:val="00B0078A"/>
    <w:rsid w:val="00B00CBE"/>
    <w:rsid w:val="00B00E99"/>
    <w:rsid w:val="00B01D80"/>
    <w:rsid w:val="00B02456"/>
    <w:rsid w:val="00B025E1"/>
    <w:rsid w:val="00B02D7A"/>
    <w:rsid w:val="00B02E38"/>
    <w:rsid w:val="00B030C8"/>
    <w:rsid w:val="00B030EE"/>
    <w:rsid w:val="00B03148"/>
    <w:rsid w:val="00B035F4"/>
    <w:rsid w:val="00B06121"/>
    <w:rsid w:val="00B07D0B"/>
    <w:rsid w:val="00B07FD7"/>
    <w:rsid w:val="00B10F03"/>
    <w:rsid w:val="00B1109B"/>
    <w:rsid w:val="00B111D9"/>
    <w:rsid w:val="00B112AA"/>
    <w:rsid w:val="00B11908"/>
    <w:rsid w:val="00B11CE0"/>
    <w:rsid w:val="00B12777"/>
    <w:rsid w:val="00B12C76"/>
    <w:rsid w:val="00B13527"/>
    <w:rsid w:val="00B13F85"/>
    <w:rsid w:val="00B145A3"/>
    <w:rsid w:val="00B149A5"/>
    <w:rsid w:val="00B14A1C"/>
    <w:rsid w:val="00B15E3C"/>
    <w:rsid w:val="00B167EE"/>
    <w:rsid w:val="00B16B7A"/>
    <w:rsid w:val="00B16BEB"/>
    <w:rsid w:val="00B17151"/>
    <w:rsid w:val="00B17835"/>
    <w:rsid w:val="00B20DE2"/>
    <w:rsid w:val="00B21374"/>
    <w:rsid w:val="00B218AD"/>
    <w:rsid w:val="00B251DC"/>
    <w:rsid w:val="00B25A42"/>
    <w:rsid w:val="00B26000"/>
    <w:rsid w:val="00B2631F"/>
    <w:rsid w:val="00B2695B"/>
    <w:rsid w:val="00B274BA"/>
    <w:rsid w:val="00B27600"/>
    <w:rsid w:val="00B27CFC"/>
    <w:rsid w:val="00B27F95"/>
    <w:rsid w:val="00B31244"/>
    <w:rsid w:val="00B313FD"/>
    <w:rsid w:val="00B3156F"/>
    <w:rsid w:val="00B31A6F"/>
    <w:rsid w:val="00B31DF6"/>
    <w:rsid w:val="00B31E3E"/>
    <w:rsid w:val="00B33C78"/>
    <w:rsid w:val="00B33CB5"/>
    <w:rsid w:val="00B34195"/>
    <w:rsid w:val="00B342D2"/>
    <w:rsid w:val="00B34C64"/>
    <w:rsid w:val="00B3561B"/>
    <w:rsid w:val="00B356AC"/>
    <w:rsid w:val="00B35883"/>
    <w:rsid w:val="00B35ED7"/>
    <w:rsid w:val="00B36932"/>
    <w:rsid w:val="00B3713C"/>
    <w:rsid w:val="00B37245"/>
    <w:rsid w:val="00B40E5E"/>
    <w:rsid w:val="00B4126B"/>
    <w:rsid w:val="00B414EB"/>
    <w:rsid w:val="00B417D6"/>
    <w:rsid w:val="00B41B1C"/>
    <w:rsid w:val="00B41EFA"/>
    <w:rsid w:val="00B42421"/>
    <w:rsid w:val="00B429D0"/>
    <w:rsid w:val="00B42C2C"/>
    <w:rsid w:val="00B42EAA"/>
    <w:rsid w:val="00B431FB"/>
    <w:rsid w:val="00B43423"/>
    <w:rsid w:val="00B437A7"/>
    <w:rsid w:val="00B44DA9"/>
    <w:rsid w:val="00B453C4"/>
    <w:rsid w:val="00B4558C"/>
    <w:rsid w:val="00B45DC2"/>
    <w:rsid w:val="00B46090"/>
    <w:rsid w:val="00B46550"/>
    <w:rsid w:val="00B46C14"/>
    <w:rsid w:val="00B4726D"/>
    <w:rsid w:val="00B47E5F"/>
    <w:rsid w:val="00B47F8E"/>
    <w:rsid w:val="00B5009F"/>
    <w:rsid w:val="00B50199"/>
    <w:rsid w:val="00B51717"/>
    <w:rsid w:val="00B51828"/>
    <w:rsid w:val="00B51F7C"/>
    <w:rsid w:val="00B52420"/>
    <w:rsid w:val="00B53081"/>
    <w:rsid w:val="00B5333C"/>
    <w:rsid w:val="00B53B6A"/>
    <w:rsid w:val="00B54335"/>
    <w:rsid w:val="00B558BD"/>
    <w:rsid w:val="00B55C5D"/>
    <w:rsid w:val="00B55CD7"/>
    <w:rsid w:val="00B55D5F"/>
    <w:rsid w:val="00B560A4"/>
    <w:rsid w:val="00B567B8"/>
    <w:rsid w:val="00B5740B"/>
    <w:rsid w:val="00B5784C"/>
    <w:rsid w:val="00B60C9F"/>
    <w:rsid w:val="00B60E98"/>
    <w:rsid w:val="00B615EE"/>
    <w:rsid w:val="00B62F74"/>
    <w:rsid w:val="00B63446"/>
    <w:rsid w:val="00B63B5D"/>
    <w:rsid w:val="00B64F53"/>
    <w:rsid w:val="00B653B4"/>
    <w:rsid w:val="00B655D2"/>
    <w:rsid w:val="00B663EF"/>
    <w:rsid w:val="00B66547"/>
    <w:rsid w:val="00B66C0F"/>
    <w:rsid w:val="00B67BE5"/>
    <w:rsid w:val="00B70B6C"/>
    <w:rsid w:val="00B7155E"/>
    <w:rsid w:val="00B716A5"/>
    <w:rsid w:val="00B71D01"/>
    <w:rsid w:val="00B7242C"/>
    <w:rsid w:val="00B728D5"/>
    <w:rsid w:val="00B72933"/>
    <w:rsid w:val="00B729D3"/>
    <w:rsid w:val="00B73435"/>
    <w:rsid w:val="00B73D19"/>
    <w:rsid w:val="00B73F05"/>
    <w:rsid w:val="00B74C96"/>
    <w:rsid w:val="00B74FEF"/>
    <w:rsid w:val="00B752AB"/>
    <w:rsid w:val="00B75C71"/>
    <w:rsid w:val="00B76D6F"/>
    <w:rsid w:val="00B773AE"/>
    <w:rsid w:val="00B77542"/>
    <w:rsid w:val="00B77886"/>
    <w:rsid w:val="00B778EC"/>
    <w:rsid w:val="00B80234"/>
    <w:rsid w:val="00B8294A"/>
    <w:rsid w:val="00B833E3"/>
    <w:rsid w:val="00B83A54"/>
    <w:rsid w:val="00B84A15"/>
    <w:rsid w:val="00B8502B"/>
    <w:rsid w:val="00B859C5"/>
    <w:rsid w:val="00B860F3"/>
    <w:rsid w:val="00B86923"/>
    <w:rsid w:val="00B86CB6"/>
    <w:rsid w:val="00B8728F"/>
    <w:rsid w:val="00B906F7"/>
    <w:rsid w:val="00B9245C"/>
    <w:rsid w:val="00B93A1B"/>
    <w:rsid w:val="00B93AD5"/>
    <w:rsid w:val="00B94201"/>
    <w:rsid w:val="00B94553"/>
    <w:rsid w:val="00B94567"/>
    <w:rsid w:val="00B95AB9"/>
    <w:rsid w:val="00B9634A"/>
    <w:rsid w:val="00B96383"/>
    <w:rsid w:val="00B963A7"/>
    <w:rsid w:val="00B97F10"/>
    <w:rsid w:val="00B97F84"/>
    <w:rsid w:val="00BA0EA7"/>
    <w:rsid w:val="00BA2628"/>
    <w:rsid w:val="00BA4111"/>
    <w:rsid w:val="00BA6C95"/>
    <w:rsid w:val="00BA7178"/>
    <w:rsid w:val="00BA717A"/>
    <w:rsid w:val="00BA73A0"/>
    <w:rsid w:val="00BA7425"/>
    <w:rsid w:val="00BA7D3E"/>
    <w:rsid w:val="00BB0064"/>
    <w:rsid w:val="00BB0751"/>
    <w:rsid w:val="00BB0D21"/>
    <w:rsid w:val="00BB1041"/>
    <w:rsid w:val="00BB1BEC"/>
    <w:rsid w:val="00BB1FB3"/>
    <w:rsid w:val="00BB2223"/>
    <w:rsid w:val="00BB2C0C"/>
    <w:rsid w:val="00BB3996"/>
    <w:rsid w:val="00BB4732"/>
    <w:rsid w:val="00BB569F"/>
    <w:rsid w:val="00BB5D1F"/>
    <w:rsid w:val="00BB5F1E"/>
    <w:rsid w:val="00BB7290"/>
    <w:rsid w:val="00BB7452"/>
    <w:rsid w:val="00BB7717"/>
    <w:rsid w:val="00BB7C12"/>
    <w:rsid w:val="00BB7ECB"/>
    <w:rsid w:val="00BC002E"/>
    <w:rsid w:val="00BC145F"/>
    <w:rsid w:val="00BC1593"/>
    <w:rsid w:val="00BC162D"/>
    <w:rsid w:val="00BC2038"/>
    <w:rsid w:val="00BC23E2"/>
    <w:rsid w:val="00BC2519"/>
    <w:rsid w:val="00BC28B7"/>
    <w:rsid w:val="00BC389E"/>
    <w:rsid w:val="00BC38F3"/>
    <w:rsid w:val="00BC47ED"/>
    <w:rsid w:val="00BC487E"/>
    <w:rsid w:val="00BC4E9F"/>
    <w:rsid w:val="00BC58DF"/>
    <w:rsid w:val="00BC6B86"/>
    <w:rsid w:val="00BC7570"/>
    <w:rsid w:val="00BC7BFD"/>
    <w:rsid w:val="00BC7E5A"/>
    <w:rsid w:val="00BD0442"/>
    <w:rsid w:val="00BD0631"/>
    <w:rsid w:val="00BD09B3"/>
    <w:rsid w:val="00BD0FD7"/>
    <w:rsid w:val="00BD1471"/>
    <w:rsid w:val="00BD18A2"/>
    <w:rsid w:val="00BD1C58"/>
    <w:rsid w:val="00BD3A19"/>
    <w:rsid w:val="00BD4411"/>
    <w:rsid w:val="00BD4836"/>
    <w:rsid w:val="00BD556B"/>
    <w:rsid w:val="00BD5774"/>
    <w:rsid w:val="00BD6B29"/>
    <w:rsid w:val="00BD753F"/>
    <w:rsid w:val="00BD79B0"/>
    <w:rsid w:val="00BD7C46"/>
    <w:rsid w:val="00BE25AA"/>
    <w:rsid w:val="00BE361A"/>
    <w:rsid w:val="00BE3D34"/>
    <w:rsid w:val="00BE3E29"/>
    <w:rsid w:val="00BE404C"/>
    <w:rsid w:val="00BE44D6"/>
    <w:rsid w:val="00BE4957"/>
    <w:rsid w:val="00BE4BD6"/>
    <w:rsid w:val="00BE73E0"/>
    <w:rsid w:val="00BE75A0"/>
    <w:rsid w:val="00BE75F9"/>
    <w:rsid w:val="00BF02D3"/>
    <w:rsid w:val="00BF03D6"/>
    <w:rsid w:val="00BF0F1D"/>
    <w:rsid w:val="00BF1C94"/>
    <w:rsid w:val="00BF2CD4"/>
    <w:rsid w:val="00BF3C0F"/>
    <w:rsid w:val="00BF3C50"/>
    <w:rsid w:val="00BF3C94"/>
    <w:rsid w:val="00BF3D51"/>
    <w:rsid w:val="00BF469D"/>
    <w:rsid w:val="00BF51AC"/>
    <w:rsid w:val="00BF51B7"/>
    <w:rsid w:val="00BF5AE7"/>
    <w:rsid w:val="00BF5BF7"/>
    <w:rsid w:val="00BF683C"/>
    <w:rsid w:val="00BF6915"/>
    <w:rsid w:val="00BF6E0C"/>
    <w:rsid w:val="00BF72B6"/>
    <w:rsid w:val="00C004E0"/>
    <w:rsid w:val="00C00A73"/>
    <w:rsid w:val="00C01ACB"/>
    <w:rsid w:val="00C01BE2"/>
    <w:rsid w:val="00C01D90"/>
    <w:rsid w:val="00C01DE0"/>
    <w:rsid w:val="00C02028"/>
    <w:rsid w:val="00C02D32"/>
    <w:rsid w:val="00C03847"/>
    <w:rsid w:val="00C047B9"/>
    <w:rsid w:val="00C05235"/>
    <w:rsid w:val="00C05AE7"/>
    <w:rsid w:val="00C0621B"/>
    <w:rsid w:val="00C06B84"/>
    <w:rsid w:val="00C0700D"/>
    <w:rsid w:val="00C0727C"/>
    <w:rsid w:val="00C076B7"/>
    <w:rsid w:val="00C07A9E"/>
    <w:rsid w:val="00C07DD4"/>
    <w:rsid w:val="00C106AE"/>
    <w:rsid w:val="00C1134A"/>
    <w:rsid w:val="00C11563"/>
    <w:rsid w:val="00C12422"/>
    <w:rsid w:val="00C13745"/>
    <w:rsid w:val="00C13C74"/>
    <w:rsid w:val="00C13DCB"/>
    <w:rsid w:val="00C14233"/>
    <w:rsid w:val="00C14569"/>
    <w:rsid w:val="00C14B5F"/>
    <w:rsid w:val="00C155C6"/>
    <w:rsid w:val="00C157C7"/>
    <w:rsid w:val="00C15D00"/>
    <w:rsid w:val="00C16D68"/>
    <w:rsid w:val="00C16EBD"/>
    <w:rsid w:val="00C17BFA"/>
    <w:rsid w:val="00C20079"/>
    <w:rsid w:val="00C209C8"/>
    <w:rsid w:val="00C210A4"/>
    <w:rsid w:val="00C2161B"/>
    <w:rsid w:val="00C2170B"/>
    <w:rsid w:val="00C21908"/>
    <w:rsid w:val="00C21975"/>
    <w:rsid w:val="00C21C19"/>
    <w:rsid w:val="00C2218B"/>
    <w:rsid w:val="00C233C2"/>
    <w:rsid w:val="00C23FF9"/>
    <w:rsid w:val="00C24478"/>
    <w:rsid w:val="00C249D4"/>
    <w:rsid w:val="00C24F08"/>
    <w:rsid w:val="00C258FA"/>
    <w:rsid w:val="00C259E4"/>
    <w:rsid w:val="00C259F9"/>
    <w:rsid w:val="00C25CB9"/>
    <w:rsid w:val="00C27EA1"/>
    <w:rsid w:val="00C310BD"/>
    <w:rsid w:val="00C31B30"/>
    <w:rsid w:val="00C31DE7"/>
    <w:rsid w:val="00C31F7B"/>
    <w:rsid w:val="00C329F0"/>
    <w:rsid w:val="00C333A3"/>
    <w:rsid w:val="00C33775"/>
    <w:rsid w:val="00C337E4"/>
    <w:rsid w:val="00C33C7B"/>
    <w:rsid w:val="00C35193"/>
    <w:rsid w:val="00C36772"/>
    <w:rsid w:val="00C36ADD"/>
    <w:rsid w:val="00C36AEF"/>
    <w:rsid w:val="00C36F7E"/>
    <w:rsid w:val="00C37E02"/>
    <w:rsid w:val="00C40A43"/>
    <w:rsid w:val="00C40E1F"/>
    <w:rsid w:val="00C41CCD"/>
    <w:rsid w:val="00C423FA"/>
    <w:rsid w:val="00C42624"/>
    <w:rsid w:val="00C436EB"/>
    <w:rsid w:val="00C440D2"/>
    <w:rsid w:val="00C454BF"/>
    <w:rsid w:val="00C45D3A"/>
    <w:rsid w:val="00C45F06"/>
    <w:rsid w:val="00C46D9C"/>
    <w:rsid w:val="00C47C11"/>
    <w:rsid w:val="00C5000D"/>
    <w:rsid w:val="00C501D6"/>
    <w:rsid w:val="00C502F4"/>
    <w:rsid w:val="00C505C9"/>
    <w:rsid w:val="00C50994"/>
    <w:rsid w:val="00C52533"/>
    <w:rsid w:val="00C526C7"/>
    <w:rsid w:val="00C5270E"/>
    <w:rsid w:val="00C52F16"/>
    <w:rsid w:val="00C53EC6"/>
    <w:rsid w:val="00C5434F"/>
    <w:rsid w:val="00C54958"/>
    <w:rsid w:val="00C54A25"/>
    <w:rsid w:val="00C55155"/>
    <w:rsid w:val="00C5576B"/>
    <w:rsid w:val="00C55D12"/>
    <w:rsid w:val="00C561C3"/>
    <w:rsid w:val="00C565CA"/>
    <w:rsid w:val="00C56982"/>
    <w:rsid w:val="00C57B16"/>
    <w:rsid w:val="00C601F1"/>
    <w:rsid w:val="00C60B89"/>
    <w:rsid w:val="00C6104A"/>
    <w:rsid w:val="00C61466"/>
    <w:rsid w:val="00C61C17"/>
    <w:rsid w:val="00C62FA6"/>
    <w:rsid w:val="00C63210"/>
    <w:rsid w:val="00C63B1B"/>
    <w:rsid w:val="00C63FED"/>
    <w:rsid w:val="00C64874"/>
    <w:rsid w:val="00C64B62"/>
    <w:rsid w:val="00C65065"/>
    <w:rsid w:val="00C65B34"/>
    <w:rsid w:val="00C66021"/>
    <w:rsid w:val="00C66167"/>
    <w:rsid w:val="00C66797"/>
    <w:rsid w:val="00C6683C"/>
    <w:rsid w:val="00C66CA6"/>
    <w:rsid w:val="00C66E30"/>
    <w:rsid w:val="00C6776B"/>
    <w:rsid w:val="00C67C36"/>
    <w:rsid w:val="00C67F95"/>
    <w:rsid w:val="00C70AAC"/>
    <w:rsid w:val="00C71855"/>
    <w:rsid w:val="00C72429"/>
    <w:rsid w:val="00C73F9D"/>
    <w:rsid w:val="00C74042"/>
    <w:rsid w:val="00C75EDB"/>
    <w:rsid w:val="00C76920"/>
    <w:rsid w:val="00C76A33"/>
    <w:rsid w:val="00C76C60"/>
    <w:rsid w:val="00C772D7"/>
    <w:rsid w:val="00C772FB"/>
    <w:rsid w:val="00C80835"/>
    <w:rsid w:val="00C80D25"/>
    <w:rsid w:val="00C818C8"/>
    <w:rsid w:val="00C82027"/>
    <w:rsid w:val="00C8263F"/>
    <w:rsid w:val="00C828E7"/>
    <w:rsid w:val="00C83CEF"/>
    <w:rsid w:val="00C83DD3"/>
    <w:rsid w:val="00C848FC"/>
    <w:rsid w:val="00C849F0"/>
    <w:rsid w:val="00C850F2"/>
    <w:rsid w:val="00C85F59"/>
    <w:rsid w:val="00C85F6C"/>
    <w:rsid w:val="00C862FD"/>
    <w:rsid w:val="00C86D42"/>
    <w:rsid w:val="00C86EA2"/>
    <w:rsid w:val="00C87373"/>
    <w:rsid w:val="00C901BB"/>
    <w:rsid w:val="00C9089F"/>
    <w:rsid w:val="00C91F11"/>
    <w:rsid w:val="00C92BD3"/>
    <w:rsid w:val="00C940DF"/>
    <w:rsid w:val="00C9468B"/>
    <w:rsid w:val="00C94FB5"/>
    <w:rsid w:val="00C955E7"/>
    <w:rsid w:val="00C965AA"/>
    <w:rsid w:val="00C966D5"/>
    <w:rsid w:val="00C96A67"/>
    <w:rsid w:val="00C975CE"/>
    <w:rsid w:val="00C97BA6"/>
    <w:rsid w:val="00C97D05"/>
    <w:rsid w:val="00CA0333"/>
    <w:rsid w:val="00CA20DD"/>
    <w:rsid w:val="00CA2ED9"/>
    <w:rsid w:val="00CA31C7"/>
    <w:rsid w:val="00CA389D"/>
    <w:rsid w:val="00CA449F"/>
    <w:rsid w:val="00CA4D62"/>
    <w:rsid w:val="00CA4FA7"/>
    <w:rsid w:val="00CA5217"/>
    <w:rsid w:val="00CA53F5"/>
    <w:rsid w:val="00CA5623"/>
    <w:rsid w:val="00CA591C"/>
    <w:rsid w:val="00CA5B12"/>
    <w:rsid w:val="00CA5FC8"/>
    <w:rsid w:val="00CA7546"/>
    <w:rsid w:val="00CA78ED"/>
    <w:rsid w:val="00CB0A54"/>
    <w:rsid w:val="00CB0ACA"/>
    <w:rsid w:val="00CB0EB5"/>
    <w:rsid w:val="00CB1329"/>
    <w:rsid w:val="00CB13D7"/>
    <w:rsid w:val="00CB248E"/>
    <w:rsid w:val="00CB271C"/>
    <w:rsid w:val="00CB2D94"/>
    <w:rsid w:val="00CB2EEE"/>
    <w:rsid w:val="00CB302B"/>
    <w:rsid w:val="00CB43E3"/>
    <w:rsid w:val="00CB464F"/>
    <w:rsid w:val="00CB5DA9"/>
    <w:rsid w:val="00CB5E75"/>
    <w:rsid w:val="00CC07AB"/>
    <w:rsid w:val="00CC07C0"/>
    <w:rsid w:val="00CC0BF4"/>
    <w:rsid w:val="00CC1732"/>
    <w:rsid w:val="00CC1C09"/>
    <w:rsid w:val="00CC274F"/>
    <w:rsid w:val="00CC2987"/>
    <w:rsid w:val="00CC3BE2"/>
    <w:rsid w:val="00CC3EC1"/>
    <w:rsid w:val="00CC4471"/>
    <w:rsid w:val="00CC4573"/>
    <w:rsid w:val="00CC47AA"/>
    <w:rsid w:val="00CC5156"/>
    <w:rsid w:val="00CC534B"/>
    <w:rsid w:val="00CC5A84"/>
    <w:rsid w:val="00CC5C39"/>
    <w:rsid w:val="00CC618E"/>
    <w:rsid w:val="00CC654E"/>
    <w:rsid w:val="00CD060C"/>
    <w:rsid w:val="00CD0A97"/>
    <w:rsid w:val="00CD162B"/>
    <w:rsid w:val="00CD1697"/>
    <w:rsid w:val="00CD1F7B"/>
    <w:rsid w:val="00CD2024"/>
    <w:rsid w:val="00CD3EAB"/>
    <w:rsid w:val="00CD4724"/>
    <w:rsid w:val="00CD6066"/>
    <w:rsid w:val="00CD675A"/>
    <w:rsid w:val="00CD6C10"/>
    <w:rsid w:val="00CD7566"/>
    <w:rsid w:val="00CD7895"/>
    <w:rsid w:val="00CD789D"/>
    <w:rsid w:val="00CE0BD1"/>
    <w:rsid w:val="00CE124A"/>
    <w:rsid w:val="00CE239A"/>
    <w:rsid w:val="00CE24D9"/>
    <w:rsid w:val="00CE295E"/>
    <w:rsid w:val="00CE2E72"/>
    <w:rsid w:val="00CE3617"/>
    <w:rsid w:val="00CE41A4"/>
    <w:rsid w:val="00CE45D5"/>
    <w:rsid w:val="00CE48B3"/>
    <w:rsid w:val="00CE4C0D"/>
    <w:rsid w:val="00CE54C2"/>
    <w:rsid w:val="00CE5595"/>
    <w:rsid w:val="00CE5621"/>
    <w:rsid w:val="00CE5915"/>
    <w:rsid w:val="00CE65FD"/>
    <w:rsid w:val="00CE73BA"/>
    <w:rsid w:val="00CE770D"/>
    <w:rsid w:val="00CE7A4A"/>
    <w:rsid w:val="00CE7ED7"/>
    <w:rsid w:val="00CE7F3A"/>
    <w:rsid w:val="00CF039B"/>
    <w:rsid w:val="00CF1C52"/>
    <w:rsid w:val="00CF213A"/>
    <w:rsid w:val="00CF2901"/>
    <w:rsid w:val="00CF2AE5"/>
    <w:rsid w:val="00CF2E93"/>
    <w:rsid w:val="00CF31CD"/>
    <w:rsid w:val="00CF4192"/>
    <w:rsid w:val="00CF4258"/>
    <w:rsid w:val="00CF5082"/>
    <w:rsid w:val="00CF52EC"/>
    <w:rsid w:val="00CF53B2"/>
    <w:rsid w:val="00CF6891"/>
    <w:rsid w:val="00CF6FD4"/>
    <w:rsid w:val="00CF7105"/>
    <w:rsid w:val="00CF7387"/>
    <w:rsid w:val="00CF76D9"/>
    <w:rsid w:val="00CF7C63"/>
    <w:rsid w:val="00D02CBE"/>
    <w:rsid w:val="00D030DE"/>
    <w:rsid w:val="00D039A5"/>
    <w:rsid w:val="00D041C5"/>
    <w:rsid w:val="00D048AB"/>
    <w:rsid w:val="00D05629"/>
    <w:rsid w:val="00D0674A"/>
    <w:rsid w:val="00D1028F"/>
    <w:rsid w:val="00D10FD8"/>
    <w:rsid w:val="00D10FED"/>
    <w:rsid w:val="00D116DB"/>
    <w:rsid w:val="00D125DC"/>
    <w:rsid w:val="00D1342C"/>
    <w:rsid w:val="00D13489"/>
    <w:rsid w:val="00D1415F"/>
    <w:rsid w:val="00D14170"/>
    <w:rsid w:val="00D14547"/>
    <w:rsid w:val="00D1470D"/>
    <w:rsid w:val="00D156CE"/>
    <w:rsid w:val="00D1582F"/>
    <w:rsid w:val="00D16A75"/>
    <w:rsid w:val="00D16B10"/>
    <w:rsid w:val="00D16BC4"/>
    <w:rsid w:val="00D16C63"/>
    <w:rsid w:val="00D16E0E"/>
    <w:rsid w:val="00D17645"/>
    <w:rsid w:val="00D20459"/>
    <w:rsid w:val="00D20537"/>
    <w:rsid w:val="00D20E9E"/>
    <w:rsid w:val="00D21309"/>
    <w:rsid w:val="00D213F0"/>
    <w:rsid w:val="00D216B7"/>
    <w:rsid w:val="00D217B9"/>
    <w:rsid w:val="00D220C0"/>
    <w:rsid w:val="00D222F2"/>
    <w:rsid w:val="00D2256D"/>
    <w:rsid w:val="00D233A5"/>
    <w:rsid w:val="00D235FE"/>
    <w:rsid w:val="00D23912"/>
    <w:rsid w:val="00D24823"/>
    <w:rsid w:val="00D25228"/>
    <w:rsid w:val="00D254B9"/>
    <w:rsid w:val="00D256A3"/>
    <w:rsid w:val="00D25D79"/>
    <w:rsid w:val="00D26AD0"/>
    <w:rsid w:val="00D26C70"/>
    <w:rsid w:val="00D30D82"/>
    <w:rsid w:val="00D3108B"/>
    <w:rsid w:val="00D3349B"/>
    <w:rsid w:val="00D34BDD"/>
    <w:rsid w:val="00D35619"/>
    <w:rsid w:val="00D35D71"/>
    <w:rsid w:val="00D3766D"/>
    <w:rsid w:val="00D37FD7"/>
    <w:rsid w:val="00D405A0"/>
    <w:rsid w:val="00D406DB"/>
    <w:rsid w:val="00D40BEA"/>
    <w:rsid w:val="00D41234"/>
    <w:rsid w:val="00D417AB"/>
    <w:rsid w:val="00D4391B"/>
    <w:rsid w:val="00D4399A"/>
    <w:rsid w:val="00D44057"/>
    <w:rsid w:val="00D4417D"/>
    <w:rsid w:val="00D4419F"/>
    <w:rsid w:val="00D4443E"/>
    <w:rsid w:val="00D44C97"/>
    <w:rsid w:val="00D4500A"/>
    <w:rsid w:val="00D4500E"/>
    <w:rsid w:val="00D453FB"/>
    <w:rsid w:val="00D462C6"/>
    <w:rsid w:val="00D47F12"/>
    <w:rsid w:val="00D508B6"/>
    <w:rsid w:val="00D516AA"/>
    <w:rsid w:val="00D51771"/>
    <w:rsid w:val="00D51A9C"/>
    <w:rsid w:val="00D51CB4"/>
    <w:rsid w:val="00D52E88"/>
    <w:rsid w:val="00D5304A"/>
    <w:rsid w:val="00D535DF"/>
    <w:rsid w:val="00D536DB"/>
    <w:rsid w:val="00D537B2"/>
    <w:rsid w:val="00D53C76"/>
    <w:rsid w:val="00D543CA"/>
    <w:rsid w:val="00D54783"/>
    <w:rsid w:val="00D54B56"/>
    <w:rsid w:val="00D54EE5"/>
    <w:rsid w:val="00D556F4"/>
    <w:rsid w:val="00D55C5B"/>
    <w:rsid w:val="00D604CB"/>
    <w:rsid w:val="00D60C23"/>
    <w:rsid w:val="00D61091"/>
    <w:rsid w:val="00D61363"/>
    <w:rsid w:val="00D61ACB"/>
    <w:rsid w:val="00D61FF5"/>
    <w:rsid w:val="00D6232E"/>
    <w:rsid w:val="00D630AB"/>
    <w:rsid w:val="00D632A1"/>
    <w:rsid w:val="00D63708"/>
    <w:rsid w:val="00D63F47"/>
    <w:rsid w:val="00D647F2"/>
    <w:rsid w:val="00D64855"/>
    <w:rsid w:val="00D65270"/>
    <w:rsid w:val="00D66EFC"/>
    <w:rsid w:val="00D67FFD"/>
    <w:rsid w:val="00D713C7"/>
    <w:rsid w:val="00D714E9"/>
    <w:rsid w:val="00D71C8D"/>
    <w:rsid w:val="00D72324"/>
    <w:rsid w:val="00D7264F"/>
    <w:rsid w:val="00D742B0"/>
    <w:rsid w:val="00D74CE8"/>
    <w:rsid w:val="00D765E9"/>
    <w:rsid w:val="00D77299"/>
    <w:rsid w:val="00D80A8B"/>
    <w:rsid w:val="00D81371"/>
    <w:rsid w:val="00D8306A"/>
    <w:rsid w:val="00D837A2"/>
    <w:rsid w:val="00D84292"/>
    <w:rsid w:val="00D85D2D"/>
    <w:rsid w:val="00D8642B"/>
    <w:rsid w:val="00D8650C"/>
    <w:rsid w:val="00D86520"/>
    <w:rsid w:val="00D86CF9"/>
    <w:rsid w:val="00D8745D"/>
    <w:rsid w:val="00D87667"/>
    <w:rsid w:val="00D87A55"/>
    <w:rsid w:val="00D87BD8"/>
    <w:rsid w:val="00D9009F"/>
    <w:rsid w:val="00D901E4"/>
    <w:rsid w:val="00D907E3"/>
    <w:rsid w:val="00D90CD4"/>
    <w:rsid w:val="00D9122A"/>
    <w:rsid w:val="00D914EA"/>
    <w:rsid w:val="00D91682"/>
    <w:rsid w:val="00D9178C"/>
    <w:rsid w:val="00D920B2"/>
    <w:rsid w:val="00D923CF"/>
    <w:rsid w:val="00D9240A"/>
    <w:rsid w:val="00D9316A"/>
    <w:rsid w:val="00D93392"/>
    <w:rsid w:val="00D9343B"/>
    <w:rsid w:val="00D937F2"/>
    <w:rsid w:val="00D93971"/>
    <w:rsid w:val="00D93A71"/>
    <w:rsid w:val="00D93F23"/>
    <w:rsid w:val="00D954F3"/>
    <w:rsid w:val="00D95AE3"/>
    <w:rsid w:val="00D965F0"/>
    <w:rsid w:val="00D9697E"/>
    <w:rsid w:val="00D96F46"/>
    <w:rsid w:val="00D971FC"/>
    <w:rsid w:val="00D97B2E"/>
    <w:rsid w:val="00DA0055"/>
    <w:rsid w:val="00DA03A4"/>
    <w:rsid w:val="00DA0419"/>
    <w:rsid w:val="00DA0E66"/>
    <w:rsid w:val="00DA115A"/>
    <w:rsid w:val="00DA13B1"/>
    <w:rsid w:val="00DA1673"/>
    <w:rsid w:val="00DA1A56"/>
    <w:rsid w:val="00DA20C9"/>
    <w:rsid w:val="00DA218A"/>
    <w:rsid w:val="00DA238C"/>
    <w:rsid w:val="00DA266C"/>
    <w:rsid w:val="00DA3A52"/>
    <w:rsid w:val="00DA3DBD"/>
    <w:rsid w:val="00DA41BD"/>
    <w:rsid w:val="00DA44D2"/>
    <w:rsid w:val="00DA4CA1"/>
    <w:rsid w:val="00DA4F2B"/>
    <w:rsid w:val="00DA5158"/>
    <w:rsid w:val="00DA529E"/>
    <w:rsid w:val="00DA5735"/>
    <w:rsid w:val="00DA5E5D"/>
    <w:rsid w:val="00DA625D"/>
    <w:rsid w:val="00DA6CCC"/>
    <w:rsid w:val="00DA7728"/>
    <w:rsid w:val="00DB06A6"/>
    <w:rsid w:val="00DB0825"/>
    <w:rsid w:val="00DB103D"/>
    <w:rsid w:val="00DB335F"/>
    <w:rsid w:val="00DB3A62"/>
    <w:rsid w:val="00DB3DD9"/>
    <w:rsid w:val="00DB479C"/>
    <w:rsid w:val="00DB4C51"/>
    <w:rsid w:val="00DB4E2B"/>
    <w:rsid w:val="00DB565C"/>
    <w:rsid w:val="00DB5867"/>
    <w:rsid w:val="00DB58B5"/>
    <w:rsid w:val="00DB5BC1"/>
    <w:rsid w:val="00DB5CC2"/>
    <w:rsid w:val="00DB61D3"/>
    <w:rsid w:val="00DB64CB"/>
    <w:rsid w:val="00DB7184"/>
    <w:rsid w:val="00DB7F5D"/>
    <w:rsid w:val="00DC024F"/>
    <w:rsid w:val="00DC0C36"/>
    <w:rsid w:val="00DC1844"/>
    <w:rsid w:val="00DC1D4C"/>
    <w:rsid w:val="00DC2394"/>
    <w:rsid w:val="00DC3745"/>
    <w:rsid w:val="00DC3D94"/>
    <w:rsid w:val="00DC3FDA"/>
    <w:rsid w:val="00DC4628"/>
    <w:rsid w:val="00DC4A1C"/>
    <w:rsid w:val="00DC5242"/>
    <w:rsid w:val="00DC69F2"/>
    <w:rsid w:val="00DC6F4A"/>
    <w:rsid w:val="00DD000E"/>
    <w:rsid w:val="00DD0EF0"/>
    <w:rsid w:val="00DD12B3"/>
    <w:rsid w:val="00DD1505"/>
    <w:rsid w:val="00DD171E"/>
    <w:rsid w:val="00DD422E"/>
    <w:rsid w:val="00DD4B97"/>
    <w:rsid w:val="00DD50EC"/>
    <w:rsid w:val="00DD5CA2"/>
    <w:rsid w:val="00DD708A"/>
    <w:rsid w:val="00DD7386"/>
    <w:rsid w:val="00DD76E5"/>
    <w:rsid w:val="00DE0321"/>
    <w:rsid w:val="00DE2B53"/>
    <w:rsid w:val="00DE319F"/>
    <w:rsid w:val="00DE3A37"/>
    <w:rsid w:val="00DE3F9E"/>
    <w:rsid w:val="00DE4AC3"/>
    <w:rsid w:val="00DE5CE1"/>
    <w:rsid w:val="00DE723E"/>
    <w:rsid w:val="00DF0094"/>
    <w:rsid w:val="00DF0759"/>
    <w:rsid w:val="00DF09B9"/>
    <w:rsid w:val="00DF1688"/>
    <w:rsid w:val="00DF187F"/>
    <w:rsid w:val="00DF246E"/>
    <w:rsid w:val="00DF247C"/>
    <w:rsid w:val="00DF2C7E"/>
    <w:rsid w:val="00DF311F"/>
    <w:rsid w:val="00DF4C4B"/>
    <w:rsid w:val="00DF5322"/>
    <w:rsid w:val="00DF55A5"/>
    <w:rsid w:val="00DF6196"/>
    <w:rsid w:val="00DF713B"/>
    <w:rsid w:val="00DF77F8"/>
    <w:rsid w:val="00E010F2"/>
    <w:rsid w:val="00E01424"/>
    <w:rsid w:val="00E024D9"/>
    <w:rsid w:val="00E02A86"/>
    <w:rsid w:val="00E03E84"/>
    <w:rsid w:val="00E03FA2"/>
    <w:rsid w:val="00E046B4"/>
    <w:rsid w:val="00E056BE"/>
    <w:rsid w:val="00E059AE"/>
    <w:rsid w:val="00E05AB8"/>
    <w:rsid w:val="00E05C0D"/>
    <w:rsid w:val="00E0649B"/>
    <w:rsid w:val="00E07918"/>
    <w:rsid w:val="00E07D5C"/>
    <w:rsid w:val="00E1082A"/>
    <w:rsid w:val="00E1123E"/>
    <w:rsid w:val="00E13FFF"/>
    <w:rsid w:val="00E14BC7"/>
    <w:rsid w:val="00E15E72"/>
    <w:rsid w:val="00E160DE"/>
    <w:rsid w:val="00E16133"/>
    <w:rsid w:val="00E16523"/>
    <w:rsid w:val="00E17B5E"/>
    <w:rsid w:val="00E214B6"/>
    <w:rsid w:val="00E223A6"/>
    <w:rsid w:val="00E22A47"/>
    <w:rsid w:val="00E23250"/>
    <w:rsid w:val="00E242C4"/>
    <w:rsid w:val="00E24644"/>
    <w:rsid w:val="00E24731"/>
    <w:rsid w:val="00E2519F"/>
    <w:rsid w:val="00E253DA"/>
    <w:rsid w:val="00E25E0F"/>
    <w:rsid w:val="00E261F1"/>
    <w:rsid w:val="00E26691"/>
    <w:rsid w:val="00E26BA0"/>
    <w:rsid w:val="00E27AC5"/>
    <w:rsid w:val="00E27C86"/>
    <w:rsid w:val="00E3045A"/>
    <w:rsid w:val="00E30550"/>
    <w:rsid w:val="00E30D7F"/>
    <w:rsid w:val="00E31038"/>
    <w:rsid w:val="00E31801"/>
    <w:rsid w:val="00E31AE2"/>
    <w:rsid w:val="00E320A6"/>
    <w:rsid w:val="00E324B2"/>
    <w:rsid w:val="00E334A9"/>
    <w:rsid w:val="00E33B4F"/>
    <w:rsid w:val="00E33B95"/>
    <w:rsid w:val="00E340DB"/>
    <w:rsid w:val="00E3421E"/>
    <w:rsid w:val="00E34FD9"/>
    <w:rsid w:val="00E355E8"/>
    <w:rsid w:val="00E36435"/>
    <w:rsid w:val="00E375D7"/>
    <w:rsid w:val="00E37BA1"/>
    <w:rsid w:val="00E37CA5"/>
    <w:rsid w:val="00E408D4"/>
    <w:rsid w:val="00E409A9"/>
    <w:rsid w:val="00E41393"/>
    <w:rsid w:val="00E41B5E"/>
    <w:rsid w:val="00E4273D"/>
    <w:rsid w:val="00E42948"/>
    <w:rsid w:val="00E43047"/>
    <w:rsid w:val="00E432DE"/>
    <w:rsid w:val="00E434C1"/>
    <w:rsid w:val="00E45468"/>
    <w:rsid w:val="00E4556C"/>
    <w:rsid w:val="00E46232"/>
    <w:rsid w:val="00E465C0"/>
    <w:rsid w:val="00E4671C"/>
    <w:rsid w:val="00E4692E"/>
    <w:rsid w:val="00E469DA"/>
    <w:rsid w:val="00E46DE8"/>
    <w:rsid w:val="00E4710A"/>
    <w:rsid w:val="00E505B5"/>
    <w:rsid w:val="00E50894"/>
    <w:rsid w:val="00E50DF8"/>
    <w:rsid w:val="00E5183D"/>
    <w:rsid w:val="00E51B35"/>
    <w:rsid w:val="00E51F1E"/>
    <w:rsid w:val="00E5287E"/>
    <w:rsid w:val="00E52B46"/>
    <w:rsid w:val="00E52C1E"/>
    <w:rsid w:val="00E53F50"/>
    <w:rsid w:val="00E548C5"/>
    <w:rsid w:val="00E5493C"/>
    <w:rsid w:val="00E5755D"/>
    <w:rsid w:val="00E57D7A"/>
    <w:rsid w:val="00E60465"/>
    <w:rsid w:val="00E60493"/>
    <w:rsid w:val="00E60882"/>
    <w:rsid w:val="00E61110"/>
    <w:rsid w:val="00E61210"/>
    <w:rsid w:val="00E61A8B"/>
    <w:rsid w:val="00E63BA8"/>
    <w:rsid w:val="00E6400B"/>
    <w:rsid w:val="00E64A10"/>
    <w:rsid w:val="00E659A7"/>
    <w:rsid w:val="00E661B3"/>
    <w:rsid w:val="00E675F4"/>
    <w:rsid w:val="00E67648"/>
    <w:rsid w:val="00E67882"/>
    <w:rsid w:val="00E67D26"/>
    <w:rsid w:val="00E70418"/>
    <w:rsid w:val="00E70A04"/>
    <w:rsid w:val="00E70F0C"/>
    <w:rsid w:val="00E717B0"/>
    <w:rsid w:val="00E717E1"/>
    <w:rsid w:val="00E721D2"/>
    <w:rsid w:val="00E72B3E"/>
    <w:rsid w:val="00E73AF5"/>
    <w:rsid w:val="00E73B37"/>
    <w:rsid w:val="00E73D7D"/>
    <w:rsid w:val="00E74020"/>
    <w:rsid w:val="00E748F8"/>
    <w:rsid w:val="00E74A74"/>
    <w:rsid w:val="00E750B5"/>
    <w:rsid w:val="00E75F0A"/>
    <w:rsid w:val="00E75F7A"/>
    <w:rsid w:val="00E76353"/>
    <w:rsid w:val="00E76473"/>
    <w:rsid w:val="00E765D8"/>
    <w:rsid w:val="00E805E9"/>
    <w:rsid w:val="00E80EDC"/>
    <w:rsid w:val="00E80F7C"/>
    <w:rsid w:val="00E8153C"/>
    <w:rsid w:val="00E817C9"/>
    <w:rsid w:val="00E81DA5"/>
    <w:rsid w:val="00E82771"/>
    <w:rsid w:val="00E83478"/>
    <w:rsid w:val="00E837A1"/>
    <w:rsid w:val="00E853D9"/>
    <w:rsid w:val="00E85575"/>
    <w:rsid w:val="00E8590A"/>
    <w:rsid w:val="00E85C76"/>
    <w:rsid w:val="00E87591"/>
    <w:rsid w:val="00E90DA6"/>
    <w:rsid w:val="00E91858"/>
    <w:rsid w:val="00E9218E"/>
    <w:rsid w:val="00E924C8"/>
    <w:rsid w:val="00E92BA4"/>
    <w:rsid w:val="00E92D94"/>
    <w:rsid w:val="00E93757"/>
    <w:rsid w:val="00E93EAA"/>
    <w:rsid w:val="00E93F89"/>
    <w:rsid w:val="00E9443B"/>
    <w:rsid w:val="00E9491C"/>
    <w:rsid w:val="00E95D85"/>
    <w:rsid w:val="00E962C2"/>
    <w:rsid w:val="00E96C6A"/>
    <w:rsid w:val="00E96DBD"/>
    <w:rsid w:val="00E9770A"/>
    <w:rsid w:val="00E97925"/>
    <w:rsid w:val="00EA11AE"/>
    <w:rsid w:val="00EA16AC"/>
    <w:rsid w:val="00EA1A00"/>
    <w:rsid w:val="00EA1EF2"/>
    <w:rsid w:val="00EA1FA9"/>
    <w:rsid w:val="00EA398A"/>
    <w:rsid w:val="00EA3E1F"/>
    <w:rsid w:val="00EA3FF7"/>
    <w:rsid w:val="00EA6849"/>
    <w:rsid w:val="00EA689C"/>
    <w:rsid w:val="00EA6F1A"/>
    <w:rsid w:val="00EA7107"/>
    <w:rsid w:val="00EA7EF2"/>
    <w:rsid w:val="00EA7FFE"/>
    <w:rsid w:val="00EB0450"/>
    <w:rsid w:val="00EB054E"/>
    <w:rsid w:val="00EB086B"/>
    <w:rsid w:val="00EB14CB"/>
    <w:rsid w:val="00EB1912"/>
    <w:rsid w:val="00EB237F"/>
    <w:rsid w:val="00EB42B9"/>
    <w:rsid w:val="00EB4862"/>
    <w:rsid w:val="00EB4D73"/>
    <w:rsid w:val="00EB523A"/>
    <w:rsid w:val="00EB53A8"/>
    <w:rsid w:val="00EB5A41"/>
    <w:rsid w:val="00EB5C6E"/>
    <w:rsid w:val="00EB78C2"/>
    <w:rsid w:val="00EC1DC5"/>
    <w:rsid w:val="00EC1DF6"/>
    <w:rsid w:val="00EC2110"/>
    <w:rsid w:val="00EC2B42"/>
    <w:rsid w:val="00EC2D5B"/>
    <w:rsid w:val="00EC2EF6"/>
    <w:rsid w:val="00EC3E5A"/>
    <w:rsid w:val="00EC4A9C"/>
    <w:rsid w:val="00EC4E7C"/>
    <w:rsid w:val="00EC4F58"/>
    <w:rsid w:val="00EC59F1"/>
    <w:rsid w:val="00EC681B"/>
    <w:rsid w:val="00EC6C15"/>
    <w:rsid w:val="00ED076E"/>
    <w:rsid w:val="00ED08A0"/>
    <w:rsid w:val="00ED0936"/>
    <w:rsid w:val="00ED108D"/>
    <w:rsid w:val="00ED34A5"/>
    <w:rsid w:val="00ED3558"/>
    <w:rsid w:val="00ED3C70"/>
    <w:rsid w:val="00ED42E4"/>
    <w:rsid w:val="00ED63BC"/>
    <w:rsid w:val="00ED6ECA"/>
    <w:rsid w:val="00ED7CD9"/>
    <w:rsid w:val="00EE0C45"/>
    <w:rsid w:val="00EE0C61"/>
    <w:rsid w:val="00EE128E"/>
    <w:rsid w:val="00EE157C"/>
    <w:rsid w:val="00EE17CD"/>
    <w:rsid w:val="00EE1CAA"/>
    <w:rsid w:val="00EE29B1"/>
    <w:rsid w:val="00EE2C81"/>
    <w:rsid w:val="00EE2EE5"/>
    <w:rsid w:val="00EE3F5F"/>
    <w:rsid w:val="00EE4CBC"/>
    <w:rsid w:val="00EE568A"/>
    <w:rsid w:val="00EE58FD"/>
    <w:rsid w:val="00EE5A85"/>
    <w:rsid w:val="00EE62D0"/>
    <w:rsid w:val="00EE6876"/>
    <w:rsid w:val="00EE6C84"/>
    <w:rsid w:val="00EE74C3"/>
    <w:rsid w:val="00EE77C7"/>
    <w:rsid w:val="00EE78D1"/>
    <w:rsid w:val="00EE78D8"/>
    <w:rsid w:val="00EE7A26"/>
    <w:rsid w:val="00EF0625"/>
    <w:rsid w:val="00EF0983"/>
    <w:rsid w:val="00EF1925"/>
    <w:rsid w:val="00EF2335"/>
    <w:rsid w:val="00EF23BA"/>
    <w:rsid w:val="00EF2941"/>
    <w:rsid w:val="00EF2ED0"/>
    <w:rsid w:val="00EF30FF"/>
    <w:rsid w:val="00EF45CA"/>
    <w:rsid w:val="00EF4C9E"/>
    <w:rsid w:val="00EF519B"/>
    <w:rsid w:val="00EF52D8"/>
    <w:rsid w:val="00EF54FF"/>
    <w:rsid w:val="00EF55AD"/>
    <w:rsid w:val="00EF5964"/>
    <w:rsid w:val="00EF59C0"/>
    <w:rsid w:val="00EF5B6F"/>
    <w:rsid w:val="00F00424"/>
    <w:rsid w:val="00F00C59"/>
    <w:rsid w:val="00F02CB1"/>
    <w:rsid w:val="00F02EB2"/>
    <w:rsid w:val="00F03229"/>
    <w:rsid w:val="00F03ECC"/>
    <w:rsid w:val="00F04019"/>
    <w:rsid w:val="00F0437B"/>
    <w:rsid w:val="00F04F34"/>
    <w:rsid w:val="00F0523A"/>
    <w:rsid w:val="00F06327"/>
    <w:rsid w:val="00F0670D"/>
    <w:rsid w:val="00F0707F"/>
    <w:rsid w:val="00F10C83"/>
    <w:rsid w:val="00F10D06"/>
    <w:rsid w:val="00F1181F"/>
    <w:rsid w:val="00F11C1C"/>
    <w:rsid w:val="00F1313C"/>
    <w:rsid w:val="00F131B7"/>
    <w:rsid w:val="00F1482E"/>
    <w:rsid w:val="00F1525B"/>
    <w:rsid w:val="00F15623"/>
    <w:rsid w:val="00F159EE"/>
    <w:rsid w:val="00F161A6"/>
    <w:rsid w:val="00F166A8"/>
    <w:rsid w:val="00F16878"/>
    <w:rsid w:val="00F16AA7"/>
    <w:rsid w:val="00F16E61"/>
    <w:rsid w:val="00F175B7"/>
    <w:rsid w:val="00F20057"/>
    <w:rsid w:val="00F20086"/>
    <w:rsid w:val="00F211B9"/>
    <w:rsid w:val="00F21473"/>
    <w:rsid w:val="00F21512"/>
    <w:rsid w:val="00F21E19"/>
    <w:rsid w:val="00F222F2"/>
    <w:rsid w:val="00F223BC"/>
    <w:rsid w:val="00F22F44"/>
    <w:rsid w:val="00F24568"/>
    <w:rsid w:val="00F24661"/>
    <w:rsid w:val="00F246DF"/>
    <w:rsid w:val="00F24D77"/>
    <w:rsid w:val="00F25118"/>
    <w:rsid w:val="00F25663"/>
    <w:rsid w:val="00F256D4"/>
    <w:rsid w:val="00F25A6F"/>
    <w:rsid w:val="00F26354"/>
    <w:rsid w:val="00F26990"/>
    <w:rsid w:val="00F27536"/>
    <w:rsid w:val="00F276A4"/>
    <w:rsid w:val="00F27AE4"/>
    <w:rsid w:val="00F27B0F"/>
    <w:rsid w:val="00F30691"/>
    <w:rsid w:val="00F30D40"/>
    <w:rsid w:val="00F31002"/>
    <w:rsid w:val="00F3171B"/>
    <w:rsid w:val="00F32068"/>
    <w:rsid w:val="00F323F6"/>
    <w:rsid w:val="00F34470"/>
    <w:rsid w:val="00F34900"/>
    <w:rsid w:val="00F35396"/>
    <w:rsid w:val="00F355C6"/>
    <w:rsid w:val="00F35B63"/>
    <w:rsid w:val="00F35C7B"/>
    <w:rsid w:val="00F35E63"/>
    <w:rsid w:val="00F35F24"/>
    <w:rsid w:val="00F36696"/>
    <w:rsid w:val="00F36B02"/>
    <w:rsid w:val="00F36E77"/>
    <w:rsid w:val="00F401C8"/>
    <w:rsid w:val="00F404E3"/>
    <w:rsid w:val="00F405AA"/>
    <w:rsid w:val="00F40668"/>
    <w:rsid w:val="00F40D24"/>
    <w:rsid w:val="00F418CB"/>
    <w:rsid w:val="00F41F3E"/>
    <w:rsid w:val="00F42D67"/>
    <w:rsid w:val="00F43054"/>
    <w:rsid w:val="00F43283"/>
    <w:rsid w:val="00F45469"/>
    <w:rsid w:val="00F45E04"/>
    <w:rsid w:val="00F4625A"/>
    <w:rsid w:val="00F462ED"/>
    <w:rsid w:val="00F46DF9"/>
    <w:rsid w:val="00F474A9"/>
    <w:rsid w:val="00F47536"/>
    <w:rsid w:val="00F479C0"/>
    <w:rsid w:val="00F500D0"/>
    <w:rsid w:val="00F50D41"/>
    <w:rsid w:val="00F513E5"/>
    <w:rsid w:val="00F51995"/>
    <w:rsid w:val="00F51B30"/>
    <w:rsid w:val="00F521EE"/>
    <w:rsid w:val="00F523FA"/>
    <w:rsid w:val="00F52BFD"/>
    <w:rsid w:val="00F53022"/>
    <w:rsid w:val="00F54859"/>
    <w:rsid w:val="00F54AC5"/>
    <w:rsid w:val="00F54C2D"/>
    <w:rsid w:val="00F551D4"/>
    <w:rsid w:val="00F551E3"/>
    <w:rsid w:val="00F5520B"/>
    <w:rsid w:val="00F560A4"/>
    <w:rsid w:val="00F564AD"/>
    <w:rsid w:val="00F56BF5"/>
    <w:rsid w:val="00F57FCE"/>
    <w:rsid w:val="00F603AA"/>
    <w:rsid w:val="00F60DED"/>
    <w:rsid w:val="00F61779"/>
    <w:rsid w:val="00F619AA"/>
    <w:rsid w:val="00F620B1"/>
    <w:rsid w:val="00F634A0"/>
    <w:rsid w:val="00F64A5F"/>
    <w:rsid w:val="00F65178"/>
    <w:rsid w:val="00F65D05"/>
    <w:rsid w:val="00F66996"/>
    <w:rsid w:val="00F66D02"/>
    <w:rsid w:val="00F672F8"/>
    <w:rsid w:val="00F67B39"/>
    <w:rsid w:val="00F703D4"/>
    <w:rsid w:val="00F709D8"/>
    <w:rsid w:val="00F71566"/>
    <w:rsid w:val="00F71629"/>
    <w:rsid w:val="00F71E11"/>
    <w:rsid w:val="00F732E1"/>
    <w:rsid w:val="00F736B4"/>
    <w:rsid w:val="00F73B46"/>
    <w:rsid w:val="00F743A7"/>
    <w:rsid w:val="00F743F3"/>
    <w:rsid w:val="00F74F33"/>
    <w:rsid w:val="00F7501B"/>
    <w:rsid w:val="00F75208"/>
    <w:rsid w:val="00F75360"/>
    <w:rsid w:val="00F755CD"/>
    <w:rsid w:val="00F756DC"/>
    <w:rsid w:val="00F7585A"/>
    <w:rsid w:val="00F759E0"/>
    <w:rsid w:val="00F75D7F"/>
    <w:rsid w:val="00F76B04"/>
    <w:rsid w:val="00F76B4A"/>
    <w:rsid w:val="00F776E2"/>
    <w:rsid w:val="00F778F4"/>
    <w:rsid w:val="00F7799E"/>
    <w:rsid w:val="00F77A3B"/>
    <w:rsid w:val="00F80A68"/>
    <w:rsid w:val="00F80F0C"/>
    <w:rsid w:val="00F81971"/>
    <w:rsid w:val="00F81F65"/>
    <w:rsid w:val="00F82431"/>
    <w:rsid w:val="00F8288E"/>
    <w:rsid w:val="00F82DE5"/>
    <w:rsid w:val="00F82F44"/>
    <w:rsid w:val="00F82F6A"/>
    <w:rsid w:val="00F83235"/>
    <w:rsid w:val="00F832ED"/>
    <w:rsid w:val="00F837A2"/>
    <w:rsid w:val="00F83BDE"/>
    <w:rsid w:val="00F84347"/>
    <w:rsid w:val="00F84B5C"/>
    <w:rsid w:val="00F84C35"/>
    <w:rsid w:val="00F8518C"/>
    <w:rsid w:val="00F8531F"/>
    <w:rsid w:val="00F85552"/>
    <w:rsid w:val="00F863D1"/>
    <w:rsid w:val="00F863F6"/>
    <w:rsid w:val="00F86463"/>
    <w:rsid w:val="00F8667E"/>
    <w:rsid w:val="00F870D2"/>
    <w:rsid w:val="00F87397"/>
    <w:rsid w:val="00F90336"/>
    <w:rsid w:val="00F90A83"/>
    <w:rsid w:val="00F91D70"/>
    <w:rsid w:val="00F92DED"/>
    <w:rsid w:val="00F93B97"/>
    <w:rsid w:val="00F94D09"/>
    <w:rsid w:val="00F95279"/>
    <w:rsid w:val="00F958E0"/>
    <w:rsid w:val="00F965A3"/>
    <w:rsid w:val="00F966EA"/>
    <w:rsid w:val="00F97293"/>
    <w:rsid w:val="00F97838"/>
    <w:rsid w:val="00FA15E2"/>
    <w:rsid w:val="00FA1607"/>
    <w:rsid w:val="00FA233B"/>
    <w:rsid w:val="00FA26AD"/>
    <w:rsid w:val="00FA2C1A"/>
    <w:rsid w:val="00FA2CEF"/>
    <w:rsid w:val="00FA2D58"/>
    <w:rsid w:val="00FA3B3A"/>
    <w:rsid w:val="00FA4221"/>
    <w:rsid w:val="00FA42AE"/>
    <w:rsid w:val="00FA5458"/>
    <w:rsid w:val="00FA5F5B"/>
    <w:rsid w:val="00FA622F"/>
    <w:rsid w:val="00FA69AB"/>
    <w:rsid w:val="00FA6C0A"/>
    <w:rsid w:val="00FA7138"/>
    <w:rsid w:val="00FA775C"/>
    <w:rsid w:val="00FB096A"/>
    <w:rsid w:val="00FB1A4A"/>
    <w:rsid w:val="00FB1A99"/>
    <w:rsid w:val="00FB1C79"/>
    <w:rsid w:val="00FB24FB"/>
    <w:rsid w:val="00FB307C"/>
    <w:rsid w:val="00FB3BC4"/>
    <w:rsid w:val="00FB3C15"/>
    <w:rsid w:val="00FB4B75"/>
    <w:rsid w:val="00FB4BB0"/>
    <w:rsid w:val="00FB4E0D"/>
    <w:rsid w:val="00FB4E5D"/>
    <w:rsid w:val="00FC0240"/>
    <w:rsid w:val="00FC0D15"/>
    <w:rsid w:val="00FC1020"/>
    <w:rsid w:val="00FC1552"/>
    <w:rsid w:val="00FC2154"/>
    <w:rsid w:val="00FC2562"/>
    <w:rsid w:val="00FC27C6"/>
    <w:rsid w:val="00FC3089"/>
    <w:rsid w:val="00FC40CF"/>
    <w:rsid w:val="00FC4287"/>
    <w:rsid w:val="00FC4543"/>
    <w:rsid w:val="00FC50BC"/>
    <w:rsid w:val="00FC518A"/>
    <w:rsid w:val="00FC5F39"/>
    <w:rsid w:val="00FC7308"/>
    <w:rsid w:val="00FC77AF"/>
    <w:rsid w:val="00FD065A"/>
    <w:rsid w:val="00FD0C2A"/>
    <w:rsid w:val="00FD0E69"/>
    <w:rsid w:val="00FD189B"/>
    <w:rsid w:val="00FD196D"/>
    <w:rsid w:val="00FD19C3"/>
    <w:rsid w:val="00FD1B4A"/>
    <w:rsid w:val="00FD20F4"/>
    <w:rsid w:val="00FD2D77"/>
    <w:rsid w:val="00FD3E40"/>
    <w:rsid w:val="00FD40F4"/>
    <w:rsid w:val="00FD432B"/>
    <w:rsid w:val="00FD4C96"/>
    <w:rsid w:val="00FD4F40"/>
    <w:rsid w:val="00FD5294"/>
    <w:rsid w:val="00FD54F4"/>
    <w:rsid w:val="00FD571E"/>
    <w:rsid w:val="00FE1122"/>
    <w:rsid w:val="00FE2CE4"/>
    <w:rsid w:val="00FE3A02"/>
    <w:rsid w:val="00FE3E13"/>
    <w:rsid w:val="00FE441A"/>
    <w:rsid w:val="00FE467F"/>
    <w:rsid w:val="00FE4FC6"/>
    <w:rsid w:val="00FE526C"/>
    <w:rsid w:val="00FE63D6"/>
    <w:rsid w:val="00FE692B"/>
    <w:rsid w:val="00FE7216"/>
    <w:rsid w:val="00FE7A5D"/>
    <w:rsid w:val="00FF10A1"/>
    <w:rsid w:val="00FF1C0F"/>
    <w:rsid w:val="00FF1CB6"/>
    <w:rsid w:val="00FF27F9"/>
    <w:rsid w:val="00FF28B0"/>
    <w:rsid w:val="00FF3BCE"/>
    <w:rsid w:val="00FF3C06"/>
    <w:rsid w:val="00FF3C74"/>
    <w:rsid w:val="00FF3DF2"/>
    <w:rsid w:val="00FF4690"/>
    <w:rsid w:val="00FF4B5C"/>
    <w:rsid w:val="00FF52E4"/>
    <w:rsid w:val="00FF5E16"/>
    <w:rsid w:val="00FF608A"/>
    <w:rsid w:val="00FF626F"/>
    <w:rsid w:val="00FF7450"/>
    <w:rsid w:val="00FF77E0"/>
    <w:rsid w:val="01453FD2"/>
    <w:rsid w:val="02CF7A3A"/>
    <w:rsid w:val="038234A4"/>
    <w:rsid w:val="09AE0C47"/>
    <w:rsid w:val="0C4B5FED"/>
    <w:rsid w:val="0DAE46EF"/>
    <w:rsid w:val="100878D8"/>
    <w:rsid w:val="11470FDF"/>
    <w:rsid w:val="130503B4"/>
    <w:rsid w:val="135E2714"/>
    <w:rsid w:val="13DB3E0A"/>
    <w:rsid w:val="13FD0664"/>
    <w:rsid w:val="16104199"/>
    <w:rsid w:val="16E27607"/>
    <w:rsid w:val="17EA620B"/>
    <w:rsid w:val="188B3FAB"/>
    <w:rsid w:val="18A24AEA"/>
    <w:rsid w:val="19017DC9"/>
    <w:rsid w:val="1C0320AA"/>
    <w:rsid w:val="1C461BF2"/>
    <w:rsid w:val="1D084DDA"/>
    <w:rsid w:val="1D190CEE"/>
    <w:rsid w:val="1DF9172C"/>
    <w:rsid w:val="1E722B6F"/>
    <w:rsid w:val="1F2B31CF"/>
    <w:rsid w:val="1FA64342"/>
    <w:rsid w:val="21CD02E2"/>
    <w:rsid w:val="25B13A7B"/>
    <w:rsid w:val="275C7E6B"/>
    <w:rsid w:val="2C424529"/>
    <w:rsid w:val="2D415B66"/>
    <w:rsid w:val="2DF912B8"/>
    <w:rsid w:val="2F096BEE"/>
    <w:rsid w:val="2FBD0387"/>
    <w:rsid w:val="320827E6"/>
    <w:rsid w:val="34562A13"/>
    <w:rsid w:val="35962E74"/>
    <w:rsid w:val="366F0125"/>
    <w:rsid w:val="374C4CB8"/>
    <w:rsid w:val="389B56ED"/>
    <w:rsid w:val="3BCC3E0F"/>
    <w:rsid w:val="3C190EA8"/>
    <w:rsid w:val="3C6978B0"/>
    <w:rsid w:val="3CF2286B"/>
    <w:rsid w:val="3F332E90"/>
    <w:rsid w:val="41281AE7"/>
    <w:rsid w:val="4235270E"/>
    <w:rsid w:val="427E6B00"/>
    <w:rsid w:val="49076109"/>
    <w:rsid w:val="4A6566D6"/>
    <w:rsid w:val="4D07763E"/>
    <w:rsid w:val="4F202072"/>
    <w:rsid w:val="500F3523"/>
    <w:rsid w:val="51B312BE"/>
    <w:rsid w:val="533B38FC"/>
    <w:rsid w:val="54EB3100"/>
    <w:rsid w:val="55EC6F6F"/>
    <w:rsid w:val="58514A54"/>
    <w:rsid w:val="58D831EE"/>
    <w:rsid w:val="5BFE2BB9"/>
    <w:rsid w:val="5E1B1FED"/>
    <w:rsid w:val="5E1C257C"/>
    <w:rsid w:val="5F2C5B03"/>
    <w:rsid w:val="640A51C3"/>
    <w:rsid w:val="64582680"/>
    <w:rsid w:val="658E4292"/>
    <w:rsid w:val="65925F8F"/>
    <w:rsid w:val="65D03630"/>
    <w:rsid w:val="688C2914"/>
    <w:rsid w:val="6B1219DD"/>
    <w:rsid w:val="6B494A13"/>
    <w:rsid w:val="6B7D3A82"/>
    <w:rsid w:val="6B960AAF"/>
    <w:rsid w:val="6E3922B5"/>
    <w:rsid w:val="72250C24"/>
    <w:rsid w:val="73F634E4"/>
    <w:rsid w:val="7436244E"/>
    <w:rsid w:val="748F53FE"/>
    <w:rsid w:val="74FA6D1C"/>
    <w:rsid w:val="76054E3F"/>
    <w:rsid w:val="76351F9C"/>
    <w:rsid w:val="790046F3"/>
    <w:rsid w:val="79747548"/>
    <w:rsid w:val="7A6D7F90"/>
    <w:rsid w:val="7AEC5358"/>
    <w:rsid w:val="7CBC35BD"/>
    <w:rsid w:val="7CD014D5"/>
    <w:rsid w:val="7E096DF3"/>
    <w:rsid w:val="7EFB4CEB"/>
    <w:rsid w:val="7F3C6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99"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6">
    <w:name w:val="heading 1"/>
    <w:basedOn w:val="1"/>
    <w:next w:val="1"/>
    <w:link w:val="44"/>
    <w:qFormat/>
    <w:uiPriority w:val="0"/>
    <w:pPr>
      <w:keepNext/>
      <w:keepLines/>
      <w:widowControl/>
      <w:adjustRightInd w:val="0"/>
      <w:snapToGrid w:val="0"/>
      <w:spacing w:beforeLines="50" w:beforeAutospacing="1" w:after="100" w:afterAutospacing="1" w:line="240" w:lineRule="auto"/>
      <w:ind w:firstLine="0" w:firstLineChars="0"/>
      <w:jc w:val="center"/>
      <w:outlineLvl w:val="0"/>
    </w:pPr>
    <w:rPr>
      <w:rFonts w:eastAsia="黑体"/>
      <w:kern w:val="44"/>
      <w:sz w:val="30"/>
      <w:szCs w:val="36"/>
    </w:rPr>
  </w:style>
  <w:style w:type="paragraph" w:styleId="7">
    <w:name w:val="heading 2"/>
    <w:basedOn w:val="1"/>
    <w:next w:val="1"/>
    <w:link w:val="45"/>
    <w:qFormat/>
    <w:uiPriority w:val="0"/>
    <w:pPr>
      <w:keepNext/>
      <w:keepLines/>
      <w:spacing w:beforeLines="50"/>
      <w:ind w:firstLine="0" w:firstLineChars="0"/>
      <w:outlineLvl w:val="1"/>
    </w:pPr>
    <w:rPr>
      <w:b/>
      <w:bCs/>
      <w:sz w:val="32"/>
      <w:szCs w:val="32"/>
    </w:rPr>
  </w:style>
  <w:style w:type="paragraph" w:styleId="8">
    <w:name w:val="heading 3"/>
    <w:basedOn w:val="9"/>
    <w:next w:val="1"/>
    <w:link w:val="46"/>
    <w:qFormat/>
    <w:uiPriority w:val="0"/>
    <w:pPr>
      <w:keepNext/>
      <w:keepLines/>
      <w:spacing w:beforeLines="50"/>
      <w:ind w:firstLine="0" w:firstLineChars="0"/>
      <w:outlineLvl w:val="2"/>
    </w:pPr>
    <w:rPr>
      <w:b/>
      <w:kern w:val="0"/>
      <w:sz w:val="28"/>
      <w:szCs w:val="20"/>
      <w:lang w:val="zh-CN" w:eastAsia="zh-CN"/>
    </w:rPr>
  </w:style>
  <w:style w:type="paragraph" w:styleId="10">
    <w:name w:val="heading 4"/>
    <w:basedOn w:val="1"/>
    <w:next w:val="1"/>
    <w:link w:val="47"/>
    <w:qFormat/>
    <w:uiPriority w:val="9"/>
    <w:pPr>
      <w:keepNext/>
      <w:keepLines/>
      <w:spacing w:beforeLines="50"/>
      <w:ind w:firstLine="0" w:firstLineChars="0"/>
      <w:outlineLvl w:val="3"/>
    </w:pPr>
    <w:rPr>
      <w:b/>
      <w:bCs/>
    </w:rPr>
  </w:style>
  <w:style w:type="paragraph" w:styleId="11">
    <w:name w:val="heading 5"/>
    <w:next w:val="1"/>
    <w:link w:val="48"/>
    <w:qFormat/>
    <w:uiPriority w:val="0"/>
    <w:pPr>
      <w:keepLines/>
      <w:adjustRightInd w:val="0"/>
      <w:snapToGrid w:val="0"/>
      <w:jc w:val="center"/>
      <w:outlineLvl w:val="4"/>
    </w:pPr>
    <w:rPr>
      <w:rFonts w:ascii="Times New Roman" w:hAnsi="Times New Roman" w:eastAsia="宋体" w:cs="Times New Roman"/>
      <w:b/>
      <w:bCs/>
      <w:kern w:val="2"/>
      <w:sz w:val="24"/>
      <w:szCs w:val="28"/>
      <w:lang w:val="en-US" w:eastAsia="zh-CN" w:bidi="ar-SA"/>
    </w:rPr>
  </w:style>
  <w:style w:type="paragraph" w:styleId="12">
    <w:name w:val="heading 7"/>
    <w:basedOn w:val="1"/>
    <w:next w:val="1"/>
    <w:link w:val="49"/>
    <w:qFormat/>
    <w:uiPriority w:val="0"/>
    <w:pPr>
      <w:keepNext/>
      <w:keepLines/>
      <w:spacing w:before="240" w:after="64" w:line="320" w:lineRule="auto"/>
      <w:outlineLvl w:val="6"/>
    </w:pPr>
    <w:rPr>
      <w:b/>
      <w:bCs/>
    </w:rPr>
  </w:style>
  <w:style w:type="character" w:default="1" w:styleId="33">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2">
    <w:name w:val="Normal Indent"/>
    <w:basedOn w:val="1"/>
    <w:next w:val="3"/>
    <w:link w:val="43"/>
    <w:qFormat/>
    <w:uiPriority w:val="99"/>
    <w:pPr>
      <w:ind w:firstLine="420"/>
    </w:pPr>
    <w:rPr>
      <w:lang w:val="zh-CN" w:eastAsia="zh-CN"/>
    </w:rPr>
  </w:style>
  <w:style w:type="paragraph" w:styleId="3">
    <w:name w:val="Body Text First Indent 2"/>
    <w:basedOn w:val="4"/>
    <w:next w:val="1"/>
    <w:link w:val="42"/>
    <w:qFormat/>
    <w:uiPriority w:val="0"/>
    <w:pPr>
      <w:snapToGrid w:val="0"/>
      <w:ind w:left="0" w:leftChars="0" w:firstLine="420"/>
    </w:pPr>
  </w:style>
  <w:style w:type="paragraph" w:styleId="4">
    <w:name w:val="Body Text Indent"/>
    <w:basedOn w:val="1"/>
    <w:link w:val="41"/>
    <w:qFormat/>
    <w:uiPriority w:val="0"/>
    <w:pPr>
      <w:spacing w:after="120"/>
      <w:ind w:left="420" w:leftChars="200"/>
    </w:pPr>
    <w:rPr>
      <w:kern w:val="0"/>
      <w:szCs w:val="20"/>
    </w:rPr>
  </w:style>
  <w:style w:type="paragraph" w:styleId="5">
    <w:name w:val="macro"/>
    <w:link w:val="5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等线" w:cs="Courier New"/>
      <w:kern w:val="2"/>
      <w:sz w:val="24"/>
      <w:szCs w:val="24"/>
      <w:lang w:val="en-US" w:eastAsia="zh-CN" w:bidi="ar-SA"/>
    </w:rPr>
  </w:style>
  <w:style w:type="paragraph" w:customStyle="1" w:styleId="9">
    <w:name w:val="标题3"/>
    <w:basedOn w:val="1"/>
    <w:qFormat/>
    <w:uiPriority w:val="0"/>
  </w:style>
  <w:style w:type="paragraph" w:styleId="13">
    <w:name w:val="Note Heading"/>
    <w:basedOn w:val="1"/>
    <w:next w:val="1"/>
    <w:link w:val="51"/>
    <w:qFormat/>
    <w:uiPriority w:val="99"/>
    <w:pPr>
      <w:widowControl/>
      <w:jc w:val="center"/>
    </w:pPr>
    <w:rPr>
      <w:kern w:val="0"/>
      <w:sz w:val="21"/>
      <w:szCs w:val="20"/>
      <w:lang w:val="zh-CN"/>
    </w:rPr>
  </w:style>
  <w:style w:type="paragraph" w:styleId="14">
    <w:name w:val="Document Map"/>
    <w:basedOn w:val="1"/>
    <w:link w:val="52"/>
    <w:qFormat/>
    <w:uiPriority w:val="0"/>
    <w:rPr>
      <w:rFonts w:ascii="宋体"/>
      <w:sz w:val="18"/>
      <w:szCs w:val="18"/>
    </w:rPr>
  </w:style>
  <w:style w:type="paragraph" w:styleId="15">
    <w:name w:val="annotation text"/>
    <w:basedOn w:val="1"/>
    <w:link w:val="53"/>
    <w:qFormat/>
    <w:uiPriority w:val="0"/>
    <w:pPr>
      <w:jc w:val="left"/>
    </w:pPr>
    <w:rPr>
      <w:kern w:val="0"/>
      <w:szCs w:val="20"/>
    </w:rPr>
  </w:style>
  <w:style w:type="paragraph" w:styleId="16">
    <w:name w:val="Body Text"/>
    <w:basedOn w:val="1"/>
    <w:link w:val="54"/>
    <w:qFormat/>
    <w:uiPriority w:val="0"/>
    <w:pPr>
      <w:spacing w:after="120"/>
    </w:pPr>
  </w:style>
  <w:style w:type="paragraph" w:styleId="17">
    <w:name w:val="Block Text"/>
    <w:basedOn w:val="1"/>
    <w:unhideWhenUsed/>
    <w:qFormat/>
    <w:uiPriority w:val="0"/>
    <w:pPr>
      <w:spacing w:line="460" w:lineRule="exact"/>
      <w:ind w:left="-425" w:right="-113" w:firstLine="0" w:firstLineChars="0"/>
    </w:pPr>
    <w:rPr>
      <w:rFonts w:ascii="仿宋_GB2312"/>
      <w:sz w:val="28"/>
    </w:rPr>
  </w:style>
  <w:style w:type="paragraph" w:styleId="18">
    <w:name w:val="Plain Text"/>
    <w:basedOn w:val="1"/>
    <w:link w:val="55"/>
    <w:qFormat/>
    <w:uiPriority w:val="0"/>
    <w:rPr>
      <w:rFonts w:ascii="宋体" w:hAnsi="Courier New"/>
      <w:sz w:val="21"/>
    </w:rPr>
  </w:style>
  <w:style w:type="paragraph" w:styleId="19">
    <w:name w:val="Body Text Indent 2"/>
    <w:basedOn w:val="1"/>
    <w:link w:val="56"/>
    <w:qFormat/>
    <w:uiPriority w:val="0"/>
    <w:pPr>
      <w:spacing w:after="120" w:line="480" w:lineRule="auto"/>
      <w:ind w:left="420" w:leftChars="200"/>
    </w:pPr>
  </w:style>
  <w:style w:type="paragraph" w:styleId="20">
    <w:name w:val="Balloon Text"/>
    <w:basedOn w:val="1"/>
    <w:link w:val="57"/>
    <w:qFormat/>
    <w:uiPriority w:val="0"/>
    <w:pPr>
      <w:spacing w:line="240" w:lineRule="auto"/>
    </w:pPr>
    <w:rPr>
      <w:sz w:val="18"/>
      <w:szCs w:val="18"/>
    </w:rPr>
  </w:style>
  <w:style w:type="paragraph" w:styleId="21">
    <w:name w:val="footer"/>
    <w:basedOn w:val="1"/>
    <w:link w:val="58"/>
    <w:qFormat/>
    <w:uiPriority w:val="99"/>
    <w:pPr>
      <w:tabs>
        <w:tab w:val="center" w:pos="4153"/>
        <w:tab w:val="right" w:pos="8306"/>
      </w:tabs>
      <w:snapToGrid w:val="0"/>
      <w:jc w:val="left"/>
    </w:pPr>
    <w:rPr>
      <w:rFonts w:ascii="宋体" w:hAnsi="宋体"/>
      <w:sz w:val="18"/>
      <w:szCs w:val="18"/>
      <w:lang w:val="zh-CN" w:eastAsia="zh-CN"/>
    </w:rPr>
  </w:style>
  <w:style w:type="paragraph" w:styleId="22">
    <w:name w:val="envelope return"/>
    <w:basedOn w:val="1"/>
    <w:qFormat/>
    <w:uiPriority w:val="0"/>
    <w:pPr>
      <w:snapToGrid w:val="0"/>
      <w:spacing w:line="240" w:lineRule="auto"/>
      <w:ind w:firstLine="0" w:firstLineChars="0"/>
    </w:pPr>
    <w:rPr>
      <w:rFonts w:ascii="Arial" w:hAnsi="Arial"/>
      <w:sz w:val="21"/>
    </w:rPr>
  </w:style>
  <w:style w:type="paragraph" w:styleId="23">
    <w:name w:val="header"/>
    <w:basedOn w:val="1"/>
    <w:link w:val="5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4">
    <w:name w:val="List"/>
    <w:basedOn w:val="1"/>
    <w:qFormat/>
    <w:uiPriority w:val="0"/>
    <w:pPr>
      <w:spacing w:line="400" w:lineRule="exact"/>
      <w:jc w:val="center"/>
    </w:pPr>
    <w:rPr>
      <w:rFonts w:ascii="宋体" w:hAnsi="宋体"/>
      <w:szCs w:val="20"/>
    </w:rPr>
  </w:style>
  <w:style w:type="paragraph" w:styleId="25">
    <w:name w:val="toc 9"/>
    <w:basedOn w:val="1"/>
    <w:next w:val="1"/>
    <w:unhideWhenUsed/>
    <w:qFormat/>
    <w:uiPriority w:val="39"/>
    <w:pPr>
      <w:spacing w:line="240" w:lineRule="auto"/>
      <w:ind w:left="3360" w:leftChars="1600" w:firstLine="0" w:firstLineChars="0"/>
    </w:pPr>
    <w:rPr>
      <w:rFonts w:ascii="Calibri" w:hAnsi="Calibri"/>
      <w:sz w:val="21"/>
      <w:szCs w:val="22"/>
    </w:rPr>
  </w:style>
  <w:style w:type="paragraph" w:styleId="26">
    <w:name w:val="HTML Preformatted"/>
    <w:basedOn w:val="1"/>
    <w:link w:val="60"/>
    <w:qFormat/>
    <w:uiPriority w:val="0"/>
    <w:pPr>
      <w:spacing w:line="240" w:lineRule="auto"/>
      <w:ind w:firstLine="0" w:firstLineChars="0"/>
    </w:pPr>
    <w:rPr>
      <w:rFonts w:ascii="Courier New" w:hAnsi="Courier New"/>
      <w:sz w:val="20"/>
      <w:szCs w:val="20"/>
    </w:rPr>
  </w:style>
  <w:style w:type="paragraph" w:styleId="27">
    <w:name w:val="Normal (Web)"/>
    <w:basedOn w:val="1"/>
    <w:link w:val="61"/>
    <w:qFormat/>
    <w:uiPriority w:val="99"/>
    <w:pPr>
      <w:widowControl/>
      <w:spacing w:beforeAutospacing="1" w:after="100" w:afterAutospacing="1"/>
      <w:ind w:firstLine="0" w:firstLineChars="0"/>
      <w:jc w:val="left"/>
    </w:pPr>
    <w:rPr>
      <w:rFonts w:ascii="宋体" w:hAnsi="宋体"/>
      <w:kern w:val="0"/>
      <w:szCs w:val="20"/>
      <w:lang w:val="zh-CN" w:eastAsia="zh-CN"/>
    </w:rPr>
  </w:style>
  <w:style w:type="paragraph" w:styleId="28">
    <w:name w:val="annotation subject"/>
    <w:basedOn w:val="15"/>
    <w:next w:val="15"/>
    <w:link w:val="62"/>
    <w:qFormat/>
    <w:uiPriority w:val="99"/>
    <w:rPr>
      <w:b/>
      <w:bCs/>
      <w:kern w:val="2"/>
      <w:szCs w:val="24"/>
    </w:rPr>
  </w:style>
  <w:style w:type="paragraph" w:styleId="29">
    <w:name w:val="Body Text First Indent"/>
    <w:basedOn w:val="16"/>
    <w:link w:val="63"/>
    <w:qFormat/>
    <w:uiPriority w:val="0"/>
    <w:pPr>
      <w:ind w:firstLine="420" w:firstLineChars="1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Table Classic 2"/>
    <w:basedOn w:val="30"/>
    <w:qFormat/>
    <w:uiPriority w:val="0"/>
    <w:pPr>
      <w:widowControl w:val="0"/>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34">
    <w:name w:val="Strong"/>
    <w:qFormat/>
    <w:uiPriority w:val="22"/>
    <w:rPr>
      <w:b/>
      <w:bCs/>
    </w:rPr>
  </w:style>
  <w:style w:type="character" w:styleId="35">
    <w:name w:val="page number"/>
    <w:qFormat/>
    <w:uiPriority w:val="0"/>
    <w:rPr>
      <w:rFonts w:ascii="Times New Roman" w:hAnsi="Times New Roman" w:eastAsia="宋体"/>
      <w:sz w:val="18"/>
    </w:rPr>
  </w:style>
  <w:style w:type="character" w:styleId="36">
    <w:name w:val="Emphasis"/>
    <w:qFormat/>
    <w:uiPriority w:val="20"/>
    <w:rPr>
      <w:i/>
      <w:iCs/>
    </w:rPr>
  </w:style>
  <w:style w:type="character" w:styleId="37">
    <w:name w:val="Hyperlink"/>
    <w:unhideWhenUsed/>
    <w:qFormat/>
    <w:uiPriority w:val="99"/>
    <w:rPr>
      <w:color w:val="0000FF"/>
      <w:u w:val="single"/>
    </w:rPr>
  </w:style>
  <w:style w:type="character" w:styleId="38">
    <w:name w:val="annotation reference"/>
    <w:qFormat/>
    <w:uiPriority w:val="0"/>
    <w:rPr>
      <w:sz w:val="21"/>
      <w:szCs w:val="21"/>
    </w:rPr>
  </w:style>
  <w:style w:type="character" w:styleId="39">
    <w:name w:val="HTML Cite"/>
    <w:qFormat/>
    <w:uiPriority w:val="0"/>
    <w:rPr>
      <w:i/>
      <w:iCs/>
    </w:rPr>
  </w:style>
  <w:style w:type="character" w:styleId="40">
    <w:name w:val="HTML Sample"/>
    <w:qFormat/>
    <w:uiPriority w:val="0"/>
    <w:rPr>
      <w:rFonts w:ascii="Courier New" w:hAnsi="Courier New" w:cs="Courier New"/>
    </w:rPr>
  </w:style>
  <w:style w:type="character" w:customStyle="1" w:styleId="41">
    <w:name w:val="正文文本缩进 Char"/>
    <w:link w:val="4"/>
    <w:qFormat/>
    <w:uiPriority w:val="0"/>
    <w:rPr>
      <w:sz w:val="24"/>
    </w:rPr>
  </w:style>
  <w:style w:type="character" w:customStyle="1" w:styleId="42">
    <w:name w:val="正文首行缩进 2 Char"/>
    <w:link w:val="3"/>
    <w:qFormat/>
    <w:uiPriority w:val="0"/>
  </w:style>
  <w:style w:type="character" w:customStyle="1" w:styleId="43">
    <w:name w:val="正文缩进 Char"/>
    <w:link w:val="2"/>
    <w:qFormat/>
    <w:uiPriority w:val="99"/>
    <w:rPr>
      <w:kern w:val="2"/>
      <w:sz w:val="24"/>
      <w:szCs w:val="24"/>
    </w:rPr>
  </w:style>
  <w:style w:type="character" w:customStyle="1" w:styleId="44">
    <w:name w:val="标题 1 Char1"/>
    <w:link w:val="6"/>
    <w:qFormat/>
    <w:uiPriority w:val="0"/>
    <w:rPr>
      <w:rFonts w:ascii="Times New Roman" w:hAnsi="Times New Roman" w:eastAsia="宋体" w:cs="Times New Roman"/>
      <w:b/>
      <w:bCs/>
      <w:kern w:val="44"/>
      <w:sz w:val="36"/>
      <w:szCs w:val="36"/>
    </w:rPr>
  </w:style>
  <w:style w:type="character" w:customStyle="1" w:styleId="45">
    <w:name w:val="标题 2 Char"/>
    <w:link w:val="7"/>
    <w:qFormat/>
    <w:uiPriority w:val="0"/>
    <w:rPr>
      <w:b/>
      <w:bCs/>
      <w:kern w:val="2"/>
      <w:sz w:val="32"/>
      <w:szCs w:val="32"/>
    </w:rPr>
  </w:style>
  <w:style w:type="character" w:customStyle="1" w:styleId="46">
    <w:name w:val="标题 3 Char"/>
    <w:link w:val="8"/>
    <w:qFormat/>
    <w:uiPriority w:val="0"/>
    <w:rPr>
      <w:b/>
      <w:sz w:val="28"/>
    </w:rPr>
  </w:style>
  <w:style w:type="character" w:customStyle="1" w:styleId="47">
    <w:name w:val="标题 4 Char"/>
    <w:link w:val="10"/>
    <w:qFormat/>
    <w:uiPriority w:val="9"/>
    <w:rPr>
      <w:b/>
      <w:bCs/>
      <w:kern w:val="2"/>
      <w:sz w:val="24"/>
      <w:szCs w:val="24"/>
    </w:rPr>
  </w:style>
  <w:style w:type="character" w:customStyle="1" w:styleId="48">
    <w:name w:val="标题 5 Char"/>
    <w:link w:val="11"/>
    <w:qFormat/>
    <w:uiPriority w:val="0"/>
    <w:rPr>
      <w:b/>
      <w:bCs/>
      <w:kern w:val="2"/>
      <w:sz w:val="24"/>
      <w:szCs w:val="28"/>
      <w:lang w:val="en-US" w:eastAsia="zh-CN" w:bidi="ar-SA"/>
    </w:rPr>
  </w:style>
  <w:style w:type="character" w:customStyle="1" w:styleId="49">
    <w:name w:val="标题 7 Char"/>
    <w:link w:val="12"/>
    <w:qFormat/>
    <w:uiPriority w:val="0"/>
    <w:rPr>
      <w:b/>
      <w:bCs/>
      <w:kern w:val="2"/>
      <w:sz w:val="24"/>
      <w:szCs w:val="24"/>
    </w:rPr>
  </w:style>
  <w:style w:type="character" w:customStyle="1" w:styleId="50">
    <w:name w:val="宏文本 Char"/>
    <w:link w:val="5"/>
    <w:qFormat/>
    <w:uiPriority w:val="0"/>
    <w:rPr>
      <w:rFonts w:ascii="Courier New" w:hAnsi="Courier New" w:eastAsia="等线" w:cs="Courier New"/>
      <w:kern w:val="2"/>
      <w:sz w:val="24"/>
      <w:szCs w:val="24"/>
      <w:lang w:val="en-US" w:eastAsia="zh-CN" w:bidi="ar-SA"/>
    </w:rPr>
  </w:style>
  <w:style w:type="character" w:customStyle="1" w:styleId="51">
    <w:name w:val="注释标题 Char"/>
    <w:link w:val="13"/>
    <w:qFormat/>
    <w:uiPriority w:val="99"/>
    <w:rPr>
      <w:sz w:val="21"/>
      <w:lang w:val="zh-CN"/>
    </w:rPr>
  </w:style>
  <w:style w:type="character" w:customStyle="1" w:styleId="52">
    <w:name w:val="文档结构图 Char"/>
    <w:link w:val="14"/>
    <w:qFormat/>
    <w:uiPriority w:val="0"/>
    <w:rPr>
      <w:rFonts w:ascii="宋体"/>
      <w:kern w:val="2"/>
      <w:sz w:val="18"/>
      <w:szCs w:val="18"/>
    </w:rPr>
  </w:style>
  <w:style w:type="character" w:customStyle="1" w:styleId="53">
    <w:name w:val="批注文字 Char"/>
    <w:link w:val="15"/>
    <w:qFormat/>
    <w:uiPriority w:val="0"/>
    <w:rPr>
      <w:sz w:val="24"/>
    </w:rPr>
  </w:style>
  <w:style w:type="character" w:customStyle="1" w:styleId="54">
    <w:name w:val="正文文本 Char"/>
    <w:link w:val="16"/>
    <w:qFormat/>
    <w:uiPriority w:val="0"/>
    <w:rPr>
      <w:kern w:val="2"/>
      <w:sz w:val="24"/>
      <w:szCs w:val="24"/>
    </w:rPr>
  </w:style>
  <w:style w:type="character" w:customStyle="1" w:styleId="55">
    <w:name w:val="纯文本 Char"/>
    <w:link w:val="18"/>
    <w:qFormat/>
    <w:uiPriority w:val="0"/>
    <w:rPr>
      <w:rFonts w:ascii="宋体" w:hAnsi="Courier New"/>
      <w:kern w:val="2"/>
      <w:sz w:val="21"/>
      <w:szCs w:val="24"/>
    </w:rPr>
  </w:style>
  <w:style w:type="character" w:customStyle="1" w:styleId="56">
    <w:name w:val="正文文本缩进 2 Char"/>
    <w:link w:val="19"/>
    <w:qFormat/>
    <w:uiPriority w:val="0"/>
    <w:rPr>
      <w:kern w:val="2"/>
      <w:sz w:val="24"/>
      <w:szCs w:val="24"/>
    </w:rPr>
  </w:style>
  <w:style w:type="character" w:customStyle="1" w:styleId="57">
    <w:name w:val="批注框文本 Char"/>
    <w:link w:val="20"/>
    <w:qFormat/>
    <w:uiPriority w:val="0"/>
    <w:rPr>
      <w:kern w:val="2"/>
      <w:sz w:val="18"/>
      <w:szCs w:val="18"/>
    </w:rPr>
  </w:style>
  <w:style w:type="character" w:customStyle="1" w:styleId="58">
    <w:name w:val="页脚 Char"/>
    <w:link w:val="21"/>
    <w:qFormat/>
    <w:locked/>
    <w:uiPriority w:val="99"/>
    <w:rPr>
      <w:rFonts w:ascii="宋体" w:hAnsi="宋体"/>
      <w:kern w:val="2"/>
      <w:sz w:val="18"/>
      <w:szCs w:val="18"/>
    </w:rPr>
  </w:style>
  <w:style w:type="character" w:customStyle="1" w:styleId="59">
    <w:name w:val="页眉 Char"/>
    <w:link w:val="23"/>
    <w:qFormat/>
    <w:uiPriority w:val="99"/>
    <w:rPr>
      <w:kern w:val="2"/>
      <w:sz w:val="18"/>
      <w:szCs w:val="24"/>
    </w:rPr>
  </w:style>
  <w:style w:type="character" w:customStyle="1" w:styleId="60">
    <w:name w:val="HTML 预设格式 Char"/>
    <w:link w:val="26"/>
    <w:qFormat/>
    <w:uiPriority w:val="0"/>
    <w:rPr>
      <w:rFonts w:ascii="Courier New" w:hAnsi="Courier New" w:cs="Courier New"/>
      <w:kern w:val="2"/>
    </w:rPr>
  </w:style>
  <w:style w:type="character" w:customStyle="1" w:styleId="61">
    <w:name w:val="普通(网站) Char"/>
    <w:link w:val="27"/>
    <w:qFormat/>
    <w:locked/>
    <w:uiPriority w:val="99"/>
    <w:rPr>
      <w:rFonts w:ascii="宋体" w:hAnsi="宋体"/>
      <w:sz w:val="24"/>
    </w:rPr>
  </w:style>
  <w:style w:type="character" w:customStyle="1" w:styleId="62">
    <w:name w:val="批注主题 Char"/>
    <w:link w:val="28"/>
    <w:qFormat/>
    <w:uiPriority w:val="99"/>
  </w:style>
  <w:style w:type="character" w:customStyle="1" w:styleId="63">
    <w:name w:val="正文首行缩进 Char"/>
    <w:link w:val="29"/>
    <w:qFormat/>
    <w:uiPriority w:val="0"/>
  </w:style>
  <w:style w:type="character" w:customStyle="1" w:styleId="64">
    <w:name w:val="HTML 预设格式 Char1"/>
    <w:qFormat/>
    <w:uiPriority w:val="0"/>
    <w:rPr>
      <w:rFonts w:ascii="Courier New" w:hAnsi="Courier New"/>
      <w:kern w:val="2"/>
    </w:rPr>
  </w:style>
  <w:style w:type="character" w:customStyle="1" w:styleId="65">
    <w:name w:val="标题 1 Char"/>
    <w:qFormat/>
    <w:uiPriority w:val="0"/>
    <w:rPr>
      <w:rFonts w:ascii="Times New Roman" w:hAnsi="Times New Roman" w:eastAsia="黑体"/>
      <w:kern w:val="44"/>
      <w:sz w:val="30"/>
      <w:szCs w:val="36"/>
      <w:lang w:bidi="ar-SA"/>
    </w:rPr>
  </w:style>
  <w:style w:type="paragraph" w:customStyle="1" w:styleId="66">
    <w:name w:val="表格内容"/>
    <w:basedOn w:val="1"/>
    <w:next w:val="1"/>
    <w:link w:val="67"/>
    <w:qFormat/>
    <w:uiPriority w:val="0"/>
    <w:pPr>
      <w:spacing w:line="240" w:lineRule="auto"/>
      <w:ind w:firstLine="0" w:firstLineChars="0"/>
      <w:jc w:val="center"/>
    </w:pPr>
    <w:rPr>
      <w:sz w:val="18"/>
      <w:lang w:val="zh-CN" w:eastAsia="zh-CN"/>
    </w:rPr>
  </w:style>
  <w:style w:type="character" w:customStyle="1" w:styleId="67">
    <w:name w:val="表格内容 Char Char"/>
    <w:link w:val="66"/>
    <w:qFormat/>
    <w:uiPriority w:val="0"/>
    <w:rPr>
      <w:kern w:val="2"/>
      <w:sz w:val="18"/>
      <w:szCs w:val="24"/>
    </w:rPr>
  </w:style>
  <w:style w:type="paragraph" w:customStyle="1" w:styleId="68">
    <w:name w:val="图表标题"/>
    <w:basedOn w:val="1"/>
    <w:next w:val="1"/>
    <w:link w:val="69"/>
    <w:qFormat/>
    <w:uiPriority w:val="0"/>
    <w:pPr>
      <w:spacing w:line="240" w:lineRule="auto"/>
      <w:ind w:firstLine="0" w:firstLineChars="0"/>
      <w:jc w:val="center"/>
    </w:pPr>
    <w:rPr>
      <w:b/>
      <w:kern w:val="0"/>
      <w:sz w:val="20"/>
      <w:szCs w:val="20"/>
      <w:lang w:val="zh-CN" w:eastAsia="zh-CN"/>
    </w:rPr>
  </w:style>
  <w:style w:type="character" w:customStyle="1" w:styleId="69">
    <w:name w:val="表格标题QQ Char"/>
    <w:link w:val="68"/>
    <w:qFormat/>
    <w:uiPriority w:val="0"/>
    <w:rPr>
      <w:rFonts w:ascii="Times New Roman" w:hAnsi="Times New Roman" w:eastAsia="宋体"/>
      <w:b/>
    </w:rPr>
  </w:style>
  <w:style w:type="table" w:customStyle="1" w:styleId="70">
    <w:name w:val="网格型7"/>
    <w:basedOn w:val="30"/>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71">
    <w:name w:val="表格正文"/>
    <w:basedOn w:val="1"/>
    <w:link w:val="72"/>
    <w:qFormat/>
    <w:uiPriority w:val="0"/>
    <w:pPr>
      <w:spacing w:line="240" w:lineRule="auto"/>
      <w:ind w:firstLine="0" w:firstLineChars="0"/>
      <w:jc w:val="center"/>
    </w:pPr>
    <w:rPr>
      <w:kern w:val="0"/>
      <w:sz w:val="21"/>
      <w:szCs w:val="20"/>
      <w:lang w:val="zh-CN" w:eastAsia="zh-CN"/>
    </w:rPr>
  </w:style>
  <w:style w:type="character" w:customStyle="1" w:styleId="72">
    <w:name w:val="表格正文 Char"/>
    <w:link w:val="71"/>
    <w:qFormat/>
    <w:uiPriority w:val="0"/>
    <w:rPr>
      <w:rFonts w:ascii="Times New Roman" w:hAnsi="Times New Roman" w:eastAsia="宋体"/>
      <w:sz w:val="21"/>
    </w:rPr>
  </w:style>
  <w:style w:type="paragraph" w:customStyle="1" w:styleId="73">
    <w:name w:val="附件标题"/>
    <w:basedOn w:val="6"/>
    <w:next w:val="1"/>
    <w:qFormat/>
    <w:uiPriority w:val="0"/>
    <w:pPr>
      <w:spacing w:beforeAutospacing="0" w:afterAutospacing="0"/>
      <w:jc w:val="left"/>
    </w:pPr>
    <w:rPr>
      <w:sz w:val="32"/>
    </w:rPr>
  </w:style>
  <w:style w:type="paragraph" w:customStyle="1" w:styleId="74">
    <w:name w:val="Default"/>
    <w:link w:val="75"/>
    <w:qFormat/>
    <w:uiPriority w:val="0"/>
    <w:pPr>
      <w:widowControl w:val="0"/>
      <w:autoSpaceDE w:val="0"/>
      <w:autoSpaceDN w:val="0"/>
      <w:adjustRightInd w:val="0"/>
    </w:pPr>
    <w:rPr>
      <w:rFonts w:ascii="Calibri" w:hAnsi="Calibri" w:eastAsia="等线" w:cs="Times New Roman"/>
      <w:color w:val="000000"/>
      <w:sz w:val="24"/>
      <w:szCs w:val="22"/>
      <w:lang w:val="en-US" w:eastAsia="zh-CN" w:bidi="ar-SA"/>
    </w:rPr>
  </w:style>
  <w:style w:type="character" w:customStyle="1" w:styleId="75">
    <w:name w:val="Default Char"/>
    <w:link w:val="74"/>
    <w:qFormat/>
    <w:uiPriority w:val="0"/>
    <w:rPr>
      <w:rFonts w:ascii="Calibri" w:hAnsi="Calibri" w:eastAsia="等线"/>
      <w:color w:val="000000"/>
      <w:sz w:val="24"/>
      <w:szCs w:val="22"/>
      <w:lang w:bidi="ar-SA"/>
    </w:rPr>
  </w:style>
  <w:style w:type="character" w:customStyle="1" w:styleId="76">
    <w:name w:val="正文（） Char"/>
    <w:link w:val="77"/>
    <w:qFormat/>
    <w:uiPriority w:val="0"/>
    <w:rPr>
      <w:rFonts w:ascii="宋体" w:hAnsi="宋体" w:cs="宋体"/>
      <w:color w:val="4BACC6"/>
      <w:sz w:val="24"/>
      <w:szCs w:val="24"/>
    </w:rPr>
  </w:style>
  <w:style w:type="paragraph" w:customStyle="1" w:styleId="77">
    <w:name w:val="正文（）"/>
    <w:basedOn w:val="1"/>
    <w:link w:val="76"/>
    <w:qFormat/>
    <w:uiPriority w:val="0"/>
    <w:pPr>
      <w:widowControl/>
      <w:adjustRightInd w:val="0"/>
      <w:snapToGrid w:val="0"/>
    </w:pPr>
    <w:rPr>
      <w:rFonts w:ascii="宋体" w:hAnsi="宋体"/>
      <w:color w:val="4BACC6"/>
      <w:kern w:val="0"/>
      <w:lang w:val="zh-CN" w:eastAsia="zh-CN"/>
    </w:rPr>
  </w:style>
  <w:style w:type="paragraph" w:customStyle="1" w:styleId="78">
    <w:name w:val="表头"/>
    <w:basedOn w:val="1"/>
    <w:link w:val="79"/>
    <w:qFormat/>
    <w:uiPriority w:val="0"/>
    <w:pPr>
      <w:spacing w:line="240" w:lineRule="auto"/>
      <w:ind w:firstLine="422"/>
      <w:jc w:val="center"/>
    </w:pPr>
    <w:rPr>
      <w:b/>
      <w:sz w:val="21"/>
      <w:szCs w:val="21"/>
      <w:lang w:val="zh-CN" w:eastAsia="zh-CN"/>
    </w:rPr>
  </w:style>
  <w:style w:type="character" w:customStyle="1" w:styleId="79">
    <w:name w:val="表头 Char"/>
    <w:link w:val="78"/>
    <w:qFormat/>
    <w:uiPriority w:val="0"/>
    <w:rPr>
      <w:b/>
      <w:kern w:val="2"/>
      <w:sz w:val="21"/>
      <w:szCs w:val="21"/>
    </w:rPr>
  </w:style>
  <w:style w:type="paragraph" w:customStyle="1" w:styleId="80">
    <w:name w:val="表格文字2"/>
    <w:basedOn w:val="1"/>
    <w:link w:val="8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lang w:val="zh-CN" w:eastAsia="zh-CN"/>
    </w:rPr>
  </w:style>
  <w:style w:type="character" w:customStyle="1" w:styleId="81">
    <w:name w:val="表格文字2 Char"/>
    <w:link w:val="80"/>
    <w:qFormat/>
    <w:uiPriority w:val="0"/>
    <w:rPr>
      <w:sz w:val="21"/>
      <w:szCs w:val="21"/>
    </w:rPr>
  </w:style>
  <w:style w:type="paragraph" w:customStyle="1" w:styleId="82">
    <w:name w:val="表格1"/>
    <w:basedOn w:val="1"/>
    <w:link w:val="83"/>
    <w:qFormat/>
    <w:uiPriority w:val="0"/>
    <w:pPr>
      <w:adjustRightInd w:val="0"/>
      <w:snapToGrid w:val="0"/>
      <w:spacing w:line="240" w:lineRule="auto"/>
      <w:ind w:firstLine="0" w:firstLineChars="0"/>
      <w:jc w:val="center"/>
    </w:pPr>
    <w:rPr>
      <w:sz w:val="21"/>
      <w:szCs w:val="21"/>
      <w:lang w:val="zh-CN" w:eastAsia="zh-CN"/>
    </w:rPr>
  </w:style>
  <w:style w:type="character" w:customStyle="1" w:styleId="83">
    <w:name w:val="表格1 Char"/>
    <w:link w:val="82"/>
    <w:qFormat/>
    <w:uiPriority w:val="0"/>
    <w:rPr>
      <w:kern w:val="2"/>
      <w:sz w:val="21"/>
      <w:szCs w:val="21"/>
    </w:rPr>
  </w:style>
  <w:style w:type="paragraph" w:customStyle="1" w:styleId="84">
    <w:name w:val="表1表2"/>
    <w:basedOn w:val="1"/>
    <w:qFormat/>
    <w:uiPriority w:val="0"/>
    <w:pPr>
      <w:autoSpaceDE w:val="0"/>
      <w:autoSpaceDN w:val="0"/>
      <w:adjustRightInd w:val="0"/>
      <w:spacing w:line="240" w:lineRule="auto"/>
      <w:ind w:firstLine="0" w:firstLineChars="0"/>
      <w:jc w:val="center"/>
      <w:textAlignment w:val="center"/>
    </w:pPr>
    <w:rPr>
      <w:rFonts w:eastAsia="仿宋体"/>
      <w:kern w:val="0"/>
      <w:szCs w:val="20"/>
    </w:rPr>
  </w:style>
  <w:style w:type="paragraph" w:customStyle="1" w:styleId="85">
    <w:name w:val="首行缩进"/>
    <w:basedOn w:val="1"/>
    <w:qFormat/>
    <w:uiPriority w:val="0"/>
    <w:pPr>
      <w:adjustRightInd w:val="0"/>
      <w:snapToGrid w:val="0"/>
      <w:ind w:firstLine="480"/>
    </w:pPr>
  </w:style>
  <w:style w:type="paragraph" w:customStyle="1" w:styleId="86">
    <w:name w:val="Body Text 21"/>
    <w:basedOn w:val="1"/>
    <w:link w:val="87"/>
    <w:qFormat/>
    <w:uiPriority w:val="0"/>
    <w:pPr>
      <w:adjustRightInd w:val="0"/>
      <w:spacing w:line="240" w:lineRule="auto"/>
      <w:ind w:firstLine="0" w:firstLineChars="0"/>
      <w:textAlignment w:val="baseline"/>
    </w:pPr>
    <w:rPr>
      <w:rFonts w:ascii="仿宋_GB2312" w:eastAsia="仿宋体"/>
      <w:kern w:val="0"/>
      <w:sz w:val="20"/>
      <w:szCs w:val="20"/>
      <w:lang w:val="zh-CN" w:eastAsia="zh-CN"/>
    </w:rPr>
  </w:style>
  <w:style w:type="character" w:customStyle="1" w:styleId="87">
    <w:name w:val="Body Text 21 Char"/>
    <w:link w:val="86"/>
    <w:qFormat/>
    <w:locked/>
    <w:uiPriority w:val="0"/>
    <w:rPr>
      <w:rFonts w:ascii="仿宋_GB2312" w:eastAsia="仿宋体"/>
    </w:rPr>
  </w:style>
  <w:style w:type="character" w:customStyle="1" w:styleId="88">
    <w:name w:val="表格 Char"/>
    <w:link w:val="89"/>
    <w:qFormat/>
    <w:locked/>
    <w:uiPriority w:val="0"/>
    <w:rPr>
      <w:rFonts w:ascii="宋体"/>
      <w:sz w:val="21"/>
    </w:rPr>
  </w:style>
  <w:style w:type="paragraph" w:customStyle="1" w:styleId="89">
    <w:name w:val="表格"/>
    <w:basedOn w:val="1"/>
    <w:next w:val="1"/>
    <w:link w:val="88"/>
    <w:qFormat/>
    <w:uiPriority w:val="0"/>
    <w:pPr>
      <w:adjustRightInd w:val="0"/>
      <w:snapToGrid w:val="0"/>
      <w:spacing w:beforeLines="10" w:afterLines="10" w:line="259" w:lineRule="auto"/>
      <w:ind w:firstLine="0" w:firstLineChars="0"/>
      <w:jc w:val="center"/>
    </w:pPr>
    <w:rPr>
      <w:rFonts w:ascii="宋体"/>
      <w:kern w:val="0"/>
      <w:sz w:val="21"/>
      <w:szCs w:val="20"/>
      <w:lang w:val="zh-CN" w:eastAsia="zh-CN"/>
    </w:rPr>
  </w:style>
  <w:style w:type="paragraph" w:customStyle="1" w:styleId="90">
    <w:name w:val="一级标题"/>
    <w:qFormat/>
    <w:uiPriority w:val="0"/>
    <w:pPr>
      <w:numPr>
        <w:ilvl w:val="0"/>
        <w:numId w:val="1"/>
      </w:numPr>
      <w:adjustRightInd w:val="0"/>
      <w:snapToGrid w:val="0"/>
      <w:spacing w:before="300" w:after="300"/>
      <w:outlineLvl w:val="0"/>
    </w:pPr>
    <w:rPr>
      <w:rFonts w:ascii="宋体" w:hAnsi="宋体" w:eastAsia="楷体" w:cs="Times New Roman"/>
      <w:b/>
      <w:kern w:val="2"/>
      <w:sz w:val="32"/>
      <w:szCs w:val="28"/>
      <w:lang w:val="en-US" w:eastAsia="zh-CN" w:bidi="ar-SA"/>
    </w:rPr>
  </w:style>
  <w:style w:type="paragraph" w:customStyle="1" w:styleId="91">
    <w:name w:val="表格标题"/>
    <w:link w:val="92"/>
    <w:qFormat/>
    <w:uiPriority w:val="0"/>
    <w:pPr>
      <w:numPr>
        <w:ilvl w:val="4"/>
        <w:numId w:val="1"/>
      </w:numPr>
      <w:adjustRightInd w:val="0"/>
      <w:snapToGrid w:val="0"/>
      <w:spacing w:beforeLines="50"/>
      <w:jc w:val="center"/>
    </w:pPr>
    <w:rPr>
      <w:rFonts w:ascii="Times New Roman" w:hAnsi="Times New Roman" w:eastAsia="宋体" w:cs="Times New Roman"/>
      <w:b/>
      <w:kern w:val="2"/>
      <w:sz w:val="24"/>
      <w:szCs w:val="28"/>
      <w:lang w:val="en-US" w:eastAsia="zh-CN" w:bidi="ar-SA"/>
    </w:rPr>
  </w:style>
  <w:style w:type="character" w:customStyle="1" w:styleId="92">
    <w:name w:val="标题4 Char1"/>
    <w:link w:val="91"/>
    <w:qFormat/>
    <w:uiPriority w:val="0"/>
    <w:rPr>
      <w:b/>
      <w:kern w:val="2"/>
      <w:sz w:val="24"/>
      <w:szCs w:val="28"/>
      <w:lang w:bidi="ar-SA"/>
    </w:rPr>
  </w:style>
  <w:style w:type="paragraph" w:customStyle="1" w:styleId="93">
    <w:name w:val="三级标题"/>
    <w:next w:val="1"/>
    <w:qFormat/>
    <w:uiPriority w:val="0"/>
    <w:pPr>
      <w:numPr>
        <w:ilvl w:val="2"/>
        <w:numId w:val="1"/>
      </w:numPr>
      <w:adjustRightInd w:val="0"/>
      <w:snapToGrid w:val="0"/>
      <w:spacing w:before="100" w:after="100" w:line="360" w:lineRule="auto"/>
      <w:outlineLvl w:val="2"/>
    </w:pPr>
    <w:rPr>
      <w:rFonts w:ascii="Times New Roman" w:hAnsi="Times New Roman" w:eastAsia="楷体" w:cs="Times New Roman"/>
      <w:b/>
      <w:color w:val="000000"/>
      <w:kern w:val="2"/>
      <w:sz w:val="28"/>
      <w:szCs w:val="28"/>
      <w:lang w:val="en-US" w:eastAsia="zh-CN" w:bidi="ar-SA"/>
    </w:rPr>
  </w:style>
  <w:style w:type="paragraph" w:customStyle="1" w:styleId="94">
    <w:name w:val="四级标题"/>
    <w:qFormat/>
    <w:uiPriority w:val="0"/>
    <w:pPr>
      <w:numPr>
        <w:ilvl w:val="3"/>
        <w:numId w:val="1"/>
      </w:numPr>
      <w:adjustRightInd w:val="0"/>
      <w:snapToGrid w:val="0"/>
      <w:spacing w:before="100" w:after="100" w:line="360" w:lineRule="auto"/>
      <w:outlineLvl w:val="3"/>
    </w:pPr>
    <w:rPr>
      <w:rFonts w:ascii="Times New Roman" w:hAnsi="Times New Roman" w:eastAsia="宋体" w:cs="Times New Roman"/>
      <w:b/>
      <w:kern w:val="2"/>
      <w:sz w:val="24"/>
      <w:szCs w:val="28"/>
      <w:lang w:val="en-US" w:eastAsia="zh-CN" w:bidi="ar-SA"/>
    </w:rPr>
  </w:style>
  <w:style w:type="paragraph" w:customStyle="1" w:styleId="95">
    <w:name w:val="二级标题"/>
    <w:next w:val="1"/>
    <w:qFormat/>
    <w:uiPriority w:val="0"/>
    <w:pPr>
      <w:numPr>
        <w:ilvl w:val="1"/>
        <w:numId w:val="1"/>
      </w:numPr>
      <w:adjustRightInd w:val="0"/>
      <w:snapToGrid w:val="0"/>
      <w:spacing w:before="240" w:after="100" w:line="360" w:lineRule="auto"/>
      <w:outlineLvl w:val="1"/>
    </w:pPr>
    <w:rPr>
      <w:rFonts w:ascii="Times New Roman" w:hAnsi="Times New Roman" w:eastAsia="楷体" w:cs="Times New Roman"/>
      <w:b/>
      <w:snapToGrid w:val="0"/>
      <w:color w:val="000000"/>
      <w:kern w:val="2"/>
      <w:sz w:val="30"/>
      <w:szCs w:val="28"/>
      <w:lang w:val="en-US" w:eastAsia="zh-CN" w:bidi="ar-SA"/>
    </w:rPr>
  </w:style>
  <w:style w:type="paragraph" w:customStyle="1" w:styleId="96">
    <w:name w:val="图件标题"/>
    <w:qFormat/>
    <w:uiPriority w:val="0"/>
    <w:pPr>
      <w:numPr>
        <w:ilvl w:val="5"/>
        <w:numId w:val="1"/>
      </w:numPr>
      <w:adjustRightInd w:val="0"/>
      <w:snapToGrid w:val="0"/>
      <w:spacing w:before="40" w:after="100"/>
      <w:jc w:val="center"/>
    </w:pPr>
    <w:rPr>
      <w:rFonts w:ascii="Times New Roman" w:hAnsi="Times New Roman" w:eastAsia="宋体" w:cs="Times New Roman"/>
      <w:b/>
      <w:kern w:val="2"/>
      <w:sz w:val="24"/>
      <w:szCs w:val="28"/>
      <w:lang w:val="en-US" w:eastAsia="zh-CN" w:bidi="ar-SA"/>
    </w:rPr>
  </w:style>
  <w:style w:type="paragraph" w:customStyle="1" w:styleId="97">
    <w:name w:val="zhang正文"/>
    <w:basedOn w:val="4"/>
    <w:link w:val="98"/>
    <w:qFormat/>
    <w:uiPriority w:val="0"/>
    <w:pPr>
      <w:autoSpaceDE w:val="0"/>
      <w:autoSpaceDN w:val="0"/>
      <w:adjustRightInd w:val="0"/>
      <w:spacing w:after="0" w:line="500" w:lineRule="exact"/>
      <w:ind w:left="0" w:leftChars="0" w:firstLine="539" w:firstLineChars="0"/>
      <w:contextualSpacing/>
      <w:textAlignment w:val="baseline"/>
    </w:pPr>
    <w:rPr>
      <w:rFonts w:eastAsia="楷体_GB2312"/>
      <w:sz w:val="28"/>
      <w:lang w:val="zh-CN" w:eastAsia="zh-CN"/>
    </w:rPr>
  </w:style>
  <w:style w:type="character" w:customStyle="1" w:styleId="98">
    <w:name w:val="zhang正文 Char1"/>
    <w:link w:val="97"/>
    <w:qFormat/>
    <w:uiPriority w:val="0"/>
    <w:rPr>
      <w:rFonts w:eastAsia="楷体_GB2312"/>
      <w:sz w:val="28"/>
      <w:lang w:val="zh-CN"/>
    </w:rPr>
  </w:style>
  <w:style w:type="character" w:customStyle="1" w:styleId="99">
    <w:name w:val="font31"/>
    <w:qFormat/>
    <w:uiPriority w:val="0"/>
    <w:rPr>
      <w:rFonts w:hint="default" w:ascii="Times New Roman" w:hAnsi="Times New Roman" w:cs="Times New Roman"/>
      <w:color w:val="000000"/>
      <w:sz w:val="21"/>
      <w:szCs w:val="21"/>
      <w:u w:val="none"/>
    </w:rPr>
  </w:style>
  <w:style w:type="character" w:customStyle="1" w:styleId="100">
    <w:name w:val="font21"/>
    <w:qFormat/>
    <w:uiPriority w:val="0"/>
    <w:rPr>
      <w:rFonts w:hint="eastAsia" w:ascii="宋体" w:hAnsi="宋体" w:eastAsia="宋体" w:cs="宋体"/>
      <w:color w:val="000000"/>
      <w:sz w:val="21"/>
      <w:szCs w:val="21"/>
      <w:u w:val="none"/>
    </w:rPr>
  </w:style>
  <w:style w:type="character" w:customStyle="1" w:styleId="101">
    <w:name w:val="font11"/>
    <w:qFormat/>
    <w:uiPriority w:val="0"/>
    <w:rPr>
      <w:rFonts w:hint="default" w:ascii="Times New Roman" w:hAnsi="Times New Roman" w:cs="Times New Roman"/>
      <w:color w:val="000000"/>
      <w:sz w:val="21"/>
      <w:szCs w:val="21"/>
      <w:u w:val="none"/>
      <w:vertAlign w:val="subscript"/>
    </w:rPr>
  </w:style>
  <w:style w:type="character" w:customStyle="1" w:styleId="102">
    <w:name w:val="表格标题（） Char"/>
    <w:link w:val="103"/>
    <w:qFormat/>
    <w:uiPriority w:val="0"/>
    <w:rPr>
      <w:rFonts w:eastAsia="黑体"/>
      <w:color w:val="4F81BD"/>
      <w:kern w:val="2"/>
      <w:sz w:val="24"/>
      <w:szCs w:val="24"/>
      <w:lang w:val="zh-CN" w:bidi="he-IL"/>
    </w:rPr>
  </w:style>
  <w:style w:type="paragraph" w:customStyle="1" w:styleId="103">
    <w:name w:val="表格标题（）"/>
    <w:basedOn w:val="1"/>
    <w:link w:val="102"/>
    <w:qFormat/>
    <w:uiPriority w:val="0"/>
    <w:pPr>
      <w:widowControl/>
      <w:adjustRightInd w:val="0"/>
      <w:snapToGrid w:val="0"/>
      <w:spacing w:line="240" w:lineRule="auto"/>
      <w:ind w:firstLine="0" w:firstLineChars="0"/>
      <w:jc w:val="center"/>
    </w:pPr>
    <w:rPr>
      <w:rFonts w:eastAsia="黑体"/>
      <w:color w:val="4F81BD"/>
      <w:lang w:val="zh-CN" w:eastAsia="zh-CN" w:bidi="he-IL"/>
    </w:rPr>
  </w:style>
  <w:style w:type="character" w:customStyle="1" w:styleId="104">
    <w:name w:val="表格内容（） Char"/>
    <w:link w:val="105"/>
    <w:qFormat/>
    <w:uiPriority w:val="0"/>
    <w:rPr>
      <w:color w:val="4F81BD"/>
      <w:kern w:val="2"/>
      <w:sz w:val="21"/>
      <w:szCs w:val="24"/>
    </w:rPr>
  </w:style>
  <w:style w:type="paragraph" w:customStyle="1" w:styleId="105">
    <w:name w:val="表格内容（）"/>
    <w:basedOn w:val="1"/>
    <w:link w:val="104"/>
    <w:qFormat/>
    <w:uiPriority w:val="0"/>
    <w:pPr>
      <w:widowControl/>
      <w:adjustRightInd w:val="0"/>
      <w:snapToGrid w:val="0"/>
      <w:spacing w:line="240" w:lineRule="auto"/>
      <w:ind w:firstLine="0" w:firstLineChars="0"/>
      <w:jc w:val="center"/>
    </w:pPr>
    <w:rPr>
      <w:color w:val="4F81BD"/>
      <w:sz w:val="21"/>
      <w:lang w:val="zh-CN" w:eastAsia="zh-CN"/>
    </w:rPr>
  </w:style>
  <w:style w:type="paragraph" w:customStyle="1" w:styleId="106">
    <w:name w:val="谢芳-正文文本"/>
    <w:basedOn w:val="1"/>
    <w:qFormat/>
    <w:uiPriority w:val="0"/>
    <w:pPr>
      <w:spacing w:line="480" w:lineRule="atLeast"/>
    </w:pPr>
    <w:rPr>
      <w:rFonts w:ascii="宋体" w:hAnsi="宋体"/>
      <w:kern w:val="0"/>
    </w:rPr>
  </w:style>
  <w:style w:type="paragraph" w:customStyle="1" w:styleId="107">
    <w:name w:val="样式4"/>
    <w:basedOn w:val="23"/>
    <w:next w:val="23"/>
    <w:qFormat/>
    <w:uiPriority w:val="0"/>
    <w:pPr>
      <w:widowControl/>
      <w:pBdr>
        <w:top w:val="none" w:color="auto" w:sz="0" w:space="0"/>
        <w:left w:val="none" w:color="auto" w:sz="0" w:space="0"/>
        <w:bottom w:val="single" w:color="auto" w:sz="6" w:space="1"/>
        <w:right w:val="none" w:color="auto" w:sz="0" w:space="0"/>
      </w:pBdr>
      <w:adjustRightInd w:val="0"/>
      <w:spacing w:line="360" w:lineRule="auto"/>
      <w:jc w:val="center"/>
    </w:pPr>
    <w:rPr>
      <w:rFonts w:ascii="隶书" w:eastAsia="隶书"/>
      <w:kern w:val="0"/>
      <w:sz w:val="24"/>
      <w:szCs w:val="15"/>
      <w:lang w:eastAsia="en-US" w:bidi="en-US"/>
    </w:rPr>
  </w:style>
  <w:style w:type="paragraph" w:customStyle="1" w:styleId="108">
    <w:name w:val="文"/>
    <w:link w:val="109"/>
    <w:qFormat/>
    <w:uiPriority w:val="0"/>
    <w:pPr>
      <w:spacing w:line="360" w:lineRule="auto"/>
      <w:ind w:firstLine="200" w:firstLineChars="200"/>
      <w:jc w:val="both"/>
    </w:pPr>
    <w:rPr>
      <w:rFonts w:ascii="Times New Roman" w:hAnsi="Times New Roman" w:eastAsia="宋体" w:cs="Times New Roman"/>
      <w:bCs/>
      <w:sz w:val="24"/>
      <w:szCs w:val="28"/>
      <w:lang w:val="en-US" w:eastAsia="zh-CN" w:bidi="ar-SA"/>
    </w:rPr>
  </w:style>
  <w:style w:type="character" w:customStyle="1" w:styleId="109">
    <w:name w:val="文 Char"/>
    <w:link w:val="108"/>
    <w:qFormat/>
    <w:uiPriority w:val="0"/>
    <w:rPr>
      <w:bCs/>
      <w:sz w:val="24"/>
      <w:szCs w:val="28"/>
      <w:lang w:bidi="ar-SA"/>
    </w:rPr>
  </w:style>
  <w:style w:type="paragraph" w:customStyle="1" w:styleId="110">
    <w:name w:val="三级标题（）"/>
    <w:basedOn w:val="1"/>
    <w:link w:val="111"/>
    <w:qFormat/>
    <w:uiPriority w:val="0"/>
    <w:pPr>
      <w:tabs>
        <w:tab w:val="left" w:pos="3840"/>
      </w:tabs>
      <w:adjustRightInd w:val="0"/>
      <w:snapToGrid w:val="0"/>
      <w:ind w:firstLine="0" w:firstLineChars="0"/>
      <w:outlineLvl w:val="2"/>
    </w:pPr>
    <w:rPr>
      <w:rFonts w:eastAsia="黑体"/>
      <w:color w:val="5B9BD5"/>
      <w:sz w:val="28"/>
      <w:szCs w:val="30"/>
      <w:lang w:val="zh-CN" w:eastAsia="zh-CN"/>
    </w:rPr>
  </w:style>
  <w:style w:type="character" w:customStyle="1" w:styleId="111">
    <w:name w:val="三级标题（） Char"/>
    <w:link w:val="110"/>
    <w:qFormat/>
    <w:uiPriority w:val="0"/>
    <w:rPr>
      <w:rFonts w:eastAsia="黑体"/>
      <w:color w:val="5B9BD5"/>
      <w:kern w:val="2"/>
      <w:sz w:val="28"/>
      <w:szCs w:val="30"/>
    </w:rPr>
  </w:style>
  <w:style w:type="character" w:customStyle="1" w:styleId="112">
    <w:name w:val="表格的字 Char Char"/>
    <w:link w:val="113"/>
    <w:qFormat/>
    <w:uiPriority w:val="0"/>
    <w:rPr>
      <w:rFonts w:cs="宋体"/>
      <w:color w:val="000000"/>
    </w:rPr>
  </w:style>
  <w:style w:type="paragraph" w:customStyle="1" w:styleId="113">
    <w:name w:val="表格的字"/>
    <w:basedOn w:val="1"/>
    <w:link w:val="112"/>
    <w:qFormat/>
    <w:uiPriority w:val="0"/>
    <w:pPr>
      <w:jc w:val="center"/>
    </w:pPr>
    <w:rPr>
      <w:color w:val="000000"/>
      <w:kern w:val="0"/>
      <w:sz w:val="20"/>
      <w:szCs w:val="20"/>
      <w:lang w:val="zh-CN" w:eastAsia="zh-CN"/>
    </w:rPr>
  </w:style>
  <w:style w:type="character" w:customStyle="1" w:styleId="114">
    <w:name w:val="表内容 字符"/>
    <w:link w:val="115"/>
    <w:qFormat/>
    <w:uiPriority w:val="0"/>
    <w:rPr>
      <w:szCs w:val="21"/>
      <w:lang w:val="en-US" w:eastAsia="zh-CN" w:bidi="ar-SA"/>
    </w:rPr>
  </w:style>
  <w:style w:type="paragraph" w:customStyle="1" w:styleId="115">
    <w:name w:val="表内容"/>
    <w:link w:val="114"/>
    <w:qFormat/>
    <w:uiPriority w:val="0"/>
    <w:pPr>
      <w:adjustRightInd w:val="0"/>
      <w:jc w:val="center"/>
    </w:pPr>
    <w:rPr>
      <w:rFonts w:ascii="Times New Roman" w:hAnsi="Times New Roman" w:eastAsia="宋体" w:cs="Times New Roman"/>
      <w:szCs w:val="21"/>
      <w:lang w:val="en-US" w:eastAsia="zh-CN" w:bidi="ar-SA"/>
    </w:rPr>
  </w:style>
  <w:style w:type="paragraph" w:customStyle="1" w:styleId="116">
    <w:name w:val="正文1"/>
    <w:qFormat/>
    <w:uiPriority w:val="0"/>
    <w:pPr>
      <w:spacing w:line="360" w:lineRule="auto"/>
      <w:ind w:firstLine="200" w:firstLineChars="200"/>
    </w:pPr>
    <w:rPr>
      <w:rFonts w:ascii="Times New Roman" w:hAnsi="Times New Roman" w:eastAsia="宋体" w:cs="宋体"/>
      <w:kern w:val="2"/>
      <w:sz w:val="24"/>
      <w:lang w:val="en-US" w:eastAsia="zh-CN" w:bidi="ar-SA"/>
    </w:rPr>
  </w:style>
  <w:style w:type="paragraph" w:customStyle="1" w:styleId="117">
    <w:name w:val="石化院-正文"/>
    <w:basedOn w:val="1"/>
    <w:link w:val="118"/>
    <w:qFormat/>
    <w:uiPriority w:val="0"/>
    <w:rPr>
      <w:lang w:val="zh-CN" w:eastAsia="zh-CN"/>
    </w:rPr>
  </w:style>
  <w:style w:type="character" w:customStyle="1" w:styleId="118">
    <w:name w:val="石化院-正文 Char"/>
    <w:link w:val="117"/>
    <w:qFormat/>
    <w:uiPriority w:val="0"/>
    <w:rPr>
      <w:rFonts w:cs="Times New Roman"/>
      <w:kern w:val="2"/>
      <w:sz w:val="24"/>
      <w:szCs w:val="24"/>
    </w:rPr>
  </w:style>
  <w:style w:type="paragraph" w:customStyle="1" w:styleId="119">
    <w:name w:val="石化院-标题3"/>
    <w:basedOn w:val="8"/>
    <w:link w:val="120"/>
    <w:qFormat/>
    <w:uiPriority w:val="99"/>
    <w:pPr>
      <w:keepNext w:val="0"/>
      <w:keepLines w:val="0"/>
      <w:tabs>
        <w:tab w:val="left" w:pos="644"/>
      </w:tabs>
      <w:spacing w:beforeLines="0"/>
      <w:ind w:left="284"/>
      <w:jc w:val="left"/>
    </w:pPr>
    <w:rPr>
      <w:rFonts w:eastAsia="黑体"/>
      <w:bCs/>
      <w:kern w:val="2"/>
      <w:szCs w:val="30"/>
      <w:lang w:val="en-US" w:eastAsia="zh-CN"/>
    </w:rPr>
  </w:style>
  <w:style w:type="character" w:customStyle="1" w:styleId="120">
    <w:name w:val="石化院-标题3 Char"/>
    <w:link w:val="119"/>
    <w:qFormat/>
    <w:uiPriority w:val="0"/>
    <w:rPr>
      <w:rFonts w:eastAsia="黑体"/>
      <w:b/>
      <w:bCs/>
      <w:kern w:val="2"/>
      <w:sz w:val="28"/>
      <w:szCs w:val="30"/>
    </w:rPr>
  </w:style>
  <w:style w:type="paragraph" w:customStyle="1" w:styleId="121">
    <w:name w:val="标题4"/>
    <w:basedOn w:val="10"/>
    <w:link w:val="122"/>
    <w:qFormat/>
    <w:uiPriority w:val="0"/>
    <w:pPr>
      <w:tabs>
        <w:tab w:val="left" w:pos="0"/>
        <w:tab w:val="left" w:pos="420"/>
      </w:tabs>
      <w:spacing w:beforeLines="0"/>
      <w:ind w:right="-105"/>
      <w:jc w:val="left"/>
    </w:pPr>
    <w:rPr>
      <w:szCs w:val="28"/>
    </w:rPr>
  </w:style>
  <w:style w:type="character" w:customStyle="1" w:styleId="122">
    <w:name w:val="标题4 Char"/>
    <w:link w:val="121"/>
    <w:qFormat/>
    <w:uiPriority w:val="0"/>
    <w:rPr>
      <w:rFonts w:cs="Times New Roman"/>
      <w:b/>
      <w:bCs/>
      <w:kern w:val="2"/>
      <w:sz w:val="24"/>
      <w:szCs w:val="28"/>
    </w:rPr>
  </w:style>
  <w:style w:type="paragraph" w:customStyle="1" w:styleId="123">
    <w:name w:val="样式 标题 51)项标5 Char标5标题 5 Char1) Char项 Char无序号，小四黑常规，空两字H...2"/>
    <w:basedOn w:val="11"/>
    <w:qFormat/>
    <w:uiPriority w:val="0"/>
    <w:pPr>
      <w:keepNext/>
      <w:widowControl w:val="0"/>
      <w:adjustRightInd/>
      <w:snapToGrid/>
      <w:ind w:left="2100" w:hanging="420"/>
      <w:jc w:val="both"/>
    </w:pPr>
    <w:rPr>
      <w:kern w:val="0"/>
    </w:rPr>
  </w:style>
  <w:style w:type="paragraph" w:customStyle="1" w:styleId="124">
    <w:name w:val="表格备注"/>
    <w:basedOn w:val="12"/>
    <w:next w:val="29"/>
    <w:qFormat/>
    <w:uiPriority w:val="0"/>
    <w:pPr>
      <w:keepLines w:val="0"/>
      <w:tabs>
        <w:tab w:val="left" w:pos="560"/>
      </w:tabs>
      <w:spacing w:before="0" w:after="0" w:line="336" w:lineRule="auto"/>
      <w:ind w:left="2940" w:hanging="420" w:firstLineChars="0"/>
      <w:jc w:val="center"/>
    </w:pPr>
    <w:rPr>
      <w:rFonts w:ascii="黑体"/>
      <w:b w:val="0"/>
      <w:bCs w:val="0"/>
      <w:sz w:val="21"/>
      <w:szCs w:val="21"/>
    </w:rPr>
  </w:style>
  <w:style w:type="paragraph" w:customStyle="1" w:styleId="125">
    <w:name w:val="样式 样式 样式 五号 行距: 单倍行距 首行缩进:  0.5 字符 + 首行缩进:  0.5 字符 右侧:  1.47 字符 ..."/>
    <w:basedOn w:val="1"/>
    <w:qFormat/>
    <w:uiPriority w:val="0"/>
    <w:pPr>
      <w:spacing w:line="240" w:lineRule="auto"/>
      <w:ind w:firstLine="105" w:firstLineChars="50"/>
      <w:jc w:val="center"/>
    </w:pPr>
    <w:rPr>
      <w:rFonts w:ascii="Arial Narrow" w:hAnsi="Arial Narrow" w:cs="宋体"/>
      <w:kern w:val="0"/>
      <w:sz w:val="21"/>
      <w:szCs w:val="20"/>
    </w:rPr>
  </w:style>
  <w:style w:type="character" w:customStyle="1" w:styleId="126">
    <w:name w:val="【正文】 Char"/>
    <w:link w:val="127"/>
    <w:qFormat/>
    <w:uiPriority w:val="0"/>
    <w:rPr>
      <w:rFonts w:cs="宋体"/>
      <w:sz w:val="24"/>
    </w:rPr>
  </w:style>
  <w:style w:type="paragraph" w:customStyle="1" w:styleId="127">
    <w:name w:val="【正文】"/>
    <w:basedOn w:val="1"/>
    <w:link w:val="126"/>
    <w:qFormat/>
    <w:uiPriority w:val="0"/>
    <w:pPr>
      <w:spacing w:line="440" w:lineRule="exact"/>
      <w:ind w:firstLine="544"/>
    </w:pPr>
    <w:rPr>
      <w:kern w:val="0"/>
      <w:szCs w:val="20"/>
      <w:lang w:val="zh-CN" w:eastAsia="zh-CN"/>
    </w:rPr>
  </w:style>
  <w:style w:type="paragraph" w:customStyle="1" w:styleId="128">
    <w:name w:val="石化院-表（图）头"/>
    <w:basedOn w:val="1"/>
    <w:link w:val="129"/>
    <w:qFormat/>
    <w:uiPriority w:val="0"/>
    <w:pPr>
      <w:ind w:left="480" w:firstLine="0" w:firstLineChars="0"/>
    </w:pPr>
  </w:style>
  <w:style w:type="character" w:customStyle="1" w:styleId="129">
    <w:name w:val="石化院-表（图）头 Char"/>
    <w:link w:val="128"/>
    <w:qFormat/>
    <w:uiPriority w:val="0"/>
    <w:rPr>
      <w:kern w:val="2"/>
      <w:sz w:val="24"/>
      <w:szCs w:val="24"/>
    </w:rPr>
  </w:style>
  <w:style w:type="paragraph" w:customStyle="1" w:styleId="130">
    <w:name w:val="石化院-表格内文字"/>
    <w:basedOn w:val="1"/>
    <w:link w:val="131"/>
    <w:qFormat/>
    <w:uiPriority w:val="0"/>
    <w:pPr>
      <w:tabs>
        <w:tab w:val="left" w:pos="0"/>
      </w:tabs>
      <w:adjustRightInd w:val="0"/>
      <w:snapToGrid w:val="0"/>
      <w:spacing w:line="240" w:lineRule="auto"/>
      <w:ind w:firstLine="0" w:firstLineChars="0"/>
      <w:jc w:val="center"/>
    </w:pPr>
    <w:rPr>
      <w:snapToGrid w:val="0"/>
      <w:sz w:val="21"/>
      <w:szCs w:val="21"/>
      <w:lang w:val="zh-CN" w:eastAsia="zh-CN"/>
    </w:rPr>
  </w:style>
  <w:style w:type="character" w:customStyle="1" w:styleId="131">
    <w:name w:val="石化院-表格内文字 Char"/>
    <w:link w:val="130"/>
    <w:qFormat/>
    <w:uiPriority w:val="0"/>
    <w:rPr>
      <w:rFonts w:cs="Times New Roman"/>
      <w:snapToGrid w:val="0"/>
      <w:kern w:val="2"/>
      <w:sz w:val="21"/>
      <w:szCs w:val="21"/>
    </w:rPr>
  </w:style>
  <w:style w:type="paragraph" w:customStyle="1" w:styleId="132">
    <w:name w:val="表格内文字"/>
    <w:basedOn w:val="1"/>
    <w:next w:val="1"/>
    <w:link w:val="133"/>
    <w:qFormat/>
    <w:uiPriority w:val="0"/>
    <w:pPr>
      <w:tabs>
        <w:tab w:val="left" w:pos="1980"/>
        <w:tab w:val="left" w:pos="3825"/>
        <w:tab w:val="left" w:pos="4680"/>
      </w:tabs>
      <w:spacing w:line="240" w:lineRule="auto"/>
      <w:ind w:firstLine="0" w:firstLineChars="0"/>
      <w:jc w:val="center"/>
    </w:pPr>
    <w:rPr>
      <w:b/>
      <w:color w:val="000000"/>
      <w:kern w:val="0"/>
      <w:sz w:val="21"/>
      <w:lang w:val="zh-CN" w:eastAsia="zh-CN"/>
    </w:rPr>
  </w:style>
  <w:style w:type="character" w:customStyle="1" w:styleId="133">
    <w:name w:val="表格内文字 Char"/>
    <w:link w:val="132"/>
    <w:qFormat/>
    <w:uiPriority w:val="0"/>
    <w:rPr>
      <w:rFonts w:cs="宋体"/>
      <w:b/>
      <w:color w:val="000000"/>
      <w:sz w:val="21"/>
      <w:szCs w:val="24"/>
    </w:rPr>
  </w:style>
  <w:style w:type="paragraph" w:customStyle="1" w:styleId="134">
    <w:name w:val="0表格"/>
    <w:qFormat/>
    <w:uiPriority w:val="0"/>
    <w:pPr>
      <w:adjustRightInd w:val="0"/>
      <w:snapToGrid w:val="0"/>
      <w:jc w:val="center"/>
    </w:pPr>
    <w:rPr>
      <w:rFonts w:ascii="Calibri" w:hAnsi="Calibri" w:eastAsia="宋体" w:cs="Times New Roman"/>
      <w:bCs/>
      <w:kern w:val="2"/>
      <w:sz w:val="21"/>
      <w:szCs w:val="24"/>
      <w:lang w:val="en-US" w:eastAsia="zh-CN" w:bidi="ar-SA"/>
    </w:rPr>
  </w:style>
  <w:style w:type="paragraph" w:customStyle="1" w:styleId="135">
    <w:name w:val="1表格"/>
    <w:basedOn w:val="1"/>
    <w:link w:val="136"/>
    <w:qFormat/>
    <w:uiPriority w:val="0"/>
    <w:pPr>
      <w:snapToGrid w:val="0"/>
      <w:spacing w:line="240" w:lineRule="auto"/>
      <w:ind w:firstLine="0" w:firstLineChars="0"/>
      <w:jc w:val="center"/>
      <w:outlineLvl w:val="4"/>
    </w:pPr>
    <w:rPr>
      <w:kern w:val="0"/>
      <w:szCs w:val="20"/>
      <w:lang w:val="zh-CN" w:eastAsia="zh-CN"/>
    </w:rPr>
  </w:style>
  <w:style w:type="character" w:customStyle="1" w:styleId="136">
    <w:name w:val="1表格 Char Char"/>
    <w:link w:val="135"/>
    <w:qFormat/>
    <w:uiPriority w:val="0"/>
    <w:rPr>
      <w:sz w:val="24"/>
    </w:rPr>
  </w:style>
  <w:style w:type="paragraph" w:styleId="137">
    <w:name w:val="List Paragraph"/>
    <w:basedOn w:val="1"/>
    <w:link w:val="138"/>
    <w:qFormat/>
    <w:uiPriority w:val="0"/>
    <w:pPr>
      <w:spacing w:line="240" w:lineRule="auto"/>
      <w:ind w:firstLine="420"/>
    </w:pPr>
    <w:rPr>
      <w:rFonts w:ascii="Calibri" w:hAnsi="Calibri"/>
      <w:sz w:val="21"/>
      <w:szCs w:val="21"/>
      <w:lang w:val="zh-CN" w:eastAsia="zh-CN"/>
    </w:rPr>
  </w:style>
  <w:style w:type="character" w:customStyle="1" w:styleId="138">
    <w:name w:val="列出段落 Char"/>
    <w:link w:val="137"/>
    <w:qFormat/>
    <w:uiPriority w:val="0"/>
    <w:rPr>
      <w:rFonts w:ascii="Calibri" w:hAnsi="Calibri" w:eastAsia="宋体" w:cs="Times New Roman"/>
      <w:kern w:val="2"/>
      <w:sz w:val="21"/>
      <w:szCs w:val="21"/>
    </w:rPr>
  </w:style>
  <w:style w:type="paragraph" w:customStyle="1" w:styleId="139">
    <w:name w:val="5文章(治)"/>
    <w:basedOn w:val="1"/>
    <w:link w:val="140"/>
    <w:qFormat/>
    <w:uiPriority w:val="0"/>
    <w:pPr>
      <w:snapToGrid w:val="0"/>
    </w:pPr>
    <w:rPr>
      <w:szCs w:val="28"/>
      <w:lang w:val="zh-CN" w:eastAsia="zh-CN"/>
    </w:rPr>
  </w:style>
  <w:style w:type="character" w:customStyle="1" w:styleId="140">
    <w:name w:val="5文章(治) Char1"/>
    <w:link w:val="139"/>
    <w:qFormat/>
    <w:uiPriority w:val="0"/>
    <w:rPr>
      <w:kern w:val="2"/>
      <w:sz w:val="24"/>
      <w:szCs w:val="28"/>
      <w:lang w:val="zh-CN"/>
    </w:rPr>
  </w:style>
  <w:style w:type="paragraph" w:customStyle="1" w:styleId="141">
    <w:name w:val="5文章正文"/>
    <w:basedOn w:val="1"/>
    <w:link w:val="142"/>
    <w:qFormat/>
    <w:uiPriority w:val="0"/>
    <w:rPr>
      <w:lang w:val="zh-CN" w:eastAsia="zh-CN"/>
    </w:rPr>
  </w:style>
  <w:style w:type="character" w:customStyle="1" w:styleId="142">
    <w:name w:val="5文章正文 字符"/>
    <w:link w:val="141"/>
    <w:qFormat/>
    <w:uiPriority w:val="0"/>
    <w:rPr>
      <w:kern w:val="2"/>
      <w:sz w:val="24"/>
      <w:szCs w:val="24"/>
    </w:rPr>
  </w:style>
  <w:style w:type="character" w:customStyle="1" w:styleId="143">
    <w:name w:val="3.表格备注CM 字符"/>
    <w:link w:val="144"/>
    <w:qFormat/>
    <w:locked/>
    <w:uiPriority w:val="0"/>
    <w:rPr>
      <w:rFonts w:ascii="等线" w:hAnsi="等线" w:eastAsia="等线"/>
      <w:b/>
    </w:rPr>
  </w:style>
  <w:style w:type="paragraph" w:customStyle="1" w:styleId="144">
    <w:name w:val="3.表格备注CM"/>
    <w:basedOn w:val="1"/>
    <w:link w:val="143"/>
    <w:qFormat/>
    <w:uiPriority w:val="0"/>
    <w:pPr>
      <w:widowControl/>
      <w:tabs>
        <w:tab w:val="left" w:pos="1980"/>
        <w:tab w:val="left" w:pos="3825"/>
        <w:tab w:val="left" w:pos="4680"/>
      </w:tabs>
      <w:adjustRightInd w:val="0"/>
      <w:snapToGrid w:val="0"/>
      <w:spacing w:afterLines="30" w:line="240" w:lineRule="auto"/>
      <w:ind w:firstLine="0" w:firstLineChars="0"/>
      <w:jc w:val="left"/>
    </w:pPr>
    <w:rPr>
      <w:rFonts w:ascii="等线" w:hAnsi="等线" w:eastAsia="等线"/>
      <w:b/>
      <w:kern w:val="0"/>
      <w:sz w:val="20"/>
      <w:szCs w:val="20"/>
      <w:lang w:val="zh-CN" w:eastAsia="zh-CN"/>
    </w:rPr>
  </w:style>
  <w:style w:type="paragraph" w:customStyle="1" w:styleId="145">
    <w:name w:val="表内正文-Q"/>
    <w:basedOn w:val="1"/>
    <w:next w:val="1"/>
    <w:qFormat/>
    <w:uiPriority w:val="0"/>
    <w:pPr>
      <w:widowControl/>
      <w:adjustRightInd w:val="0"/>
      <w:snapToGrid w:val="0"/>
      <w:spacing w:line="240" w:lineRule="auto"/>
      <w:ind w:firstLine="0" w:firstLineChars="0"/>
      <w:jc w:val="center"/>
    </w:pPr>
    <w:rPr>
      <w:sz w:val="21"/>
    </w:rPr>
  </w:style>
  <w:style w:type="paragraph" w:customStyle="1" w:styleId="146">
    <w:name w:val="7表格(治)"/>
    <w:link w:val="147"/>
    <w:qFormat/>
    <w:uiPriority w:val="0"/>
    <w:pPr>
      <w:widowControl w:val="0"/>
      <w:tabs>
        <w:tab w:val="center" w:pos="4153"/>
        <w:tab w:val="right" w:pos="8306"/>
      </w:tabs>
      <w:suppressAutoHyphens/>
      <w:jc w:val="center"/>
    </w:pPr>
    <w:rPr>
      <w:rFonts w:ascii="Times New Roman" w:hAnsi="Times New Roman" w:eastAsia="宋体" w:cs="宋体"/>
      <w:kern w:val="2"/>
      <w:sz w:val="21"/>
      <w:szCs w:val="36"/>
      <w:lang w:val="en-US" w:eastAsia="zh-CN" w:bidi="ar-SA"/>
    </w:rPr>
  </w:style>
  <w:style w:type="character" w:customStyle="1" w:styleId="147">
    <w:name w:val="7表格(治) Char"/>
    <w:link w:val="146"/>
    <w:qFormat/>
    <w:uiPriority w:val="0"/>
    <w:rPr>
      <w:rFonts w:cs="宋体"/>
      <w:kern w:val="2"/>
      <w:sz w:val="21"/>
      <w:szCs w:val="36"/>
      <w:lang w:val="en-US" w:eastAsia="zh-CN" w:bidi="ar-SA"/>
    </w:rPr>
  </w:style>
  <w:style w:type="character" w:customStyle="1" w:styleId="148">
    <w:name w:val="表（图）头 Char"/>
    <w:link w:val="149"/>
    <w:qFormat/>
    <w:uiPriority w:val="0"/>
    <w:rPr>
      <w:rFonts w:eastAsia="黑体"/>
      <w:b/>
    </w:rPr>
  </w:style>
  <w:style w:type="paragraph" w:customStyle="1" w:styleId="149">
    <w:name w:val="表（图）头"/>
    <w:basedOn w:val="1"/>
    <w:link w:val="148"/>
    <w:qFormat/>
    <w:uiPriority w:val="0"/>
    <w:pPr>
      <w:adjustRightInd w:val="0"/>
      <w:spacing w:line="240" w:lineRule="auto"/>
      <w:ind w:firstLine="0" w:firstLineChars="0"/>
      <w:jc w:val="center"/>
      <w:outlineLvl w:val="4"/>
    </w:pPr>
    <w:rPr>
      <w:rFonts w:eastAsia="黑体"/>
      <w:b/>
      <w:kern w:val="0"/>
      <w:sz w:val="20"/>
      <w:szCs w:val="20"/>
      <w:lang w:val="zh-CN" w:eastAsia="zh-CN"/>
    </w:rPr>
  </w:style>
  <w:style w:type="character" w:customStyle="1" w:styleId="150">
    <w:name w:val="【表格文字】 Char"/>
    <w:link w:val="151"/>
    <w:qFormat/>
    <w:uiPriority w:val="0"/>
    <w:rPr>
      <w:szCs w:val="24"/>
    </w:rPr>
  </w:style>
  <w:style w:type="paragraph" w:customStyle="1" w:styleId="151">
    <w:name w:val="【表格文字】"/>
    <w:basedOn w:val="1"/>
    <w:next w:val="1"/>
    <w:link w:val="150"/>
    <w:qFormat/>
    <w:uiPriority w:val="0"/>
    <w:pPr>
      <w:spacing w:line="240" w:lineRule="exact"/>
      <w:ind w:firstLine="0" w:firstLineChars="0"/>
      <w:jc w:val="center"/>
    </w:pPr>
    <w:rPr>
      <w:kern w:val="0"/>
      <w:sz w:val="20"/>
      <w:lang w:val="zh-CN" w:eastAsia="zh-CN"/>
    </w:rPr>
  </w:style>
  <w:style w:type="paragraph" w:customStyle="1" w:styleId="152">
    <w:name w:val="备注"/>
    <w:basedOn w:val="1"/>
    <w:next w:val="1"/>
    <w:link w:val="153"/>
    <w:qFormat/>
    <w:uiPriority w:val="0"/>
    <w:pPr>
      <w:widowControl/>
      <w:spacing w:line="240" w:lineRule="auto"/>
      <w:ind w:firstLine="0" w:firstLineChars="0"/>
      <w:jc w:val="left"/>
    </w:pPr>
    <w:rPr>
      <w:i/>
      <w:sz w:val="21"/>
      <w:lang w:val="zh-CN" w:eastAsia="en-US" w:bidi="en-US"/>
    </w:rPr>
  </w:style>
  <w:style w:type="character" w:customStyle="1" w:styleId="153">
    <w:name w:val="备注 Char"/>
    <w:link w:val="152"/>
    <w:qFormat/>
    <w:uiPriority w:val="0"/>
    <w:rPr>
      <w:rFonts w:cs="Times New Roman"/>
      <w:i/>
      <w:kern w:val="2"/>
      <w:sz w:val="21"/>
      <w:szCs w:val="24"/>
      <w:lang w:eastAsia="en-US" w:bidi="en-US"/>
    </w:rPr>
  </w:style>
  <w:style w:type="character" w:customStyle="1" w:styleId="154">
    <w:name w:val="5文章(治) Char"/>
    <w:qFormat/>
    <w:uiPriority w:val="0"/>
    <w:rPr>
      <w:rFonts w:eastAsia="宋体"/>
      <w:sz w:val="24"/>
      <w:szCs w:val="28"/>
    </w:rPr>
  </w:style>
  <w:style w:type="paragraph" w:customStyle="1" w:styleId="155">
    <w:name w:val="北京正文"/>
    <w:qFormat/>
    <w:uiPriority w:val="0"/>
    <w:pPr>
      <w:adjustRightInd w:val="0"/>
      <w:snapToGrid w:val="0"/>
      <w:spacing w:line="360" w:lineRule="auto"/>
      <w:ind w:firstLine="200" w:firstLineChars="200"/>
    </w:pPr>
    <w:rPr>
      <w:rFonts w:ascii="Times New Roman" w:hAnsi="Times New Roman" w:eastAsia="宋体" w:cs="Times New Roman"/>
      <w:bCs/>
      <w:color w:val="000000"/>
      <w:kern w:val="2"/>
      <w:sz w:val="24"/>
      <w:szCs w:val="24"/>
      <w:lang w:val="en-US" w:eastAsia="zh-CN" w:bidi="ar-SA"/>
    </w:rPr>
  </w:style>
  <w:style w:type="paragraph" w:customStyle="1" w:styleId="156">
    <w:name w:val="正文内容"/>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57">
    <w:name w:val="环评文本"/>
    <w:basedOn w:val="1"/>
    <w:qFormat/>
    <w:uiPriority w:val="0"/>
    <w:pPr>
      <w:tabs>
        <w:tab w:val="left" w:pos="4320"/>
        <w:tab w:val="left" w:pos="4500"/>
        <w:tab w:val="left" w:pos="7380"/>
      </w:tabs>
      <w:ind w:firstLine="480"/>
    </w:pPr>
    <w:rPr>
      <w:sz w:val="21"/>
    </w:rPr>
  </w:style>
  <w:style w:type="character" w:customStyle="1" w:styleId="158">
    <w:name w:val="表格 Char Char"/>
    <w:qFormat/>
    <w:locked/>
    <w:uiPriority w:val="0"/>
    <w:rPr>
      <w:rFonts w:ascii="Times New Roman" w:hAnsi="Times New Roman" w:eastAsia="楷体_GB2312" w:cs="Times New Roman"/>
      <w:kern w:val="0"/>
      <w:szCs w:val="20"/>
    </w:rPr>
  </w:style>
  <w:style w:type="paragraph" w:customStyle="1" w:styleId="159">
    <w:name w:val="zx正文"/>
    <w:basedOn w:val="1"/>
    <w:qFormat/>
    <w:uiPriority w:val="0"/>
    <w:pPr>
      <w:ind w:firstLine="480"/>
    </w:pPr>
    <w:rPr>
      <w:rFonts w:ascii="宋体" w:hAnsi="宋体"/>
      <w:color w:val="FF0000"/>
      <w:kern w:val="0"/>
    </w:rPr>
  </w:style>
  <w:style w:type="paragraph" w:customStyle="1" w:styleId="160">
    <w:name w:val="正文（小四）"/>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161">
    <w:name w:val="报告宋体小四"/>
    <w:next w:val="1"/>
    <w:qFormat/>
    <w:uiPriority w:val="0"/>
    <w:pPr>
      <w:widowControl w:val="0"/>
      <w:spacing w:line="360" w:lineRule="auto"/>
      <w:ind w:firstLine="560" w:firstLineChars="200"/>
      <w:jc w:val="both"/>
    </w:pPr>
    <w:rPr>
      <w:rFonts w:ascii="Times New Roman" w:hAnsi="Times New Roman" w:eastAsia="宋体" w:cs="Times New Roman"/>
      <w:sz w:val="28"/>
      <w:szCs w:val="28"/>
      <w:lang w:val="en-US" w:eastAsia="zh-CN" w:bidi="ar-SA"/>
    </w:rPr>
  </w:style>
  <w:style w:type="paragraph" w:customStyle="1" w:styleId="162">
    <w:name w:val="正文(首行缩进)"/>
    <w:basedOn w:val="1"/>
    <w:qFormat/>
    <w:uiPriority w:val="0"/>
    <w:pPr>
      <w:adjustRightInd w:val="0"/>
      <w:snapToGrid w:val="0"/>
    </w:pPr>
    <w:rPr>
      <w:snapToGrid w:val="0"/>
      <w:szCs w:val="25"/>
    </w:rPr>
  </w:style>
  <w:style w:type="paragraph" w:customStyle="1" w:styleId="163">
    <w:name w:val="FQLQD"/>
    <w:next w:val="1"/>
    <w:qFormat/>
    <w:uiPriority w:val="0"/>
    <w:pPr>
      <w:widowControl w:val="0"/>
      <w:spacing w:line="360" w:lineRule="auto"/>
      <w:ind w:firstLine="480" w:firstLineChars="200"/>
      <w:jc w:val="both"/>
    </w:pPr>
    <w:rPr>
      <w:rFonts w:ascii="Calibri" w:hAnsi="Calibri" w:eastAsia="宋体" w:cs="Times New Roman"/>
      <w:sz w:val="24"/>
      <w:lang w:val="en-US" w:eastAsia="zh-CN" w:bidi="ar-SA"/>
    </w:rPr>
  </w:style>
  <w:style w:type="paragraph" w:customStyle="1" w:styleId="164">
    <w:name w:val="Revision"/>
    <w:unhideWhenUsed/>
    <w:qFormat/>
    <w:uiPriority w:val="99"/>
    <w:rPr>
      <w:rFonts w:ascii="Times New Roman" w:hAnsi="Times New Roman" w:eastAsia="宋体" w:cs="Times New Roman"/>
      <w:kern w:val="2"/>
      <w:sz w:val="24"/>
      <w:szCs w:val="24"/>
      <w:lang w:val="en-US" w:eastAsia="zh-CN" w:bidi="ar-SA"/>
    </w:rPr>
  </w:style>
  <w:style w:type="character" w:customStyle="1" w:styleId="165">
    <w:name w:val="5文章(治) Char Char"/>
    <w:qFormat/>
    <w:uiPriority w:val="0"/>
    <w:rPr>
      <w:rFonts w:ascii="Times New Roman" w:hAnsi="Times New Roman" w:eastAsia="宋体" w:cs="Times New Roman"/>
      <w:kern w:val="0"/>
      <w:sz w:val="24"/>
      <w:szCs w:val="24"/>
    </w:rPr>
  </w:style>
  <w:style w:type="paragraph" w:customStyle="1" w:styleId="166">
    <w:name w:val="6表(图)头(治)"/>
    <w:next w:val="1"/>
    <w:link w:val="167"/>
    <w:qFormat/>
    <w:uiPriority w:val="0"/>
    <w:pPr>
      <w:widowControl w:val="0"/>
      <w:adjustRightInd w:val="0"/>
      <w:snapToGrid w:val="0"/>
      <w:jc w:val="center"/>
      <w:outlineLvl w:val="4"/>
    </w:pPr>
    <w:rPr>
      <w:rFonts w:ascii="Times New Roman" w:hAnsi="Times New Roman" w:eastAsia="黑体" w:cs="Times New Roman"/>
      <w:b/>
      <w:sz w:val="24"/>
      <w:szCs w:val="28"/>
      <w:lang w:val="en-US" w:eastAsia="zh-CN" w:bidi="ar-SA"/>
    </w:rPr>
  </w:style>
  <w:style w:type="character" w:customStyle="1" w:styleId="167">
    <w:name w:val="6表(图)头(治) Char Char"/>
    <w:link w:val="166"/>
    <w:qFormat/>
    <w:uiPriority w:val="0"/>
    <w:rPr>
      <w:rFonts w:eastAsia="黑体"/>
      <w:b/>
      <w:sz w:val="24"/>
      <w:szCs w:val="28"/>
      <w:lang w:bidi="ar-SA"/>
    </w:rPr>
  </w:style>
  <w:style w:type="character" w:customStyle="1" w:styleId="168">
    <w:name w:val="7表格(治) Char Char"/>
    <w:qFormat/>
    <w:uiPriority w:val="0"/>
    <w:rPr>
      <w:rFonts w:ascii="Times New Roman" w:hAnsi="Times New Roman" w:eastAsia="宋体" w:cs="Times New Roman"/>
      <w:kern w:val="0"/>
      <w:sz w:val="21"/>
      <w:szCs w:val="21"/>
    </w:rPr>
  </w:style>
  <w:style w:type="paragraph" w:customStyle="1" w:styleId="169">
    <w:name w:val="Char Char15 Char Char Char Char"/>
    <w:basedOn w:val="1"/>
    <w:qFormat/>
    <w:uiPriority w:val="0"/>
    <w:pPr>
      <w:spacing w:before="100" w:beforeLines="100" w:after="50" w:afterLines="50" w:line="480" w:lineRule="auto"/>
      <w:ind w:firstLine="0" w:firstLineChars="0"/>
      <w:jc w:val="center"/>
    </w:pPr>
    <w:rPr>
      <w:rFonts w:eastAsia="楷体_GB2312"/>
      <w:b/>
      <w:sz w:val="44"/>
      <w:szCs w:val="44"/>
    </w:rPr>
  </w:style>
  <w:style w:type="character" w:customStyle="1" w:styleId="170">
    <w:name w:val="6表(图)头(治) Char"/>
    <w:qFormat/>
    <w:uiPriority w:val="0"/>
    <w:rPr>
      <w:rFonts w:eastAsia="黑体"/>
      <w:b/>
      <w:bCs/>
      <w:sz w:val="28"/>
      <w:lang w:val="en-US" w:eastAsia="zh-CN" w:bidi="ar-SA"/>
    </w:rPr>
  </w:style>
  <w:style w:type="paragraph" w:customStyle="1" w:styleId="171">
    <w:name w:val="表下注释"/>
    <w:basedOn w:val="18"/>
    <w:qFormat/>
    <w:uiPriority w:val="0"/>
    <w:pPr>
      <w:widowControl/>
      <w:adjustRightInd w:val="0"/>
      <w:snapToGrid w:val="0"/>
      <w:spacing w:line="240" w:lineRule="auto"/>
      <w:ind w:firstLine="0" w:firstLineChars="0"/>
      <w:jc w:val="left"/>
    </w:pPr>
    <w:rPr>
      <w:rFonts w:ascii="Times New Roman" w:hAnsi="Times New Roman"/>
      <w:kern w:val="0"/>
      <w:szCs w:val="21"/>
    </w:rPr>
  </w:style>
  <w:style w:type="character" w:customStyle="1" w:styleId="172">
    <w:name w:val="批注主题 Char1"/>
    <w:qFormat/>
    <w:uiPriority w:val="99"/>
    <w:rPr>
      <w:rFonts w:eastAsia="仿宋_GB2312"/>
      <w:b/>
      <w:bCs/>
      <w:kern w:val="2"/>
      <w:sz w:val="28"/>
    </w:rPr>
  </w:style>
  <w:style w:type="paragraph" w:customStyle="1" w:styleId="173">
    <w:name w:val="Table Paragraph"/>
    <w:basedOn w:val="1"/>
    <w:qFormat/>
    <w:uiPriority w:val="1"/>
    <w:pPr>
      <w:spacing w:before="22" w:line="240" w:lineRule="auto"/>
      <w:ind w:firstLine="0" w:firstLineChars="0"/>
    </w:pPr>
    <w:rPr>
      <w:rFonts w:eastAsia="Times New Roman"/>
      <w:sz w:val="21"/>
      <w:lang w:val="zh-CN" w:bidi="zh-CN"/>
    </w:rPr>
  </w:style>
  <w:style w:type="character" w:customStyle="1" w:styleId="174">
    <w:name w:val="正文C1 Char"/>
    <w:link w:val="175"/>
    <w:qFormat/>
    <w:uiPriority w:val="0"/>
    <w:rPr>
      <w:rFonts w:ascii="宋体"/>
      <w:sz w:val="24"/>
      <w:szCs w:val="28"/>
    </w:rPr>
  </w:style>
  <w:style w:type="paragraph" w:customStyle="1" w:styleId="175">
    <w:name w:val="正文C1"/>
    <w:basedOn w:val="3"/>
    <w:link w:val="174"/>
    <w:qFormat/>
    <w:uiPriority w:val="0"/>
    <w:pPr>
      <w:tabs>
        <w:tab w:val="left" w:pos="420"/>
        <w:tab w:val="left" w:pos="870"/>
        <w:tab w:val="left" w:pos="3150"/>
      </w:tabs>
      <w:autoSpaceDE w:val="0"/>
      <w:autoSpaceDN w:val="0"/>
      <w:adjustRightInd w:val="0"/>
      <w:spacing w:after="0" w:line="336" w:lineRule="auto"/>
      <w:ind w:firstLine="200"/>
      <w:textAlignment w:val="baseline"/>
    </w:pPr>
    <w:rPr>
      <w:rFonts w:ascii="宋体"/>
      <w:szCs w:val="28"/>
      <w:lang w:val="zh-CN" w:eastAsia="zh-CN"/>
    </w:rPr>
  </w:style>
  <w:style w:type="character" w:customStyle="1" w:styleId="176">
    <w:name w:val="表格标题 Char1"/>
    <w:qFormat/>
    <w:uiPriority w:val="0"/>
    <w:rPr>
      <w:b/>
      <w:sz w:val="24"/>
    </w:rPr>
  </w:style>
  <w:style w:type="character" w:customStyle="1" w:styleId="177">
    <w:name w:val="正文文本 Char1"/>
    <w:semiHidden/>
    <w:qFormat/>
    <w:uiPriority w:val="99"/>
    <w:rPr>
      <w:rFonts w:ascii="Times New Roman" w:hAnsi="Times New Roman" w:eastAsia="宋体" w:cs="宋体"/>
      <w:kern w:val="0"/>
      <w:sz w:val="24"/>
      <w:lang w:val="zh-CN"/>
    </w:rPr>
  </w:style>
  <w:style w:type="paragraph" w:customStyle="1" w:styleId="178">
    <w:name w:val="常用"/>
    <w:basedOn w:val="1"/>
    <w:qFormat/>
    <w:uiPriority w:val="0"/>
    <w:pPr>
      <w:widowControl/>
      <w:jc w:val="left"/>
    </w:pPr>
    <w:rPr>
      <w:rFonts w:ascii="宋体" w:hAnsi="宋体"/>
      <w:kern w:val="0"/>
      <w:sz w:val="21"/>
      <w:szCs w:val="28"/>
    </w:rPr>
  </w:style>
  <w:style w:type="paragraph" w:customStyle="1" w:styleId="179">
    <w:name w:val="7表格(化工院)"/>
    <w:qFormat/>
    <w:uiPriority w:val="0"/>
    <w:pPr>
      <w:adjustRightInd w:val="0"/>
      <w:snapToGrid w:val="0"/>
      <w:spacing w:line="300" w:lineRule="exact"/>
      <w:jc w:val="center"/>
    </w:pPr>
    <w:rPr>
      <w:rFonts w:ascii="Times New Roman" w:hAnsi="Times New Roman" w:eastAsia="宋体" w:cs="Times New Roman"/>
      <w:sz w:val="21"/>
      <w:lang w:val="en-US" w:eastAsia="zh-CN" w:bidi="ar-SA"/>
    </w:rPr>
  </w:style>
  <w:style w:type="paragraph" w:customStyle="1" w:styleId="180">
    <w:name w:val="化工院正文"/>
    <w:basedOn w:val="1"/>
    <w:qFormat/>
    <w:uiPriority w:val="0"/>
    <w:pPr>
      <w:ind w:firstLine="480"/>
    </w:pPr>
    <w:rPr>
      <w:rFonts w:ascii="Calibri" w:hAnsi="Calibri"/>
    </w:rPr>
  </w:style>
  <w:style w:type="paragraph" w:customStyle="1" w:styleId="181">
    <w:name w:val="封面报告名称"/>
    <w:qFormat/>
    <w:uiPriority w:val="0"/>
    <w:pPr>
      <w:spacing w:line="480" w:lineRule="auto"/>
      <w:jc w:val="center"/>
    </w:pPr>
    <w:rPr>
      <w:rFonts w:ascii="Times New Roman" w:hAnsi="Times New Roman" w:eastAsia="黑体" w:cs="Times New Roman"/>
      <w:b/>
      <w:snapToGrid w:val="0"/>
      <w:sz w:val="52"/>
      <w:lang w:val="en-US" w:eastAsia="zh-CN" w:bidi="ar-SA"/>
    </w:rPr>
  </w:style>
  <w:style w:type="paragraph" w:customStyle="1" w:styleId="182">
    <w:name w:val="石化院--封面-报告书名称"/>
    <w:basedOn w:val="1"/>
    <w:qFormat/>
    <w:uiPriority w:val="0"/>
    <w:pPr>
      <w:spacing w:line="240" w:lineRule="auto"/>
      <w:ind w:firstLine="0" w:firstLineChars="0"/>
      <w:jc w:val="center"/>
    </w:pPr>
    <w:rPr>
      <w:rFonts w:ascii="华文中宋" w:hAnsi="华文中宋" w:eastAsia="华文中宋"/>
      <w:b/>
      <w:sz w:val="58"/>
      <w:szCs w:val="52"/>
    </w:rPr>
  </w:style>
  <w:style w:type="character" w:customStyle="1" w:styleId="183">
    <w:name w:val="化工院-表格内文字 Char"/>
    <w:link w:val="184"/>
    <w:qFormat/>
    <w:uiPriority w:val="0"/>
    <w:rPr>
      <w:snapToGrid w:val="0"/>
      <w:szCs w:val="21"/>
    </w:rPr>
  </w:style>
  <w:style w:type="paragraph" w:customStyle="1" w:styleId="184">
    <w:name w:val="化工院-表格内文字"/>
    <w:basedOn w:val="1"/>
    <w:link w:val="183"/>
    <w:qFormat/>
    <w:uiPriority w:val="0"/>
    <w:pPr>
      <w:tabs>
        <w:tab w:val="left" w:pos="0"/>
      </w:tabs>
      <w:adjustRightInd w:val="0"/>
      <w:snapToGrid w:val="0"/>
      <w:spacing w:line="240" w:lineRule="auto"/>
      <w:ind w:firstLine="0" w:firstLineChars="0"/>
      <w:jc w:val="center"/>
    </w:pPr>
    <w:rPr>
      <w:snapToGrid w:val="0"/>
      <w:kern w:val="0"/>
      <w:sz w:val="20"/>
      <w:szCs w:val="21"/>
      <w:lang w:val="zh-CN" w:eastAsia="zh-CN"/>
    </w:rPr>
  </w:style>
  <w:style w:type="character" w:customStyle="1" w:styleId="185">
    <w:name w:val="化工院-正文 Char"/>
    <w:link w:val="186"/>
    <w:qFormat/>
    <w:uiPriority w:val="0"/>
    <w:rPr>
      <w:color w:val="00B0F0"/>
      <w:sz w:val="24"/>
      <w:szCs w:val="24"/>
    </w:rPr>
  </w:style>
  <w:style w:type="paragraph" w:customStyle="1" w:styleId="186">
    <w:name w:val="化工院-正文"/>
    <w:basedOn w:val="1"/>
    <w:link w:val="185"/>
    <w:qFormat/>
    <w:uiPriority w:val="0"/>
    <w:rPr>
      <w:color w:val="00B0F0"/>
      <w:kern w:val="0"/>
      <w:lang w:val="zh-CN" w:eastAsia="zh-CN"/>
    </w:rPr>
  </w:style>
  <w:style w:type="paragraph" w:customStyle="1" w:styleId="187">
    <w:name w:val="文本"/>
    <w:basedOn w:val="1"/>
    <w:qFormat/>
    <w:uiPriority w:val="0"/>
    <w:pPr>
      <w:autoSpaceDE w:val="0"/>
      <w:autoSpaceDN w:val="0"/>
      <w:jc w:val="left"/>
    </w:pPr>
    <w:rPr>
      <w:rFonts w:cs="宋体"/>
      <w:kern w:val="0"/>
      <w:szCs w:val="22"/>
      <w:lang w:val="zh-CN"/>
    </w:rPr>
  </w:style>
  <w:style w:type="paragraph" w:customStyle="1" w:styleId="188">
    <w:name w:val="样式 北京表格内容 + 自动设置"/>
    <w:basedOn w:val="1"/>
    <w:qFormat/>
    <w:uiPriority w:val="0"/>
    <w:pPr>
      <w:widowControl/>
      <w:autoSpaceDE w:val="0"/>
      <w:autoSpaceDN w:val="0"/>
      <w:spacing w:line="280" w:lineRule="exact"/>
      <w:ind w:firstLine="0" w:firstLineChars="0"/>
      <w:jc w:val="center"/>
    </w:pPr>
    <w:rPr>
      <w:rFonts w:cs="宋体"/>
      <w:bCs/>
      <w:color w:val="000000"/>
      <w:kern w:val="0"/>
      <w:sz w:val="18"/>
      <w:szCs w:val="22"/>
      <w:lang w:val="zh-CN"/>
    </w:rPr>
  </w:style>
  <w:style w:type="paragraph" w:customStyle="1" w:styleId="189">
    <w:name w:val="章1正文样式"/>
    <w:basedOn w:val="1"/>
    <w:qFormat/>
    <w:uiPriority w:val="0"/>
    <w:pPr>
      <w:adjustRightInd w:val="0"/>
      <w:snapToGrid w:val="0"/>
      <w:ind w:firstLine="720"/>
    </w:pPr>
    <w:rPr>
      <w:rFonts w:hint="eastAsia"/>
      <w:szCs w:val="21"/>
    </w:rPr>
  </w:style>
  <w:style w:type="character" w:customStyle="1" w:styleId="190">
    <w:name w:val="正文缩进 字符"/>
    <w:qFormat/>
    <w:uiPriority w:val="0"/>
    <w:rPr>
      <w:kern w:val="2"/>
      <w:sz w:val="21"/>
      <w:szCs w:val="24"/>
    </w:rPr>
  </w:style>
  <w:style w:type="paragraph" w:customStyle="1" w:styleId="191">
    <w:name w:val="7表格（治）"/>
    <w:qFormat/>
    <w:uiPriority w:val="0"/>
    <w:pPr>
      <w:widowControl w:val="0"/>
      <w:adjustRightInd w:val="0"/>
      <w:snapToGrid w:val="0"/>
      <w:jc w:val="center"/>
    </w:pPr>
    <w:rPr>
      <w:rFonts w:ascii="Times New Roman" w:hAnsi="Times New Roman" w:eastAsia="宋体" w:cs="Times New Roman"/>
      <w:color w:val="000000"/>
      <w:sz w:val="21"/>
      <w:szCs w:val="21"/>
      <w:lang w:val="en-US" w:eastAsia="zh-CN" w:bidi="ar-SA"/>
    </w:rPr>
  </w:style>
  <w:style w:type="character" w:customStyle="1" w:styleId="192">
    <w:name w:val="Char Char7"/>
    <w:qFormat/>
    <w:uiPriority w:val="0"/>
    <w:rPr>
      <w:rFonts w:ascii="黑体" w:eastAsia="宋体"/>
      <w:b/>
      <w:kern w:val="44"/>
      <w:sz w:val="32"/>
      <w:szCs w:val="21"/>
      <w:lang w:val="en-US" w:eastAsia="zh-CN" w:bidi="ar-SA"/>
    </w:rPr>
  </w:style>
  <w:style w:type="paragraph" w:customStyle="1" w:styleId="193">
    <w:name w:val="3标题(治)"/>
    <w:basedOn w:val="8"/>
    <w:link w:val="194"/>
    <w:qFormat/>
    <w:uiPriority w:val="0"/>
    <w:pPr>
      <w:spacing w:beforeLines="0"/>
      <w:textAlignment w:val="baseline"/>
      <w:outlineLvl w:val="1"/>
    </w:pPr>
    <w:rPr>
      <w:rFonts w:eastAsia="黑体"/>
      <w:bCs/>
      <w:kern w:val="2"/>
      <w:szCs w:val="32"/>
    </w:rPr>
  </w:style>
  <w:style w:type="character" w:customStyle="1" w:styleId="194">
    <w:name w:val="3标题(治) Char"/>
    <w:link w:val="193"/>
    <w:qFormat/>
    <w:uiPriority w:val="0"/>
    <w:rPr>
      <w:rFonts w:eastAsia="黑体"/>
      <w:b/>
      <w:bCs/>
      <w:kern w:val="2"/>
      <w:sz w:val="28"/>
      <w:szCs w:val="32"/>
    </w:rPr>
  </w:style>
  <w:style w:type="paragraph" w:customStyle="1" w:styleId="195">
    <w:name w:val="2标题(治)"/>
    <w:basedOn w:val="7"/>
    <w:link w:val="196"/>
    <w:qFormat/>
    <w:uiPriority w:val="0"/>
    <w:pPr>
      <w:spacing w:beforeLines="0"/>
      <w:outlineLvl w:val="0"/>
    </w:pPr>
    <w:rPr>
      <w:rFonts w:eastAsia="黑体"/>
      <w:lang w:val="zh-CN" w:eastAsia="zh-CN"/>
    </w:rPr>
  </w:style>
  <w:style w:type="character" w:customStyle="1" w:styleId="196">
    <w:name w:val="2标题(治) Char"/>
    <w:link w:val="195"/>
    <w:qFormat/>
    <w:locked/>
    <w:uiPriority w:val="0"/>
    <w:rPr>
      <w:rFonts w:eastAsia="黑体"/>
      <w:b/>
      <w:bCs/>
      <w:kern w:val="2"/>
      <w:sz w:val="32"/>
      <w:szCs w:val="32"/>
    </w:rPr>
  </w:style>
  <w:style w:type="character" w:customStyle="1" w:styleId="197">
    <w:name w:val="表格内容 Char1"/>
    <w:qFormat/>
    <w:uiPriority w:val="0"/>
    <w:rPr>
      <w:rFonts w:ascii="宋体" w:hAnsi="宋体" w:eastAsia="宋体"/>
      <w:kern w:val="0"/>
      <w:sz w:val="21"/>
    </w:rPr>
  </w:style>
  <w:style w:type="character" w:customStyle="1" w:styleId="198">
    <w:name w:val="批注文字 Char1"/>
    <w:semiHidden/>
    <w:qFormat/>
    <w:uiPriority w:val="99"/>
    <w:rPr>
      <w:rFonts w:ascii="Times New Roman" w:hAnsi="Times New Roman" w:eastAsia="宋体" w:cs="宋体"/>
      <w:kern w:val="0"/>
      <w:sz w:val="24"/>
      <w:lang w:val="zh-CN"/>
    </w:rPr>
  </w:style>
  <w:style w:type="character" w:customStyle="1" w:styleId="199">
    <w:name w:val="表格 字符"/>
    <w:qFormat/>
    <w:uiPriority w:val="0"/>
    <w:rPr>
      <w:rFonts w:eastAsia="楷体_GB2312"/>
    </w:rPr>
  </w:style>
  <w:style w:type="paragraph" w:customStyle="1" w:styleId="200">
    <w:name w:val="北京表格内容"/>
    <w:next w:val="1"/>
    <w:qFormat/>
    <w:uiPriority w:val="0"/>
    <w:pPr>
      <w:jc w:val="center"/>
    </w:pPr>
    <w:rPr>
      <w:rFonts w:ascii="Times New Roman" w:hAnsi="Times New Roman" w:eastAsia="宋体" w:cs="Times New Roman"/>
      <w:bCs/>
      <w:color w:val="000000"/>
      <w:kern w:val="2"/>
      <w:sz w:val="18"/>
      <w:szCs w:val="24"/>
      <w:lang w:val="en-US" w:eastAsia="zh-CN" w:bidi="ar-SA"/>
    </w:rPr>
  </w:style>
  <w:style w:type="character" w:customStyle="1" w:styleId="201">
    <w:name w:val="明显引用 Char1"/>
    <w:qFormat/>
    <w:uiPriority w:val="30"/>
    <w:rPr>
      <w:b/>
      <w:bCs/>
      <w:i/>
      <w:iCs/>
      <w:color w:val="4F81BD"/>
      <w:kern w:val="2"/>
      <w:sz w:val="21"/>
    </w:rPr>
  </w:style>
  <w:style w:type="character" w:customStyle="1" w:styleId="202">
    <w:name w:val="标题1"/>
    <w:basedOn w:val="33"/>
    <w:qFormat/>
    <w:uiPriority w:val="0"/>
  </w:style>
  <w:style w:type="paragraph" w:customStyle="1" w:styleId="203">
    <w:name w:val="text"/>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204">
    <w:name w:val="正文首行缩进 Char1"/>
    <w:qFormat/>
    <w:uiPriority w:val="0"/>
    <w:rPr>
      <w:rFonts w:ascii="等线" w:hAnsi="等线" w:eastAsia="等线" w:cs="Times New Roman"/>
      <w:color w:val="000000"/>
      <w:kern w:val="1"/>
      <w:szCs w:val="24"/>
      <w:lang w:val="zh-CN" w:eastAsia="zh-CN"/>
    </w:rPr>
  </w:style>
  <w:style w:type="table" w:customStyle="1" w:styleId="205">
    <w:name w:val="Table Normal"/>
    <w:basedOn w:val="30"/>
    <w:qFormat/>
    <w:uiPriority w:val="0"/>
    <w:rPr>
      <w:rFonts w:eastAsia="Times New Roman"/>
    </w:rPr>
    <w:tblPr>
      <w:tblCellMar>
        <w:left w:w="0" w:type="dxa"/>
        <w:right w:w="0" w:type="dxa"/>
      </w:tblCellMar>
    </w:tblPr>
  </w:style>
  <w:style w:type="paragraph" w:customStyle="1" w:styleId="206">
    <w:name w:val="正文2"/>
    <w:qFormat/>
    <w:uiPriority w:val="0"/>
    <w:pPr>
      <w:jc w:val="both"/>
    </w:pPr>
    <w:rPr>
      <w:rFonts w:ascii="宋体" w:hAnsi="宋体" w:eastAsia="宋体" w:cs="宋体"/>
      <w:kern w:val="2"/>
      <w:sz w:val="21"/>
      <w:szCs w:val="21"/>
      <w:lang w:val="en-US" w:eastAsia="zh-CN" w:bidi="ar-SA"/>
    </w:rPr>
  </w:style>
  <w:style w:type="paragraph" w:customStyle="1" w:styleId="207">
    <w:name w:val="表内文字"/>
    <w:basedOn w:val="1"/>
    <w:link w:val="208"/>
    <w:qFormat/>
    <w:uiPriority w:val="0"/>
    <w:pPr>
      <w:widowControl/>
      <w:adjustRightInd w:val="0"/>
      <w:snapToGrid w:val="0"/>
      <w:spacing w:line="240" w:lineRule="auto"/>
      <w:ind w:firstLine="0" w:firstLineChars="0"/>
      <w:jc w:val="center"/>
    </w:pPr>
    <w:rPr>
      <w:kern w:val="0"/>
      <w:sz w:val="21"/>
      <w:szCs w:val="21"/>
      <w:lang w:val="zh-CN" w:eastAsia="zh-CN"/>
    </w:rPr>
  </w:style>
  <w:style w:type="character" w:customStyle="1" w:styleId="208">
    <w:name w:val="表内文字 Char"/>
    <w:link w:val="207"/>
    <w:qFormat/>
    <w:uiPriority w:val="0"/>
    <w:rPr>
      <w:sz w:val="21"/>
      <w:szCs w:val="21"/>
    </w:rPr>
  </w:style>
  <w:style w:type="paragraph" w:customStyle="1" w:styleId="209">
    <w:name w:val="表格内格式"/>
    <w:basedOn w:val="1"/>
    <w:qFormat/>
    <w:uiPriority w:val="0"/>
    <w:pPr>
      <w:adjustRightInd w:val="0"/>
      <w:snapToGrid w:val="0"/>
      <w:spacing w:line="240" w:lineRule="auto"/>
      <w:ind w:firstLine="0" w:firstLineChars="0"/>
      <w:jc w:val="center"/>
    </w:pPr>
    <w:rPr>
      <w:kern w:val="0"/>
      <w:sz w:val="21"/>
      <w:szCs w:val="21"/>
    </w:rPr>
  </w:style>
  <w:style w:type="paragraph" w:customStyle="1" w:styleId="210">
    <w:name w:val="图文标题"/>
    <w:basedOn w:val="1"/>
    <w:next w:val="1"/>
    <w:autoRedefine/>
    <w:qFormat/>
    <w:uiPriority w:val="0"/>
    <w:pPr>
      <w:tabs>
        <w:tab w:val="left" w:pos="0"/>
        <w:tab w:val="left" w:pos="1980"/>
        <w:tab w:val="left" w:pos="7230"/>
        <w:tab w:val="left" w:pos="9351"/>
        <w:tab w:val="left" w:pos="10485"/>
      </w:tabs>
      <w:autoSpaceDE w:val="0"/>
      <w:autoSpaceDN w:val="0"/>
      <w:ind w:firstLine="0" w:firstLineChars="0"/>
      <w:jc w:val="center"/>
      <w:outlineLvl w:val="5"/>
    </w:pPr>
    <w:rPr>
      <w:b/>
      <w:bCs/>
      <w:kern w:val="0"/>
      <w:szCs w:val="20"/>
      <w:lang w:val="zh-CN" w:eastAsia="zh-CN"/>
    </w:rPr>
  </w:style>
  <w:style w:type="paragraph" w:customStyle="1" w:styleId="211">
    <w:name w:val="样式 四号 + 首行缩进:  2 字符 + 首行缩进:  2 字符"/>
    <w:basedOn w:val="1"/>
    <w:qFormat/>
    <w:uiPriority w:val="0"/>
    <w:pPr>
      <w:widowControl/>
      <w:adjustRightInd w:val="0"/>
      <w:snapToGrid w:val="0"/>
      <w:spacing w:line="300" w:lineRule="auto"/>
      <w:ind w:firstLine="560"/>
    </w:pPr>
    <w:rPr>
      <w:rFonts w:cs="宋体"/>
      <w:sz w:val="28"/>
      <w:szCs w:val="20"/>
    </w:rPr>
  </w:style>
  <w:style w:type="paragraph" w:customStyle="1" w:styleId="212">
    <w:name w:val="Table Text"/>
    <w:basedOn w:val="1"/>
    <w:autoRedefine/>
    <w:semiHidden/>
    <w:qFormat/>
    <w:uiPriority w:val="0"/>
    <w:pPr>
      <w:spacing w:line="280" w:lineRule="exact"/>
      <w:ind w:firstLine="0" w:firstLineChars="0"/>
      <w:jc w:val="center"/>
    </w:pPr>
    <w:rPr>
      <w:rFonts w:ascii="宋体" w:hAnsi="宋体" w:cs="宋体"/>
      <w:sz w:val="18"/>
      <w:szCs w:val="18"/>
      <w:lang w:eastAsia="en-US"/>
    </w:rPr>
  </w:style>
  <w:style w:type="table" w:customStyle="1" w:styleId="213">
    <w:name w:val="样式1"/>
    <w:basedOn w:val="30"/>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14">
    <w:name w:val="环评正文"/>
    <w:basedOn w:val="1"/>
    <w:qFormat/>
    <w:uiPriority w:val="0"/>
    <w:pPr>
      <w:ind w:firstLine="480"/>
    </w:pPr>
  </w:style>
  <w:style w:type="paragraph" w:customStyle="1" w:styleId="215">
    <w:name w:val="金皇-正文"/>
    <w:basedOn w:val="1"/>
    <w:link w:val="216"/>
    <w:qFormat/>
    <w:uiPriority w:val="0"/>
    <w:rPr>
      <w:lang w:val="zh-CN" w:eastAsia="zh-CN"/>
    </w:rPr>
  </w:style>
  <w:style w:type="character" w:customStyle="1" w:styleId="216">
    <w:name w:val="金皇-正文 Char"/>
    <w:link w:val="215"/>
    <w:qFormat/>
    <w:uiPriority w:val="0"/>
    <w:rPr>
      <w:kern w:val="2"/>
      <w:sz w:val="24"/>
      <w:szCs w:val="24"/>
      <w:lang w:val="zh-CN" w:eastAsia="zh-CN"/>
    </w:rPr>
  </w:style>
  <w:style w:type="paragraph" w:customStyle="1" w:styleId="217">
    <w:name w:val="金皇-表（图）头"/>
    <w:basedOn w:val="1"/>
    <w:link w:val="218"/>
    <w:qFormat/>
    <w:uiPriority w:val="0"/>
    <w:pPr>
      <w:adjustRightInd w:val="0"/>
      <w:spacing w:line="240" w:lineRule="auto"/>
      <w:ind w:firstLine="0" w:firstLineChars="0"/>
      <w:jc w:val="center"/>
      <w:outlineLvl w:val="4"/>
    </w:pPr>
    <w:rPr>
      <w:rFonts w:eastAsia="黑体"/>
      <w:b/>
      <w:szCs w:val="21"/>
      <w:lang w:val="zh-CN" w:eastAsia="zh-CN"/>
    </w:rPr>
  </w:style>
  <w:style w:type="character" w:customStyle="1" w:styleId="218">
    <w:name w:val="金皇-表（图）头 Char"/>
    <w:link w:val="217"/>
    <w:qFormat/>
    <w:uiPriority w:val="0"/>
    <w:rPr>
      <w:rFonts w:eastAsia="黑体"/>
      <w:b/>
      <w:kern w:val="2"/>
      <w:sz w:val="24"/>
      <w:szCs w:val="21"/>
      <w:lang w:val="zh-CN" w:eastAsia="zh-CN"/>
    </w:rPr>
  </w:style>
  <w:style w:type="paragraph" w:customStyle="1" w:styleId="219">
    <w:name w:val="金皇-表格内文字"/>
    <w:basedOn w:val="1"/>
    <w:link w:val="220"/>
    <w:qFormat/>
    <w:uiPriority w:val="0"/>
    <w:pPr>
      <w:tabs>
        <w:tab w:val="left" w:pos="0"/>
      </w:tabs>
      <w:adjustRightInd w:val="0"/>
      <w:snapToGrid w:val="0"/>
      <w:spacing w:line="240" w:lineRule="auto"/>
      <w:ind w:firstLine="0" w:firstLineChars="0"/>
      <w:jc w:val="center"/>
    </w:pPr>
    <w:rPr>
      <w:snapToGrid w:val="0"/>
      <w:sz w:val="21"/>
      <w:szCs w:val="21"/>
      <w:lang w:val="zh-CN" w:eastAsia="zh-CN"/>
    </w:rPr>
  </w:style>
  <w:style w:type="character" w:customStyle="1" w:styleId="220">
    <w:name w:val="金皇-表格内文字 Char"/>
    <w:link w:val="219"/>
    <w:qFormat/>
    <w:uiPriority w:val="0"/>
    <w:rPr>
      <w:snapToGrid w:val="0"/>
      <w:kern w:val="2"/>
      <w:sz w:val="21"/>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numbering" Target="numbering.xml"/><Relationship Id="rId81" Type="http://schemas.openxmlformats.org/officeDocument/2006/relationships/image" Target="media/image23.png"/><Relationship Id="rId80" Type="http://schemas.openxmlformats.org/officeDocument/2006/relationships/image" Target="media/image22.png"/><Relationship Id="rId8" Type="http://schemas.openxmlformats.org/officeDocument/2006/relationships/footer" Target="footer1.xml"/><Relationship Id="rId79" Type="http://schemas.openxmlformats.org/officeDocument/2006/relationships/image" Target="media/image21.wmf"/><Relationship Id="rId78" Type="http://schemas.openxmlformats.org/officeDocument/2006/relationships/oleObject" Target="embeddings/oleObject8.bin"/><Relationship Id="rId77" Type="http://schemas.openxmlformats.org/officeDocument/2006/relationships/image" Target="media/image20.png"/><Relationship Id="rId76" Type="http://schemas.openxmlformats.org/officeDocument/2006/relationships/image" Target="media/image19.png"/><Relationship Id="rId75" Type="http://schemas.openxmlformats.org/officeDocument/2006/relationships/image" Target="media/image18.png"/><Relationship Id="rId74" Type="http://schemas.openxmlformats.org/officeDocument/2006/relationships/image" Target="media/image17.png"/><Relationship Id="rId73" Type="http://schemas.openxmlformats.org/officeDocument/2006/relationships/image" Target="media/image16.png"/><Relationship Id="rId72" Type="http://schemas.openxmlformats.org/officeDocument/2006/relationships/image" Target="media/image15.png"/><Relationship Id="rId71" Type="http://schemas.openxmlformats.org/officeDocument/2006/relationships/image" Target="media/image14.wmf"/><Relationship Id="rId70" Type="http://schemas.openxmlformats.org/officeDocument/2006/relationships/oleObject" Target="embeddings/oleObject7.bin"/><Relationship Id="rId7" Type="http://schemas.openxmlformats.org/officeDocument/2006/relationships/header" Target="header3.xml"/><Relationship Id="rId69" Type="http://schemas.openxmlformats.org/officeDocument/2006/relationships/image" Target="media/image13.wmf"/><Relationship Id="rId68" Type="http://schemas.openxmlformats.org/officeDocument/2006/relationships/oleObject" Target="embeddings/oleObject6.bin"/><Relationship Id="rId67" Type="http://schemas.openxmlformats.org/officeDocument/2006/relationships/image" Target="media/image12.wmf"/><Relationship Id="rId66" Type="http://schemas.openxmlformats.org/officeDocument/2006/relationships/oleObject" Target="embeddings/oleObject5.bin"/><Relationship Id="rId65" Type="http://schemas.openxmlformats.org/officeDocument/2006/relationships/image" Target="media/image11.wmf"/><Relationship Id="rId64" Type="http://schemas.openxmlformats.org/officeDocument/2006/relationships/oleObject" Target="embeddings/oleObject4.bin"/><Relationship Id="rId63" Type="http://schemas.openxmlformats.org/officeDocument/2006/relationships/image" Target="media/image10.wmf"/><Relationship Id="rId62" Type="http://schemas.openxmlformats.org/officeDocument/2006/relationships/oleObject" Target="embeddings/oleObject3.bin"/><Relationship Id="rId61" Type="http://schemas.openxmlformats.org/officeDocument/2006/relationships/image" Target="media/image9.wmf"/><Relationship Id="rId60" Type="http://schemas.openxmlformats.org/officeDocument/2006/relationships/oleObject" Target="embeddings/oleObject2.bin"/><Relationship Id="rId6" Type="http://schemas.openxmlformats.org/officeDocument/2006/relationships/header" Target="header2.xml"/><Relationship Id="rId59" Type="http://schemas.openxmlformats.org/officeDocument/2006/relationships/image" Target="media/image8.wmf"/><Relationship Id="rId58" Type="http://schemas.openxmlformats.org/officeDocument/2006/relationships/image" Target="media/image7.wmf"/><Relationship Id="rId57" Type="http://schemas.openxmlformats.org/officeDocument/2006/relationships/image" Target="media/image6.wmf"/><Relationship Id="rId56" Type="http://schemas.openxmlformats.org/officeDocument/2006/relationships/image" Target="media/image5.png"/><Relationship Id="rId55" Type="http://schemas.openxmlformats.org/officeDocument/2006/relationships/image" Target="media/image4.png"/><Relationship Id="rId54" Type="http://schemas.openxmlformats.org/officeDocument/2006/relationships/image" Target="media/image3.wmf"/><Relationship Id="rId53" Type="http://schemas.openxmlformats.org/officeDocument/2006/relationships/image" Target="media/image2.wmf"/><Relationship Id="rId52" Type="http://schemas.openxmlformats.org/officeDocument/2006/relationships/oleObject" Target="embeddings/oleObject1.bin"/><Relationship Id="rId51" Type="http://schemas.openxmlformats.org/officeDocument/2006/relationships/image" Target="media/image1.png"/><Relationship Id="rId50" Type="http://schemas.openxmlformats.org/officeDocument/2006/relationships/theme" Target="theme/theme1.xml"/><Relationship Id="rId5" Type="http://schemas.openxmlformats.org/officeDocument/2006/relationships/header" Target="header1.xml"/><Relationship Id="rId49" Type="http://schemas.openxmlformats.org/officeDocument/2006/relationships/footer" Target="footer35.xml"/><Relationship Id="rId48" Type="http://schemas.openxmlformats.org/officeDocument/2006/relationships/footer" Target="footer34.xml"/><Relationship Id="rId47" Type="http://schemas.openxmlformats.org/officeDocument/2006/relationships/footer" Target="footer33.xml"/><Relationship Id="rId46" Type="http://schemas.openxmlformats.org/officeDocument/2006/relationships/footer" Target="footer32.xml"/><Relationship Id="rId45" Type="http://schemas.openxmlformats.org/officeDocument/2006/relationships/footer" Target="footer31.xml"/><Relationship Id="rId44" Type="http://schemas.openxmlformats.org/officeDocument/2006/relationships/header" Target="header10.xml"/><Relationship Id="rId43" Type="http://schemas.openxmlformats.org/officeDocument/2006/relationships/footer" Target="footer30.xml"/><Relationship Id="rId42" Type="http://schemas.openxmlformats.org/officeDocument/2006/relationships/header" Target="header9.xml"/><Relationship Id="rId41" Type="http://schemas.openxmlformats.org/officeDocument/2006/relationships/header" Target="header8.xml"/><Relationship Id="rId40" Type="http://schemas.openxmlformats.org/officeDocument/2006/relationships/header" Target="header7.xml"/><Relationship Id="rId4" Type="http://schemas.openxmlformats.org/officeDocument/2006/relationships/endnotes" Target="endnotes.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914AD6-57B6-43C7-BC1B-B1222CA5903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132</Pages>
  <Words>15022</Words>
  <Characters>85629</Characters>
  <Lines>713</Lines>
  <Paragraphs>200</Paragraphs>
  <TotalTime>97</TotalTime>
  <ScaleCrop>false</ScaleCrop>
  <LinksUpToDate>false</LinksUpToDate>
  <CharactersWithSpaces>100451</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2026-03-27T08:35:00Z</dcterms:created>
  <dc:creator>初心</dc:creator>
  <cp:lastModifiedBy>admin</cp:lastModifiedBy>
  <cp:lastPrinted>2026-03-30T02:33:00Z</cp:lastPrinted>
  <dcterms:modified xsi:type="dcterms:W3CDTF">2026-03-30T08:54:20Z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3122C3DC79644B0FA48717D3E0DE2A47_13</vt:lpwstr>
  </property>
</Properties>
</file>